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64999BC3" w:rsidR="00F94CE8" w:rsidRPr="005B77A3" w:rsidRDefault="005B77A3" w:rsidP="005B77A3">
      <w:pPr>
        <w:pStyle w:val="NoSpacing"/>
        <w:contextualSpacing/>
        <w:mirrorIndents/>
        <w:rPr>
          <w:rFonts w:ascii="Verdana" w:hAnsi="Verdana"/>
          <w:b/>
          <w:bCs/>
          <w:color w:val="FF0000"/>
          <w:sz w:val="20"/>
          <w:szCs w:val="20"/>
        </w:rPr>
      </w:pPr>
      <w:r w:rsidRPr="005B77A3">
        <w:rPr>
          <w:rFonts w:ascii="Verdana" w:hAnsi="Verdana"/>
          <w:b/>
          <w:bCs/>
          <w:color w:val="FF0000"/>
          <w:sz w:val="20"/>
          <w:szCs w:val="20"/>
        </w:rPr>
        <w:t>Healthcare Industry 202</w:t>
      </w:r>
      <w:r w:rsidR="00D0003E">
        <w:rPr>
          <w:rFonts w:ascii="Verdana" w:hAnsi="Verdana"/>
          <w:b/>
          <w:bCs/>
          <w:color w:val="FF0000"/>
          <w:sz w:val="20"/>
          <w:szCs w:val="20"/>
        </w:rPr>
        <w:t>2</w:t>
      </w:r>
      <w:r w:rsidRPr="005B77A3">
        <w:rPr>
          <w:rFonts w:ascii="Verdana" w:hAnsi="Verdana"/>
          <w:b/>
          <w:bCs/>
          <w:color w:val="FF0000"/>
          <w:sz w:val="20"/>
          <w:szCs w:val="20"/>
        </w:rPr>
        <w:t xml:space="preserve"> PLUS</w:t>
      </w:r>
    </w:p>
    <w:p w14:paraId="11DB62D2" w14:textId="5D6B1124" w:rsidR="00F94CE8" w:rsidRPr="00331B4F" w:rsidRDefault="00F94CE8" w:rsidP="00331B4F">
      <w:pPr>
        <w:pStyle w:val="NoSpacing"/>
        <w:contextualSpacing/>
        <w:mirrorIndents/>
        <w:rPr>
          <w:rFonts w:ascii="Verdana" w:hAnsi="Verdana"/>
          <w:sz w:val="20"/>
          <w:szCs w:val="20"/>
        </w:rPr>
      </w:pPr>
    </w:p>
    <w:p w14:paraId="6741696E" w14:textId="6B06A4D9" w:rsidR="00331B4F" w:rsidRPr="00331B4F" w:rsidRDefault="00331B4F" w:rsidP="00331B4F">
      <w:pPr>
        <w:spacing w:after="0" w:line="240" w:lineRule="auto"/>
        <w:contextualSpacing/>
        <w:mirrorIndents/>
        <w:jc w:val="center"/>
        <w:rPr>
          <w:rFonts w:ascii="Verdana" w:hAnsi="Verdana"/>
          <w:b/>
          <w:bCs/>
          <w:color w:val="0070C0"/>
          <w:sz w:val="20"/>
          <w:szCs w:val="20"/>
        </w:rPr>
      </w:pPr>
      <w:r w:rsidRPr="00331B4F">
        <w:rPr>
          <w:rFonts w:ascii="Verdana" w:hAnsi="Verdana"/>
          <w:b/>
          <w:bCs/>
          <w:color w:val="0070C0"/>
          <w:sz w:val="20"/>
          <w:szCs w:val="20"/>
        </w:rPr>
        <w:t>Tested to the Breaking Point</w:t>
      </w:r>
    </w:p>
    <w:p w14:paraId="089BBF3C" w14:textId="55794301" w:rsidR="00331B4F" w:rsidRDefault="00331B4F" w:rsidP="00331B4F">
      <w:pPr>
        <w:spacing w:after="0" w:line="240" w:lineRule="auto"/>
        <w:contextualSpacing/>
        <w:mirrorIndents/>
        <w:rPr>
          <w:rFonts w:ascii="Verdana" w:hAnsi="Verdana"/>
          <w:sz w:val="20"/>
          <w:szCs w:val="20"/>
        </w:rPr>
      </w:pPr>
    </w:p>
    <w:p w14:paraId="280C59C0" w14:textId="4A2354CB" w:rsidR="009930E1" w:rsidRDefault="009930E1" w:rsidP="00331B4F">
      <w:pPr>
        <w:spacing w:after="0" w:line="240" w:lineRule="auto"/>
        <w:contextualSpacing/>
        <w:mirrorIndents/>
        <w:rPr>
          <w:rFonts w:ascii="Verdana" w:hAnsi="Verdana"/>
          <w:sz w:val="20"/>
          <w:szCs w:val="20"/>
        </w:rPr>
      </w:pPr>
      <w:r>
        <w:rPr>
          <w:rFonts w:ascii="Verdana" w:hAnsi="Verdana"/>
          <w:sz w:val="20"/>
          <w:szCs w:val="20"/>
        </w:rPr>
        <w:t>The pandemic has severely tested all sectors of the US healthcare system at unprecedented level</w:t>
      </w:r>
      <w:r w:rsidR="00BE41E2">
        <w:rPr>
          <w:rFonts w:ascii="Verdana" w:hAnsi="Verdana"/>
          <w:sz w:val="20"/>
          <w:szCs w:val="20"/>
        </w:rPr>
        <w:t>s</w:t>
      </w:r>
      <w:r>
        <w:rPr>
          <w:rFonts w:ascii="Verdana" w:hAnsi="Verdana"/>
          <w:sz w:val="20"/>
          <w:szCs w:val="20"/>
        </w:rPr>
        <w:t>. Despite overburdened hospitals, exhausted healthcare workers and the effects on</w:t>
      </w:r>
      <w:r w:rsidR="004938FA">
        <w:rPr>
          <w:rFonts w:ascii="Verdana" w:hAnsi="Verdana"/>
          <w:sz w:val="20"/>
          <w:szCs w:val="20"/>
        </w:rPr>
        <w:t xml:space="preserve"> the economy and</w:t>
      </w:r>
      <w:r>
        <w:rPr>
          <w:rFonts w:ascii="Verdana" w:hAnsi="Verdana"/>
          <w:sz w:val="20"/>
          <w:szCs w:val="20"/>
        </w:rPr>
        <w:t xml:space="preserve"> individuals’ health, the system has proven to be resilient. </w:t>
      </w:r>
    </w:p>
    <w:p w14:paraId="0D1106DD" w14:textId="61411650" w:rsidR="00331B4F" w:rsidRDefault="00331B4F" w:rsidP="00331B4F">
      <w:pPr>
        <w:spacing w:after="0" w:line="240" w:lineRule="auto"/>
        <w:contextualSpacing/>
        <w:mirrorIndents/>
        <w:rPr>
          <w:rFonts w:ascii="Verdana" w:hAnsi="Verdana"/>
          <w:sz w:val="20"/>
          <w:szCs w:val="20"/>
        </w:rPr>
      </w:pPr>
    </w:p>
    <w:p w14:paraId="1901E696" w14:textId="76C3B5C9" w:rsidR="00331B4F" w:rsidRDefault="00CB4A3C" w:rsidP="00331B4F">
      <w:pPr>
        <w:spacing w:after="0" w:line="240" w:lineRule="auto"/>
        <w:contextualSpacing/>
        <w:mirrorIndents/>
        <w:rPr>
          <w:rFonts w:ascii="Verdana" w:hAnsi="Verdana"/>
          <w:sz w:val="20"/>
          <w:szCs w:val="20"/>
        </w:rPr>
      </w:pPr>
      <w:r>
        <w:rPr>
          <w:rFonts w:ascii="Verdana" w:hAnsi="Verdana"/>
          <w:sz w:val="20"/>
          <w:szCs w:val="20"/>
        </w:rPr>
        <w:t xml:space="preserve">According to research from The Commonwealth Fund, </w:t>
      </w:r>
      <w:r w:rsidR="004938FA">
        <w:rPr>
          <w:rFonts w:ascii="Verdana" w:hAnsi="Verdana"/>
          <w:sz w:val="20"/>
          <w:szCs w:val="20"/>
        </w:rPr>
        <w:t>an</w:t>
      </w:r>
      <w:r>
        <w:rPr>
          <w:rFonts w:ascii="Verdana" w:hAnsi="Verdana"/>
          <w:sz w:val="20"/>
          <w:szCs w:val="20"/>
        </w:rPr>
        <w:t xml:space="preserve"> estimate</w:t>
      </w:r>
      <w:r w:rsidR="004938FA">
        <w:rPr>
          <w:rFonts w:ascii="Verdana" w:hAnsi="Verdana"/>
          <w:sz w:val="20"/>
          <w:szCs w:val="20"/>
        </w:rPr>
        <w:t>d 1.09 million more deaths were prevented</w:t>
      </w:r>
      <w:r w:rsidR="004938FA" w:rsidRPr="004938FA">
        <w:rPr>
          <w:rFonts w:ascii="Verdana" w:hAnsi="Verdana"/>
          <w:sz w:val="20"/>
          <w:szCs w:val="20"/>
        </w:rPr>
        <w:t xml:space="preserve"> </w:t>
      </w:r>
      <w:r w:rsidR="004938FA">
        <w:rPr>
          <w:rFonts w:ascii="Verdana" w:hAnsi="Verdana"/>
          <w:sz w:val="20"/>
          <w:szCs w:val="20"/>
        </w:rPr>
        <w:t xml:space="preserve">through November 2021 because of the </w:t>
      </w:r>
      <w:r>
        <w:rPr>
          <w:rFonts w:ascii="Verdana" w:hAnsi="Verdana"/>
          <w:sz w:val="20"/>
          <w:szCs w:val="20"/>
        </w:rPr>
        <w:t>vaccination program</w:t>
      </w:r>
      <w:r w:rsidR="004938FA">
        <w:rPr>
          <w:rFonts w:ascii="Verdana" w:hAnsi="Verdana"/>
          <w:sz w:val="20"/>
          <w:szCs w:val="20"/>
        </w:rPr>
        <w:t>. Treating those additional patients could have broken the US healthcare system</w:t>
      </w:r>
      <w:r>
        <w:rPr>
          <w:rFonts w:ascii="Verdana" w:hAnsi="Verdana"/>
          <w:sz w:val="20"/>
          <w:szCs w:val="20"/>
        </w:rPr>
        <w:t>.</w:t>
      </w:r>
    </w:p>
    <w:p w14:paraId="56B5DF71" w14:textId="148D2A33" w:rsidR="00331B4F" w:rsidRDefault="00331B4F" w:rsidP="00331B4F">
      <w:pPr>
        <w:spacing w:after="0" w:line="240" w:lineRule="auto"/>
        <w:contextualSpacing/>
        <w:mirrorIndents/>
        <w:rPr>
          <w:rFonts w:ascii="Verdana" w:hAnsi="Verdana"/>
          <w:sz w:val="20"/>
          <w:szCs w:val="20"/>
        </w:rPr>
      </w:pPr>
    </w:p>
    <w:p w14:paraId="0698B13C" w14:textId="4191BBD9" w:rsidR="00CB4A3C" w:rsidRDefault="00D36584" w:rsidP="00331B4F">
      <w:pPr>
        <w:spacing w:after="0" w:line="240" w:lineRule="auto"/>
        <w:contextualSpacing/>
        <w:mirrorIndents/>
        <w:rPr>
          <w:rFonts w:ascii="Verdana" w:hAnsi="Verdana"/>
          <w:sz w:val="20"/>
          <w:szCs w:val="20"/>
        </w:rPr>
      </w:pPr>
      <w:r>
        <w:rPr>
          <w:rFonts w:ascii="Verdana" w:hAnsi="Verdana"/>
          <w:sz w:val="20"/>
          <w:szCs w:val="20"/>
        </w:rPr>
        <w:t>In the most recent data from the Centers for Medicare &amp; Medicaid Services</w:t>
      </w:r>
      <w:r w:rsidR="00967B01">
        <w:rPr>
          <w:rFonts w:ascii="Verdana" w:hAnsi="Verdana"/>
          <w:sz w:val="20"/>
          <w:szCs w:val="20"/>
        </w:rPr>
        <w:t xml:space="preserve"> (CMS)</w:t>
      </w:r>
      <w:r>
        <w:rPr>
          <w:rFonts w:ascii="Verdana" w:hAnsi="Verdana"/>
          <w:sz w:val="20"/>
          <w:szCs w:val="20"/>
        </w:rPr>
        <w:t xml:space="preserve">, total 2020 national health spending was $4.1 trillion, a 9.7% increase; however, most of the increase was </w:t>
      </w:r>
      <w:r w:rsidR="006F540A">
        <w:rPr>
          <w:rFonts w:ascii="Verdana" w:hAnsi="Verdana"/>
          <w:sz w:val="20"/>
          <w:szCs w:val="20"/>
        </w:rPr>
        <w:t xml:space="preserve">from </w:t>
      </w:r>
      <w:r>
        <w:rPr>
          <w:rFonts w:ascii="Verdana" w:hAnsi="Verdana"/>
          <w:sz w:val="20"/>
          <w:szCs w:val="20"/>
        </w:rPr>
        <w:t>additional federal support as fewer consumer dollars were spent.</w:t>
      </w:r>
    </w:p>
    <w:p w14:paraId="29CF7629" w14:textId="16F4D445" w:rsidR="00D36584" w:rsidRDefault="00D36584" w:rsidP="00331B4F">
      <w:pPr>
        <w:spacing w:after="0" w:line="240" w:lineRule="auto"/>
        <w:contextualSpacing/>
        <w:mirrorIndents/>
        <w:rPr>
          <w:rFonts w:ascii="Verdana" w:hAnsi="Verdana"/>
          <w:sz w:val="20"/>
          <w:szCs w:val="20"/>
        </w:rPr>
      </w:pPr>
    </w:p>
    <w:p w14:paraId="1F8B88E6" w14:textId="1A7EBEF1" w:rsidR="0053701F" w:rsidRDefault="0053701F" w:rsidP="0053701F">
      <w:pPr>
        <w:pStyle w:val="Header"/>
        <w:contextualSpacing/>
        <w:jc w:val="center"/>
        <w:rPr>
          <w:rFonts w:ascii="Verdana" w:hAnsi="Verdana"/>
          <w:b/>
          <w:sz w:val="20"/>
          <w:szCs w:val="20"/>
        </w:rPr>
      </w:pPr>
      <w:r>
        <w:rPr>
          <w:rFonts w:ascii="Verdana" w:hAnsi="Verdana"/>
          <w:b/>
          <w:sz w:val="20"/>
          <w:szCs w:val="20"/>
        </w:rPr>
        <w:t xml:space="preserve">Personal Consumption Expenditures (SAAR*) for Healthcare Services, </w:t>
      </w:r>
    </w:p>
    <w:p w14:paraId="470FA40A" w14:textId="77777777" w:rsidR="0053701F" w:rsidRPr="00CC1ECE" w:rsidRDefault="0053701F" w:rsidP="0053701F">
      <w:pPr>
        <w:pStyle w:val="Header"/>
        <w:contextualSpacing/>
        <w:jc w:val="center"/>
        <w:rPr>
          <w:rFonts w:ascii="Verdana" w:hAnsi="Verdana"/>
          <w:b/>
          <w:sz w:val="20"/>
          <w:szCs w:val="20"/>
        </w:rPr>
      </w:pPr>
      <w:r>
        <w:rPr>
          <w:rFonts w:ascii="Verdana" w:hAnsi="Verdana"/>
          <w:b/>
          <w:sz w:val="20"/>
          <w:szCs w:val="20"/>
        </w:rPr>
        <w:t xml:space="preserve">by Quarters, During 2021 Compared to 2020 and </w:t>
      </w:r>
      <w:r w:rsidRPr="00CC1ECE">
        <w:rPr>
          <w:rFonts w:ascii="Verdana" w:hAnsi="Verdana"/>
          <w:b/>
          <w:sz w:val="20"/>
          <w:szCs w:val="20"/>
        </w:rPr>
        <w:t>20</w:t>
      </w:r>
      <w:r>
        <w:rPr>
          <w:rFonts w:ascii="Verdana" w:hAnsi="Verdana"/>
          <w:b/>
          <w:sz w:val="20"/>
          <w:szCs w:val="20"/>
        </w:rPr>
        <w:t>19</w:t>
      </w:r>
    </w:p>
    <w:tbl>
      <w:tblPr>
        <w:tblW w:w="5319" w:type="dxa"/>
        <w:jc w:val="center"/>
        <w:tblBorders>
          <w:left w:val="single" w:sz="8" w:space="0" w:color="000000"/>
          <w:right w:val="single" w:sz="8" w:space="0" w:color="000000"/>
        </w:tblBorders>
        <w:tblLayout w:type="fixed"/>
        <w:tblLook w:val="0000" w:firstRow="0" w:lastRow="0" w:firstColumn="0" w:lastColumn="0" w:noHBand="0" w:noVBand="0"/>
      </w:tblPr>
      <w:tblGrid>
        <w:gridCol w:w="1215"/>
        <w:gridCol w:w="1368"/>
        <w:gridCol w:w="1368"/>
        <w:gridCol w:w="1368"/>
      </w:tblGrid>
      <w:tr w:rsidR="0053701F" w:rsidRPr="00CC1ECE" w14:paraId="40DE472C" w14:textId="77777777" w:rsidTr="00BE41E2">
        <w:trPr>
          <w:jc w:val="center"/>
        </w:trPr>
        <w:tc>
          <w:tcPr>
            <w:tcW w:w="121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E14EE39" w14:textId="77777777" w:rsidR="0053701F" w:rsidRPr="00CC1ECE" w:rsidRDefault="0053701F" w:rsidP="00BE41E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Quarter</w:t>
            </w:r>
          </w:p>
        </w:tc>
        <w:tc>
          <w:tcPr>
            <w:tcW w:w="1368"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4403CB56" w14:textId="77777777" w:rsidR="0053701F" w:rsidRPr="00CC1ECE" w:rsidRDefault="0053701F" w:rsidP="00BE41E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w:t>
            </w:r>
          </w:p>
        </w:tc>
        <w:tc>
          <w:tcPr>
            <w:tcW w:w="1368" w:type="dxa"/>
            <w:tcBorders>
              <w:top w:val="single" w:sz="12" w:space="0" w:color="000000"/>
              <w:left w:val="single" w:sz="12" w:space="0" w:color="0070C0"/>
              <w:bottom w:val="single" w:sz="18" w:space="0" w:color="C0504D" w:themeColor="accent2"/>
              <w:right w:val="single" w:sz="8" w:space="0" w:color="0070C0"/>
            </w:tcBorders>
            <w:shd w:val="clear" w:color="auto" w:fill="auto"/>
            <w:vAlign w:val="center"/>
          </w:tcPr>
          <w:p w14:paraId="609C78C8" w14:textId="77777777" w:rsidR="0053701F" w:rsidRPr="00CC1ECE" w:rsidRDefault="0053701F" w:rsidP="00BE41E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 from 2020</w:t>
            </w:r>
          </w:p>
        </w:tc>
        <w:tc>
          <w:tcPr>
            <w:tcW w:w="1368"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6DD288FD" w14:textId="77777777" w:rsidR="0053701F" w:rsidRDefault="0053701F" w:rsidP="00BE41E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 from 2019</w:t>
            </w:r>
          </w:p>
        </w:tc>
      </w:tr>
      <w:tr w:rsidR="0053701F" w:rsidRPr="00CC1ECE" w14:paraId="187FF4E2" w14:textId="77777777" w:rsidTr="0062362E">
        <w:trPr>
          <w:trHeight w:val="243"/>
          <w:jc w:val="center"/>
        </w:trPr>
        <w:tc>
          <w:tcPr>
            <w:tcW w:w="121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2A5D472A" w14:textId="77777777" w:rsidR="0053701F" w:rsidRPr="00CC1ECE" w:rsidRDefault="0053701F"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Q1</w:t>
            </w:r>
          </w:p>
        </w:tc>
        <w:tc>
          <w:tcPr>
            <w:tcW w:w="1368"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577FEA7A" w14:textId="76915075" w:rsidR="0053701F" w:rsidRPr="00CC1ECE" w:rsidRDefault="0062362E"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$2.46 T</w:t>
            </w:r>
          </w:p>
        </w:tc>
        <w:tc>
          <w:tcPr>
            <w:tcW w:w="1368" w:type="dxa"/>
            <w:tcBorders>
              <w:top w:val="single" w:sz="18" w:space="0" w:color="C0504D" w:themeColor="accent2"/>
              <w:left w:val="single" w:sz="12" w:space="0" w:color="0070C0"/>
              <w:bottom w:val="single" w:sz="4" w:space="0" w:color="000000"/>
              <w:right w:val="single" w:sz="8" w:space="0" w:color="0070C0"/>
            </w:tcBorders>
            <w:shd w:val="clear" w:color="auto" w:fill="EAF1DD" w:themeFill="accent3" w:themeFillTint="33"/>
            <w:vAlign w:val="center"/>
          </w:tcPr>
          <w:p w14:paraId="61532A74" w14:textId="31074D54" w:rsidR="0053701F" w:rsidRPr="00CC1ECE" w:rsidRDefault="0062362E"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w:t>
            </w:r>
            <w:r w:rsidR="0053701F">
              <w:rPr>
                <w:rFonts w:ascii="Verdana" w:eastAsia="Times New Roman" w:hAnsi="Verdana"/>
                <w:sz w:val="20"/>
                <w:szCs w:val="20"/>
              </w:rPr>
              <w:t>%</w:t>
            </w:r>
          </w:p>
        </w:tc>
        <w:tc>
          <w:tcPr>
            <w:tcW w:w="1368" w:type="dxa"/>
            <w:tcBorders>
              <w:top w:val="single" w:sz="18" w:space="0" w:color="C0504D" w:themeColor="accent2"/>
              <w:left w:val="single" w:sz="8" w:space="0" w:color="0070C0"/>
              <w:bottom w:val="single" w:sz="4" w:space="0" w:color="000000"/>
              <w:right w:val="single" w:sz="12" w:space="0" w:color="auto"/>
            </w:tcBorders>
            <w:shd w:val="clear" w:color="auto" w:fill="EAF1DD" w:themeFill="accent3" w:themeFillTint="33"/>
            <w:vAlign w:val="center"/>
          </w:tcPr>
          <w:p w14:paraId="4E907FB4" w14:textId="2BFFD9AF" w:rsidR="0053701F" w:rsidRPr="00CC1ECE" w:rsidRDefault="0062362E"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w:t>
            </w:r>
            <w:r w:rsidR="0053701F">
              <w:rPr>
                <w:rFonts w:ascii="Verdana" w:eastAsia="Times New Roman" w:hAnsi="Verdana"/>
                <w:sz w:val="20"/>
                <w:szCs w:val="20"/>
              </w:rPr>
              <w:t>%</w:t>
            </w:r>
          </w:p>
        </w:tc>
      </w:tr>
      <w:tr w:rsidR="0053701F" w:rsidRPr="00CC1ECE" w14:paraId="32D5F334" w14:textId="77777777" w:rsidTr="0062362E">
        <w:trPr>
          <w:trHeight w:val="243"/>
          <w:jc w:val="center"/>
        </w:trPr>
        <w:tc>
          <w:tcPr>
            <w:tcW w:w="121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FE2496E" w14:textId="77777777" w:rsidR="0053701F" w:rsidRPr="00CC1ECE" w:rsidRDefault="0053701F"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Q2 </w:t>
            </w:r>
          </w:p>
        </w:tc>
        <w:tc>
          <w:tcPr>
            <w:tcW w:w="1368"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2727FE2B" w14:textId="68E961A1" w:rsidR="0053701F" w:rsidRPr="00CC1ECE" w:rsidRDefault="0062362E"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$2.53 B</w:t>
            </w:r>
          </w:p>
        </w:tc>
        <w:tc>
          <w:tcPr>
            <w:tcW w:w="1368" w:type="dxa"/>
            <w:tcBorders>
              <w:top w:val="single" w:sz="4" w:space="0" w:color="000000"/>
              <w:left w:val="single" w:sz="12" w:space="0" w:color="0070C0"/>
              <w:bottom w:val="single" w:sz="4" w:space="0" w:color="000000"/>
              <w:right w:val="single" w:sz="8" w:space="0" w:color="0070C0"/>
            </w:tcBorders>
            <w:shd w:val="clear" w:color="auto" w:fill="00B050"/>
            <w:vAlign w:val="center"/>
          </w:tcPr>
          <w:p w14:paraId="444E7F2D" w14:textId="3FFE6773" w:rsidR="0053701F" w:rsidRPr="00CC1ECE" w:rsidRDefault="0053701F"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62362E">
              <w:rPr>
                <w:rFonts w:ascii="Verdana" w:eastAsia="Times New Roman" w:hAnsi="Verdana"/>
                <w:sz w:val="20"/>
                <w:szCs w:val="20"/>
              </w:rPr>
              <w:t>26</w:t>
            </w:r>
            <w:r>
              <w:rPr>
                <w:rFonts w:ascii="Verdana" w:eastAsia="Times New Roman" w:hAnsi="Verdana"/>
                <w:sz w:val="20"/>
                <w:szCs w:val="20"/>
              </w:rPr>
              <w:t>.5%</w:t>
            </w:r>
          </w:p>
        </w:tc>
        <w:tc>
          <w:tcPr>
            <w:tcW w:w="1368"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1271CD19" w14:textId="132E0B54" w:rsidR="0053701F" w:rsidRPr="00CC1ECE" w:rsidRDefault="0062362E"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r w:rsidR="0053701F">
              <w:rPr>
                <w:rFonts w:ascii="Verdana" w:eastAsia="Times New Roman" w:hAnsi="Verdana"/>
                <w:sz w:val="20"/>
                <w:szCs w:val="20"/>
              </w:rPr>
              <w:t>%</w:t>
            </w:r>
          </w:p>
        </w:tc>
      </w:tr>
      <w:tr w:rsidR="0053701F" w:rsidRPr="00CC1ECE" w14:paraId="4954B4D9" w14:textId="77777777" w:rsidTr="0062362E">
        <w:trPr>
          <w:trHeight w:val="243"/>
          <w:jc w:val="center"/>
        </w:trPr>
        <w:tc>
          <w:tcPr>
            <w:tcW w:w="121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54DFD16E" w14:textId="77777777" w:rsidR="0053701F" w:rsidRPr="00CC1ECE" w:rsidRDefault="0053701F"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Q3</w:t>
            </w:r>
          </w:p>
        </w:tc>
        <w:tc>
          <w:tcPr>
            <w:tcW w:w="1368"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29724400" w14:textId="5364969E" w:rsidR="0053701F" w:rsidRPr="00CC1ECE" w:rsidRDefault="0062362E"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$2.58 T</w:t>
            </w:r>
          </w:p>
        </w:tc>
        <w:tc>
          <w:tcPr>
            <w:tcW w:w="1368" w:type="dxa"/>
            <w:tcBorders>
              <w:top w:val="single" w:sz="4" w:space="0" w:color="000000"/>
              <w:left w:val="single" w:sz="12" w:space="0" w:color="0070C0"/>
              <w:bottom w:val="single" w:sz="12" w:space="0" w:color="000000"/>
              <w:right w:val="single" w:sz="8" w:space="0" w:color="0070C0"/>
            </w:tcBorders>
            <w:shd w:val="clear" w:color="auto" w:fill="D6E3BC" w:themeFill="accent3" w:themeFillTint="66"/>
            <w:vAlign w:val="center"/>
          </w:tcPr>
          <w:p w14:paraId="1FA78214" w14:textId="6D4FEDE4" w:rsidR="0053701F" w:rsidRPr="00CC1ECE" w:rsidRDefault="0053701F"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62362E">
              <w:rPr>
                <w:rFonts w:ascii="Verdana" w:eastAsia="Times New Roman" w:hAnsi="Verdana"/>
                <w:sz w:val="20"/>
                <w:szCs w:val="20"/>
              </w:rPr>
              <w:t>8.8</w:t>
            </w:r>
            <w:r>
              <w:rPr>
                <w:rFonts w:ascii="Verdana" w:eastAsia="Times New Roman" w:hAnsi="Verdana"/>
                <w:sz w:val="20"/>
                <w:szCs w:val="20"/>
              </w:rPr>
              <w:t>%</w:t>
            </w:r>
          </w:p>
        </w:tc>
        <w:tc>
          <w:tcPr>
            <w:tcW w:w="1368"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7835F714" w14:textId="0B3A22B2" w:rsidR="0053701F" w:rsidRPr="00CC1ECE" w:rsidRDefault="0062362E"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w:t>
            </w:r>
            <w:r w:rsidR="0053701F">
              <w:rPr>
                <w:rFonts w:ascii="Verdana" w:eastAsia="Times New Roman" w:hAnsi="Verdana"/>
                <w:sz w:val="20"/>
                <w:szCs w:val="20"/>
              </w:rPr>
              <w:t>%</w:t>
            </w:r>
          </w:p>
        </w:tc>
      </w:tr>
    </w:tbl>
    <w:p w14:paraId="51AAC8F7" w14:textId="77777777" w:rsidR="0053701F" w:rsidRDefault="0053701F" w:rsidP="0053701F">
      <w:pPr>
        <w:pStyle w:val="NoSpacing"/>
        <w:tabs>
          <w:tab w:val="left" w:pos="2070"/>
        </w:tabs>
        <w:contextualSpacing/>
        <w:rPr>
          <w:rFonts w:ascii="Verdana" w:hAnsi="Verdana"/>
          <w:sz w:val="16"/>
          <w:szCs w:val="16"/>
        </w:rPr>
      </w:pPr>
      <w:r>
        <w:rPr>
          <w:rFonts w:ascii="Verdana" w:hAnsi="Verdana"/>
          <w:sz w:val="16"/>
          <w:szCs w:val="16"/>
        </w:rPr>
        <w:tab/>
        <w:t>Bureau of Economic Analysis</w:t>
      </w:r>
      <w:r w:rsidRPr="00CC1ECE">
        <w:rPr>
          <w:rFonts w:ascii="Verdana" w:hAnsi="Verdana"/>
          <w:sz w:val="16"/>
          <w:szCs w:val="16"/>
        </w:rPr>
        <w:t xml:space="preserve">, </w:t>
      </w:r>
      <w:r>
        <w:rPr>
          <w:rFonts w:ascii="Verdana" w:hAnsi="Verdana"/>
          <w:sz w:val="16"/>
          <w:szCs w:val="16"/>
        </w:rPr>
        <w:t>December 2021</w:t>
      </w:r>
      <w:r>
        <w:rPr>
          <w:rFonts w:ascii="Verdana" w:hAnsi="Verdana"/>
          <w:sz w:val="16"/>
          <w:szCs w:val="16"/>
        </w:rPr>
        <w:tab/>
      </w:r>
    </w:p>
    <w:p w14:paraId="1FEC874C" w14:textId="77777777" w:rsidR="0053701F" w:rsidRDefault="0053701F" w:rsidP="0053701F">
      <w:pPr>
        <w:pStyle w:val="NoSpacing"/>
        <w:tabs>
          <w:tab w:val="left" w:pos="2070"/>
        </w:tabs>
        <w:contextualSpacing/>
        <w:rPr>
          <w:sz w:val="20"/>
          <w:szCs w:val="20"/>
        </w:rPr>
      </w:pPr>
      <w:r>
        <w:rPr>
          <w:rFonts w:ascii="Verdana" w:hAnsi="Verdana"/>
          <w:sz w:val="16"/>
          <w:szCs w:val="16"/>
        </w:rPr>
        <w:tab/>
        <w:t>*Seasonally Adjusted Annual Rate, not quarterly sales total</w:t>
      </w:r>
    </w:p>
    <w:p w14:paraId="49801895" w14:textId="77777777" w:rsidR="00D36584" w:rsidRDefault="00D36584" w:rsidP="00331B4F">
      <w:pPr>
        <w:spacing w:after="0" w:line="240" w:lineRule="auto"/>
        <w:contextualSpacing/>
        <w:mirrorIndents/>
        <w:rPr>
          <w:rFonts w:ascii="Verdana" w:hAnsi="Verdana"/>
          <w:sz w:val="20"/>
          <w:szCs w:val="20"/>
        </w:rPr>
      </w:pPr>
    </w:p>
    <w:p w14:paraId="1C257B3E" w14:textId="3AD7B058" w:rsidR="00331B4F" w:rsidRPr="0090353D" w:rsidRDefault="0090353D" w:rsidP="0090353D">
      <w:pPr>
        <w:spacing w:after="0" w:line="240" w:lineRule="auto"/>
        <w:contextualSpacing/>
        <w:mirrorIndents/>
        <w:jc w:val="center"/>
        <w:rPr>
          <w:rFonts w:ascii="Verdana" w:hAnsi="Verdana"/>
          <w:b/>
          <w:bCs/>
          <w:color w:val="0070C0"/>
          <w:sz w:val="20"/>
          <w:szCs w:val="20"/>
        </w:rPr>
      </w:pPr>
      <w:r w:rsidRPr="0090353D">
        <w:rPr>
          <w:rFonts w:ascii="Verdana" w:hAnsi="Verdana"/>
          <w:b/>
          <w:bCs/>
          <w:color w:val="0070C0"/>
          <w:sz w:val="20"/>
          <w:szCs w:val="20"/>
        </w:rPr>
        <w:t>The Persistence of the Pandemic</w:t>
      </w:r>
    </w:p>
    <w:p w14:paraId="446CF775" w14:textId="7F94F502" w:rsidR="00331B4F" w:rsidRDefault="00331B4F" w:rsidP="00331B4F">
      <w:pPr>
        <w:spacing w:after="0" w:line="240" w:lineRule="auto"/>
        <w:contextualSpacing/>
        <w:mirrorIndents/>
        <w:rPr>
          <w:rFonts w:ascii="Verdana" w:hAnsi="Verdana"/>
          <w:sz w:val="20"/>
          <w:szCs w:val="20"/>
        </w:rPr>
      </w:pPr>
    </w:p>
    <w:p w14:paraId="10885427" w14:textId="00C81734" w:rsidR="0090353D" w:rsidRDefault="0090353D" w:rsidP="00331B4F">
      <w:pPr>
        <w:spacing w:after="0" w:line="240" w:lineRule="auto"/>
        <w:contextualSpacing/>
        <w:mirrorIndents/>
        <w:rPr>
          <w:rFonts w:ascii="Verdana" w:hAnsi="Verdana"/>
          <w:sz w:val="20"/>
          <w:szCs w:val="20"/>
        </w:rPr>
      </w:pPr>
      <w:r>
        <w:rPr>
          <w:rFonts w:ascii="Verdana" w:hAnsi="Verdana"/>
          <w:sz w:val="20"/>
          <w:szCs w:val="20"/>
        </w:rPr>
        <w:t>Unsurprisingly, a November 2021 Gallup poll found 47% of respondents said COVID-19 was the “most urgent health problem facing the US</w:t>
      </w:r>
      <w:r w:rsidR="001E09F0">
        <w:rPr>
          <w:rFonts w:ascii="Verdana" w:hAnsi="Verdana"/>
          <w:sz w:val="20"/>
          <w:szCs w:val="20"/>
        </w:rPr>
        <w:t xml:space="preserve">,” compared to 69% in </w:t>
      </w:r>
      <w:r w:rsidR="00BE41E2">
        <w:rPr>
          <w:rFonts w:ascii="Verdana" w:hAnsi="Verdana"/>
          <w:sz w:val="20"/>
          <w:szCs w:val="20"/>
        </w:rPr>
        <w:t xml:space="preserve">a </w:t>
      </w:r>
      <w:r w:rsidR="001E09F0">
        <w:rPr>
          <w:rFonts w:ascii="Verdana" w:hAnsi="Verdana"/>
          <w:sz w:val="20"/>
          <w:szCs w:val="20"/>
        </w:rPr>
        <w:t xml:space="preserve">November 2020 poll; however, the 2021 poll is prior to the surge in the Omicron variant. </w:t>
      </w:r>
    </w:p>
    <w:p w14:paraId="36D276EE" w14:textId="3DE25E1B" w:rsidR="001E09F0" w:rsidRDefault="001E09F0" w:rsidP="00331B4F">
      <w:pPr>
        <w:spacing w:after="0" w:line="240" w:lineRule="auto"/>
        <w:contextualSpacing/>
        <w:mirrorIndents/>
        <w:rPr>
          <w:rFonts w:ascii="Verdana" w:hAnsi="Verdana"/>
          <w:sz w:val="20"/>
          <w:szCs w:val="20"/>
        </w:rPr>
      </w:pPr>
    </w:p>
    <w:p w14:paraId="30410475" w14:textId="69A24E18" w:rsidR="00593E6B" w:rsidRDefault="00593E6B" w:rsidP="00331B4F">
      <w:pPr>
        <w:spacing w:after="0" w:line="240" w:lineRule="auto"/>
        <w:contextualSpacing/>
        <w:mirrorIndents/>
        <w:rPr>
          <w:rFonts w:ascii="Verdana" w:hAnsi="Verdana"/>
          <w:sz w:val="20"/>
          <w:szCs w:val="20"/>
        </w:rPr>
      </w:pPr>
      <w:r>
        <w:rPr>
          <w:rFonts w:ascii="Verdana" w:hAnsi="Verdana"/>
          <w:sz w:val="20"/>
          <w:szCs w:val="20"/>
        </w:rPr>
        <w:t xml:space="preserve">As of late December 2021, preliminary research suggested the Omicron variant was spreading faster than previous variants, but resulted in milder symptoms and fewer hospitalizations, but more research </w:t>
      </w:r>
      <w:r w:rsidR="00BE41E2">
        <w:rPr>
          <w:rFonts w:ascii="Verdana" w:hAnsi="Verdana"/>
          <w:sz w:val="20"/>
          <w:szCs w:val="20"/>
        </w:rPr>
        <w:t>is</w:t>
      </w:r>
      <w:r>
        <w:rPr>
          <w:rFonts w:ascii="Verdana" w:hAnsi="Verdana"/>
          <w:sz w:val="20"/>
          <w:szCs w:val="20"/>
        </w:rPr>
        <w:t xml:space="preserve"> needed for a complete analysis and conclusions. </w:t>
      </w:r>
    </w:p>
    <w:p w14:paraId="6BFB1AFF" w14:textId="1B47A23F" w:rsidR="00593E6B" w:rsidRDefault="00593E6B" w:rsidP="00331B4F">
      <w:pPr>
        <w:spacing w:after="0" w:line="240" w:lineRule="auto"/>
        <w:contextualSpacing/>
        <w:mirrorIndents/>
        <w:rPr>
          <w:rFonts w:ascii="Verdana" w:hAnsi="Verdana"/>
          <w:sz w:val="20"/>
          <w:szCs w:val="20"/>
        </w:rPr>
      </w:pPr>
    </w:p>
    <w:p w14:paraId="24A4818B" w14:textId="6D2E7A11" w:rsidR="001E09F0" w:rsidRDefault="00593E6B" w:rsidP="00331B4F">
      <w:pPr>
        <w:spacing w:after="0" w:line="240" w:lineRule="auto"/>
        <w:contextualSpacing/>
        <w:mirrorIndents/>
        <w:rPr>
          <w:rFonts w:ascii="Verdana" w:hAnsi="Verdana"/>
          <w:sz w:val="20"/>
          <w:szCs w:val="20"/>
        </w:rPr>
      </w:pPr>
      <w:r>
        <w:rPr>
          <w:rFonts w:ascii="Verdana" w:hAnsi="Verdana"/>
          <w:sz w:val="20"/>
          <w:szCs w:val="20"/>
        </w:rPr>
        <w:t>According to a mid-December 2021 survey from the K</w:t>
      </w:r>
      <w:r w:rsidR="001E09F0">
        <w:rPr>
          <w:rFonts w:ascii="Verdana" w:hAnsi="Verdana"/>
          <w:sz w:val="20"/>
          <w:szCs w:val="20"/>
        </w:rPr>
        <w:t>aiser Family Foundation</w:t>
      </w:r>
      <w:r>
        <w:rPr>
          <w:rFonts w:ascii="Verdana" w:hAnsi="Verdana"/>
          <w:sz w:val="20"/>
          <w:szCs w:val="20"/>
        </w:rPr>
        <w:t>, 54% of adult</w:t>
      </w:r>
      <w:r w:rsidR="00BE41E2">
        <w:rPr>
          <w:rFonts w:ascii="Verdana" w:hAnsi="Verdana"/>
          <w:sz w:val="20"/>
          <w:szCs w:val="20"/>
        </w:rPr>
        <w:t xml:space="preserve"> </w:t>
      </w:r>
      <w:r>
        <w:rPr>
          <w:rFonts w:ascii="Verdana" w:hAnsi="Verdana"/>
          <w:sz w:val="20"/>
          <w:szCs w:val="20"/>
        </w:rPr>
        <w:t>respondents who were vaccinat</w:t>
      </w:r>
      <w:r w:rsidR="00AD58F1">
        <w:rPr>
          <w:rFonts w:ascii="Verdana" w:hAnsi="Verdana"/>
          <w:sz w:val="20"/>
          <w:szCs w:val="20"/>
        </w:rPr>
        <w:t>ed, but hadn’t received a booster</w:t>
      </w:r>
      <w:r w:rsidR="00B74B31">
        <w:rPr>
          <w:rFonts w:ascii="Verdana" w:hAnsi="Verdana"/>
          <w:sz w:val="20"/>
          <w:szCs w:val="20"/>
        </w:rPr>
        <w:t>,</w:t>
      </w:r>
      <w:r w:rsidR="00AD58F1">
        <w:rPr>
          <w:rFonts w:ascii="Verdana" w:hAnsi="Verdana"/>
          <w:sz w:val="20"/>
          <w:szCs w:val="20"/>
        </w:rPr>
        <w:t xml:space="preserve"> said the Omicron variant was more likely to compel them to receive the booster.</w:t>
      </w:r>
    </w:p>
    <w:p w14:paraId="7DCE8767" w14:textId="3B2BF3BD" w:rsidR="0090353D" w:rsidRDefault="0090353D" w:rsidP="00331B4F">
      <w:pPr>
        <w:spacing w:after="0" w:line="240" w:lineRule="auto"/>
        <w:contextualSpacing/>
        <w:mirrorIndents/>
        <w:rPr>
          <w:rFonts w:ascii="Verdana" w:hAnsi="Verdana"/>
          <w:sz w:val="20"/>
          <w:szCs w:val="20"/>
        </w:rPr>
      </w:pPr>
    </w:p>
    <w:p w14:paraId="4AF2CAF9" w14:textId="0DEBC807" w:rsidR="00E46948" w:rsidRPr="00CC1ECE" w:rsidRDefault="00E46948" w:rsidP="00E46948">
      <w:pPr>
        <w:pStyle w:val="Header"/>
        <w:contextualSpacing/>
        <w:jc w:val="center"/>
        <w:rPr>
          <w:rFonts w:ascii="Verdana" w:hAnsi="Verdana"/>
          <w:b/>
          <w:sz w:val="20"/>
          <w:szCs w:val="20"/>
        </w:rPr>
      </w:pPr>
      <w:r>
        <w:rPr>
          <w:rFonts w:ascii="Verdana" w:hAnsi="Verdana"/>
          <w:b/>
          <w:sz w:val="20"/>
          <w:szCs w:val="20"/>
        </w:rPr>
        <w:t>Unvaccinated Americans, by Age</w:t>
      </w:r>
      <w:r w:rsidR="00344FBB">
        <w:rPr>
          <w:rFonts w:ascii="Verdana" w:hAnsi="Verdana"/>
          <w:b/>
          <w:sz w:val="20"/>
          <w:szCs w:val="20"/>
        </w:rPr>
        <w:t>, Ethnicity and Income</w:t>
      </w:r>
      <w:r>
        <w:rPr>
          <w:rFonts w:ascii="Verdana" w:hAnsi="Verdana"/>
          <w:b/>
          <w:sz w:val="20"/>
          <w:szCs w:val="20"/>
        </w:rPr>
        <w:t xml:space="preserve">, </w:t>
      </w:r>
      <w:r w:rsidR="00344FBB">
        <w:rPr>
          <w:rFonts w:ascii="Verdana" w:hAnsi="Verdana"/>
          <w:b/>
          <w:sz w:val="20"/>
          <w:szCs w:val="20"/>
        </w:rPr>
        <w:t>November 2021</w:t>
      </w:r>
    </w:p>
    <w:tbl>
      <w:tblPr>
        <w:tblW w:w="10367" w:type="dxa"/>
        <w:jc w:val="center"/>
        <w:tblBorders>
          <w:left w:val="single" w:sz="8" w:space="0" w:color="000000"/>
          <w:right w:val="single" w:sz="8" w:space="0" w:color="000000"/>
        </w:tblBorders>
        <w:tblLayout w:type="fixed"/>
        <w:tblLook w:val="0000" w:firstRow="0" w:lastRow="0" w:firstColumn="0" w:lastColumn="0" w:noHBand="0" w:noVBand="0"/>
      </w:tblPr>
      <w:tblGrid>
        <w:gridCol w:w="2304"/>
        <w:gridCol w:w="1152"/>
        <w:gridCol w:w="2303"/>
        <w:gridCol w:w="1152"/>
        <w:gridCol w:w="2304"/>
        <w:gridCol w:w="1152"/>
      </w:tblGrid>
      <w:tr w:rsidR="00E46948" w:rsidRPr="00CC1ECE" w14:paraId="01920F60" w14:textId="3790272C" w:rsidTr="00B74B31">
        <w:trPr>
          <w:jc w:val="center"/>
        </w:trPr>
        <w:tc>
          <w:tcPr>
            <w:tcW w:w="2304" w:type="dxa"/>
            <w:tcBorders>
              <w:top w:val="single" w:sz="12" w:space="0" w:color="000000"/>
              <w:left w:val="single" w:sz="12" w:space="0" w:color="000000"/>
              <w:bottom w:val="single" w:sz="18" w:space="0" w:color="C0504D" w:themeColor="accent2"/>
              <w:right w:val="single" w:sz="8" w:space="0" w:color="0070C0"/>
            </w:tcBorders>
            <w:vAlign w:val="center"/>
          </w:tcPr>
          <w:p w14:paraId="5F618E9E" w14:textId="2B0DC2F5" w:rsidR="00E46948" w:rsidRPr="00CC1ECE" w:rsidRDefault="00344FBB"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Age</w:t>
            </w:r>
          </w:p>
        </w:tc>
        <w:tc>
          <w:tcPr>
            <w:tcW w:w="1152" w:type="dxa"/>
            <w:tcBorders>
              <w:top w:val="single" w:sz="12" w:space="0" w:color="000000"/>
              <w:left w:val="single" w:sz="8" w:space="0" w:color="0070C0"/>
              <w:bottom w:val="single" w:sz="18" w:space="0" w:color="C0504D" w:themeColor="accent2"/>
              <w:right w:val="single" w:sz="18" w:space="0" w:color="0070C0"/>
            </w:tcBorders>
            <w:vAlign w:val="center"/>
          </w:tcPr>
          <w:p w14:paraId="59B36C0E" w14:textId="4502B65D" w:rsidR="00E46948" w:rsidRPr="00CC1ECE" w:rsidRDefault="00344FBB"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2303" w:type="dxa"/>
            <w:tcBorders>
              <w:top w:val="single" w:sz="12" w:space="0" w:color="000000"/>
              <w:left w:val="single" w:sz="18" w:space="0" w:color="0070C0"/>
              <w:bottom w:val="single" w:sz="18" w:space="0" w:color="C0504D" w:themeColor="accent2"/>
              <w:right w:val="single" w:sz="8" w:space="0" w:color="0070C0"/>
            </w:tcBorders>
            <w:vAlign w:val="center"/>
          </w:tcPr>
          <w:p w14:paraId="3CA92D46" w14:textId="2619CEA0" w:rsidR="00E46948" w:rsidRPr="00CC1ECE" w:rsidRDefault="00344FBB"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Ethnicity</w:t>
            </w:r>
          </w:p>
        </w:tc>
        <w:tc>
          <w:tcPr>
            <w:tcW w:w="1152" w:type="dxa"/>
            <w:tcBorders>
              <w:top w:val="single" w:sz="12" w:space="0" w:color="000000"/>
              <w:left w:val="single" w:sz="8" w:space="0" w:color="0070C0"/>
              <w:bottom w:val="single" w:sz="18" w:space="0" w:color="C0504D" w:themeColor="accent2"/>
              <w:right w:val="single" w:sz="18" w:space="0" w:color="0070C0"/>
            </w:tcBorders>
            <w:vAlign w:val="center"/>
          </w:tcPr>
          <w:p w14:paraId="6B2FA52B" w14:textId="60D18087" w:rsidR="00E46948" w:rsidRPr="00CC1ECE" w:rsidRDefault="00344FBB"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2304" w:type="dxa"/>
            <w:tcBorders>
              <w:top w:val="single" w:sz="12" w:space="0" w:color="000000"/>
              <w:left w:val="single" w:sz="18" w:space="0" w:color="0070C0"/>
              <w:bottom w:val="single" w:sz="18" w:space="0" w:color="C0504D" w:themeColor="accent2"/>
              <w:right w:val="single" w:sz="8" w:space="0" w:color="0070C0"/>
            </w:tcBorders>
            <w:vAlign w:val="center"/>
          </w:tcPr>
          <w:p w14:paraId="413AA328" w14:textId="4A068C63" w:rsidR="00E46948" w:rsidRPr="00CC1ECE" w:rsidRDefault="00344FBB"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Income</w:t>
            </w:r>
          </w:p>
        </w:tc>
        <w:tc>
          <w:tcPr>
            <w:tcW w:w="1152" w:type="dxa"/>
            <w:tcBorders>
              <w:top w:val="single" w:sz="12" w:space="0" w:color="000000"/>
              <w:left w:val="single" w:sz="8" w:space="0" w:color="0070C0"/>
              <w:bottom w:val="single" w:sz="18" w:space="0" w:color="C0504D" w:themeColor="accent2"/>
              <w:right w:val="single" w:sz="12" w:space="0" w:color="000000"/>
            </w:tcBorders>
            <w:vAlign w:val="center"/>
          </w:tcPr>
          <w:p w14:paraId="303B95A2" w14:textId="595ACC35" w:rsidR="00E46948" w:rsidRPr="00CC1ECE" w:rsidRDefault="00344FBB"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E46948" w:rsidRPr="00CC1ECE" w14:paraId="31D9E079" w14:textId="3E114B17" w:rsidTr="00344FBB">
        <w:trPr>
          <w:trHeight w:val="243"/>
          <w:jc w:val="center"/>
        </w:trPr>
        <w:tc>
          <w:tcPr>
            <w:tcW w:w="2304" w:type="dxa"/>
            <w:tcBorders>
              <w:top w:val="single" w:sz="18" w:space="0" w:color="C0504D" w:themeColor="accent2"/>
              <w:left w:val="single" w:sz="12" w:space="0" w:color="000000"/>
              <w:bottom w:val="single" w:sz="4" w:space="0" w:color="auto"/>
              <w:right w:val="single" w:sz="8" w:space="0" w:color="0070C0"/>
            </w:tcBorders>
            <w:shd w:val="clear" w:color="auto" w:fill="auto"/>
            <w:vAlign w:val="center"/>
          </w:tcPr>
          <w:p w14:paraId="5B64812F" w14:textId="6CFB056D" w:rsidR="00E46948" w:rsidRPr="00CC1ECE" w:rsidRDefault="00344FB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18–29</w:t>
            </w:r>
          </w:p>
        </w:tc>
        <w:tc>
          <w:tcPr>
            <w:tcW w:w="1152" w:type="dxa"/>
            <w:tcBorders>
              <w:top w:val="single" w:sz="18" w:space="0" w:color="C0504D" w:themeColor="accent2"/>
              <w:left w:val="single" w:sz="8" w:space="0" w:color="0070C0"/>
              <w:bottom w:val="single" w:sz="4" w:space="0" w:color="auto"/>
              <w:right w:val="single" w:sz="18" w:space="0" w:color="0070C0"/>
            </w:tcBorders>
            <w:shd w:val="clear" w:color="auto" w:fill="D99594" w:themeFill="accent2" w:themeFillTint="99"/>
            <w:vAlign w:val="center"/>
          </w:tcPr>
          <w:p w14:paraId="6490F561" w14:textId="3721651A" w:rsidR="00E46948" w:rsidRPr="00CC1ECE" w:rsidRDefault="00344FBB" w:rsidP="00344FBB">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w:t>
            </w:r>
          </w:p>
        </w:tc>
        <w:tc>
          <w:tcPr>
            <w:tcW w:w="2303"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39BCC177" w14:textId="08855F03" w:rsidR="00E46948" w:rsidRPr="00CC1ECE" w:rsidRDefault="00344FBB" w:rsidP="00344FB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Caucasian American</w:t>
            </w:r>
          </w:p>
        </w:tc>
        <w:tc>
          <w:tcPr>
            <w:tcW w:w="1152" w:type="dxa"/>
            <w:tcBorders>
              <w:top w:val="single" w:sz="18" w:space="0" w:color="C0504D" w:themeColor="accent2"/>
              <w:left w:val="single" w:sz="8" w:space="0" w:color="0070C0"/>
              <w:bottom w:val="single" w:sz="4" w:space="0" w:color="auto"/>
              <w:right w:val="single" w:sz="18" w:space="0" w:color="0070C0"/>
            </w:tcBorders>
            <w:shd w:val="clear" w:color="auto" w:fill="FF0000"/>
            <w:vAlign w:val="center"/>
          </w:tcPr>
          <w:p w14:paraId="38CE06F5" w14:textId="1289824E" w:rsidR="00E46948" w:rsidRPr="00CC1ECE" w:rsidRDefault="00344FB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61%</w:t>
            </w:r>
          </w:p>
        </w:tc>
        <w:tc>
          <w:tcPr>
            <w:tcW w:w="2304"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1956CBEC" w14:textId="7232B2B1" w:rsidR="00E46948" w:rsidRPr="00CC1ECE" w:rsidRDefault="00344FBB" w:rsidP="00344FB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Less than $40K</w:t>
            </w:r>
          </w:p>
        </w:tc>
        <w:tc>
          <w:tcPr>
            <w:tcW w:w="1152" w:type="dxa"/>
            <w:tcBorders>
              <w:top w:val="single" w:sz="18" w:space="0" w:color="C0504D" w:themeColor="accent2"/>
              <w:left w:val="single" w:sz="8" w:space="0" w:color="0070C0"/>
              <w:bottom w:val="single" w:sz="4" w:space="0" w:color="000000"/>
              <w:right w:val="single" w:sz="12" w:space="0" w:color="000000"/>
            </w:tcBorders>
            <w:shd w:val="clear" w:color="auto" w:fill="FF0000"/>
            <w:vAlign w:val="center"/>
          </w:tcPr>
          <w:p w14:paraId="387A741E" w14:textId="29AE2569" w:rsidR="00E46948" w:rsidRPr="00CC1ECE" w:rsidRDefault="00344FB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w:t>
            </w:r>
          </w:p>
        </w:tc>
      </w:tr>
      <w:tr w:rsidR="00E46948" w:rsidRPr="00CC1ECE" w14:paraId="438CE264" w14:textId="57FB0B1C" w:rsidTr="000F71DC">
        <w:trPr>
          <w:trHeight w:val="243"/>
          <w:jc w:val="center"/>
        </w:trPr>
        <w:tc>
          <w:tcPr>
            <w:tcW w:w="2304" w:type="dxa"/>
            <w:tcBorders>
              <w:top w:val="single" w:sz="4" w:space="0" w:color="auto"/>
              <w:left w:val="single" w:sz="12" w:space="0" w:color="000000"/>
              <w:bottom w:val="single" w:sz="4" w:space="0" w:color="000000"/>
              <w:right w:val="single" w:sz="8" w:space="0" w:color="0070C0"/>
            </w:tcBorders>
            <w:shd w:val="clear" w:color="auto" w:fill="auto"/>
            <w:vAlign w:val="center"/>
          </w:tcPr>
          <w:p w14:paraId="5F3B6235" w14:textId="38273449" w:rsidR="00E46948" w:rsidRDefault="00344FB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30–49</w:t>
            </w:r>
          </w:p>
        </w:tc>
        <w:tc>
          <w:tcPr>
            <w:tcW w:w="1152" w:type="dxa"/>
            <w:tcBorders>
              <w:top w:val="single" w:sz="4" w:space="0" w:color="auto"/>
              <w:left w:val="single" w:sz="8" w:space="0" w:color="0070C0"/>
              <w:bottom w:val="single" w:sz="4" w:space="0" w:color="000000"/>
              <w:right w:val="single" w:sz="18" w:space="0" w:color="0070C0"/>
            </w:tcBorders>
            <w:shd w:val="clear" w:color="auto" w:fill="FF0000"/>
            <w:vAlign w:val="center"/>
          </w:tcPr>
          <w:p w14:paraId="110AB9ED" w14:textId="0666D25E" w:rsidR="00E46948" w:rsidRDefault="00344FBB" w:rsidP="00344FBB">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w:t>
            </w:r>
          </w:p>
        </w:tc>
        <w:tc>
          <w:tcPr>
            <w:tcW w:w="2303" w:type="dxa"/>
            <w:tcBorders>
              <w:top w:val="single" w:sz="4" w:space="0" w:color="auto"/>
              <w:left w:val="single" w:sz="18" w:space="0" w:color="0070C0"/>
              <w:bottom w:val="single" w:sz="4" w:space="0" w:color="000000"/>
              <w:right w:val="single" w:sz="8" w:space="0" w:color="0070C0"/>
            </w:tcBorders>
            <w:shd w:val="clear" w:color="auto" w:fill="auto"/>
            <w:vAlign w:val="center"/>
          </w:tcPr>
          <w:p w14:paraId="04336552" w14:textId="5766EAC6" w:rsidR="00E46948" w:rsidRDefault="00344FBB" w:rsidP="00344FB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African American</w:t>
            </w:r>
          </w:p>
        </w:tc>
        <w:tc>
          <w:tcPr>
            <w:tcW w:w="1152"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6EDC5480" w14:textId="291FEDD4" w:rsidR="00E46948" w:rsidRDefault="00344FB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c>
          <w:tcPr>
            <w:tcW w:w="2304"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2C2BB01" w14:textId="2EB95AC6" w:rsidR="00E46948" w:rsidRDefault="00344FBB" w:rsidP="00344FB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$40K–$89.9K</w:t>
            </w:r>
          </w:p>
        </w:tc>
        <w:tc>
          <w:tcPr>
            <w:tcW w:w="1152" w:type="dxa"/>
            <w:tcBorders>
              <w:top w:val="single" w:sz="4" w:space="0" w:color="000000"/>
              <w:left w:val="single" w:sz="8" w:space="0" w:color="0070C0"/>
              <w:bottom w:val="single" w:sz="4" w:space="0" w:color="000000"/>
              <w:right w:val="single" w:sz="12" w:space="0" w:color="000000"/>
            </w:tcBorders>
            <w:shd w:val="clear" w:color="auto" w:fill="D99594" w:themeFill="accent2" w:themeFillTint="99"/>
            <w:vAlign w:val="center"/>
          </w:tcPr>
          <w:p w14:paraId="54E6108E" w14:textId="64EF3E43" w:rsidR="00E46948" w:rsidRDefault="00344FB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w:t>
            </w:r>
          </w:p>
        </w:tc>
      </w:tr>
      <w:tr w:rsidR="00E46948" w:rsidRPr="00CC1ECE" w14:paraId="6DB1A80D" w14:textId="1309719A" w:rsidTr="000F71DC">
        <w:trPr>
          <w:trHeight w:val="243"/>
          <w:jc w:val="center"/>
        </w:trPr>
        <w:tc>
          <w:tcPr>
            <w:tcW w:w="2304" w:type="dxa"/>
            <w:tcBorders>
              <w:top w:val="single" w:sz="4" w:space="0" w:color="auto"/>
              <w:left w:val="single" w:sz="12" w:space="0" w:color="000000"/>
              <w:bottom w:val="single" w:sz="4" w:space="0" w:color="000000"/>
              <w:right w:val="single" w:sz="8" w:space="0" w:color="0070C0"/>
            </w:tcBorders>
            <w:shd w:val="clear" w:color="auto" w:fill="auto"/>
            <w:vAlign w:val="center"/>
          </w:tcPr>
          <w:p w14:paraId="0ED5E5AE" w14:textId="418CDA3B" w:rsidR="00E46948" w:rsidRDefault="00344FB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50–64</w:t>
            </w:r>
          </w:p>
        </w:tc>
        <w:tc>
          <w:tcPr>
            <w:tcW w:w="1152"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5821A631" w14:textId="7678AA8B" w:rsidR="00E46948" w:rsidRDefault="00344FBB" w:rsidP="00344FBB">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w:t>
            </w:r>
          </w:p>
        </w:tc>
        <w:tc>
          <w:tcPr>
            <w:tcW w:w="2303" w:type="dxa"/>
            <w:tcBorders>
              <w:top w:val="single" w:sz="4" w:space="0" w:color="auto"/>
              <w:left w:val="single" w:sz="18" w:space="0" w:color="0070C0"/>
              <w:bottom w:val="single" w:sz="4" w:space="0" w:color="000000"/>
              <w:right w:val="single" w:sz="8" w:space="0" w:color="0070C0"/>
            </w:tcBorders>
            <w:shd w:val="clear" w:color="auto" w:fill="auto"/>
            <w:vAlign w:val="center"/>
          </w:tcPr>
          <w:p w14:paraId="3ED90566" w14:textId="36F0294C" w:rsidR="00E46948" w:rsidRDefault="00344FBB" w:rsidP="00344FB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Latinx American</w:t>
            </w:r>
          </w:p>
        </w:tc>
        <w:tc>
          <w:tcPr>
            <w:tcW w:w="1152"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14413BD8" w14:textId="627D9F82" w:rsidR="00E46948" w:rsidRDefault="00344FB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c>
          <w:tcPr>
            <w:tcW w:w="2304"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6B0F4F2" w14:textId="7E5A1057" w:rsidR="00E46948" w:rsidRDefault="00344FBB" w:rsidP="00344FB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$90K+</w:t>
            </w:r>
          </w:p>
        </w:tc>
        <w:tc>
          <w:tcPr>
            <w:tcW w:w="1152" w:type="dxa"/>
            <w:tcBorders>
              <w:top w:val="single" w:sz="4" w:space="0" w:color="000000"/>
              <w:left w:val="single" w:sz="8" w:space="0" w:color="0070C0"/>
              <w:bottom w:val="single" w:sz="4" w:space="0" w:color="000000"/>
              <w:right w:val="single" w:sz="12" w:space="0" w:color="000000"/>
            </w:tcBorders>
            <w:shd w:val="clear" w:color="auto" w:fill="D99594" w:themeFill="accent2" w:themeFillTint="99"/>
            <w:vAlign w:val="center"/>
          </w:tcPr>
          <w:p w14:paraId="6C57EABF" w14:textId="6EE97B32" w:rsidR="00E46948" w:rsidRDefault="00344FB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w:t>
            </w:r>
          </w:p>
        </w:tc>
      </w:tr>
      <w:tr w:rsidR="00E46948" w:rsidRPr="00CC1ECE" w14:paraId="70CDFE96" w14:textId="3F1CCF1C" w:rsidTr="00344FBB">
        <w:trPr>
          <w:trHeight w:val="54"/>
          <w:jc w:val="center"/>
        </w:trPr>
        <w:tc>
          <w:tcPr>
            <w:tcW w:w="2304"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5388E725" w14:textId="6B652DB4" w:rsidR="00E46948" w:rsidRPr="00CC1ECE" w:rsidRDefault="00344FB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65+</w:t>
            </w:r>
          </w:p>
        </w:tc>
        <w:tc>
          <w:tcPr>
            <w:tcW w:w="1152" w:type="dxa"/>
            <w:tcBorders>
              <w:top w:val="single" w:sz="4" w:space="0" w:color="000000"/>
              <w:left w:val="single" w:sz="8" w:space="0" w:color="0070C0"/>
              <w:bottom w:val="single" w:sz="12" w:space="0" w:color="000000"/>
              <w:right w:val="single" w:sz="18" w:space="0" w:color="0070C0"/>
            </w:tcBorders>
            <w:shd w:val="clear" w:color="auto" w:fill="F2DBDB" w:themeFill="accent2" w:themeFillTint="33"/>
            <w:vAlign w:val="center"/>
          </w:tcPr>
          <w:p w14:paraId="556B5228" w14:textId="7FA45ED3" w:rsidR="00E46948" w:rsidRPr="00CC1ECE" w:rsidRDefault="00344FBB" w:rsidP="00344FBB">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c>
          <w:tcPr>
            <w:tcW w:w="2303"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461849FD" w14:textId="1C326C24" w:rsidR="00E46948" w:rsidRPr="00CC1ECE" w:rsidRDefault="00E46948" w:rsidP="00344FB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152" w:type="dxa"/>
            <w:tcBorders>
              <w:top w:val="single" w:sz="4" w:space="0" w:color="000000"/>
              <w:left w:val="single" w:sz="8" w:space="0" w:color="0070C0"/>
              <w:bottom w:val="single" w:sz="12" w:space="0" w:color="000000"/>
              <w:right w:val="single" w:sz="18" w:space="0" w:color="0070C0"/>
            </w:tcBorders>
            <w:shd w:val="clear" w:color="auto" w:fill="D9D9D9" w:themeFill="background1" w:themeFillShade="D9"/>
            <w:vAlign w:val="center"/>
          </w:tcPr>
          <w:p w14:paraId="47ED4A7D" w14:textId="296565B3" w:rsidR="00E46948" w:rsidRPr="00CC1ECE" w:rsidRDefault="00E4694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2304"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2CDB36B1" w14:textId="29C00E32" w:rsidR="00E46948" w:rsidRPr="00CC1ECE" w:rsidRDefault="00E46948" w:rsidP="00344FB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152"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4F4234D2" w14:textId="77777777" w:rsidR="00E46948" w:rsidRPr="00CC1ECE" w:rsidRDefault="00E4694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29ACBBFA" w14:textId="2713C40E" w:rsidR="00E46948" w:rsidRDefault="000F71DC" w:rsidP="000F71DC">
      <w:pPr>
        <w:spacing w:after="0" w:line="240" w:lineRule="auto"/>
        <w:ind w:hanging="450"/>
        <w:contextualSpacing/>
        <w:mirrorIndents/>
        <w:rPr>
          <w:rFonts w:ascii="Verdana" w:hAnsi="Verdana"/>
          <w:sz w:val="20"/>
          <w:szCs w:val="20"/>
        </w:rPr>
      </w:pPr>
      <w:r>
        <w:rPr>
          <w:rFonts w:ascii="Verdana" w:hAnsi="Verdana"/>
          <w:sz w:val="16"/>
          <w:szCs w:val="16"/>
        </w:rPr>
        <w:t>Kaiser Family Foundation</w:t>
      </w:r>
      <w:r w:rsidR="00E46948" w:rsidRPr="00CC1ECE">
        <w:rPr>
          <w:rFonts w:ascii="Verdana" w:hAnsi="Verdana"/>
          <w:sz w:val="16"/>
          <w:szCs w:val="16"/>
        </w:rPr>
        <w:t xml:space="preserve">, </w:t>
      </w:r>
      <w:r>
        <w:rPr>
          <w:rFonts w:ascii="Verdana" w:hAnsi="Verdana"/>
          <w:sz w:val="16"/>
          <w:szCs w:val="16"/>
        </w:rPr>
        <w:t>December 2021</w:t>
      </w:r>
    </w:p>
    <w:p w14:paraId="2032747A" w14:textId="4AAB257E" w:rsidR="00AD58F1" w:rsidRDefault="00AD58F1" w:rsidP="00331B4F">
      <w:pPr>
        <w:spacing w:after="0" w:line="240" w:lineRule="auto"/>
        <w:contextualSpacing/>
        <w:mirrorIndents/>
        <w:rPr>
          <w:rFonts w:ascii="Verdana" w:hAnsi="Verdana"/>
          <w:sz w:val="20"/>
          <w:szCs w:val="20"/>
        </w:rPr>
      </w:pPr>
    </w:p>
    <w:p w14:paraId="3A0906A9" w14:textId="463CEDE1" w:rsidR="00557151" w:rsidRPr="00D81A22" w:rsidRDefault="00557151" w:rsidP="00D81A22">
      <w:pPr>
        <w:spacing w:after="0" w:line="240" w:lineRule="auto"/>
        <w:contextualSpacing/>
        <w:mirrorIndents/>
        <w:jc w:val="center"/>
        <w:rPr>
          <w:rFonts w:ascii="Verdana" w:hAnsi="Verdana"/>
          <w:b/>
          <w:bCs/>
          <w:color w:val="0070C0"/>
          <w:sz w:val="20"/>
          <w:szCs w:val="20"/>
        </w:rPr>
      </w:pPr>
      <w:r w:rsidRPr="00D81A22">
        <w:rPr>
          <w:rFonts w:ascii="Verdana" w:hAnsi="Verdana"/>
          <w:b/>
          <w:bCs/>
          <w:color w:val="0070C0"/>
          <w:sz w:val="20"/>
          <w:szCs w:val="20"/>
        </w:rPr>
        <w:lastRenderedPageBreak/>
        <w:t>Consumers’ Perspectives on Healthcare</w:t>
      </w:r>
    </w:p>
    <w:p w14:paraId="7686DB98" w14:textId="4D9AB824" w:rsidR="000E697B" w:rsidRDefault="000E697B" w:rsidP="00331B4F">
      <w:pPr>
        <w:spacing w:after="0" w:line="240" w:lineRule="auto"/>
        <w:contextualSpacing/>
        <w:mirrorIndents/>
        <w:rPr>
          <w:rFonts w:ascii="Verdana" w:hAnsi="Verdana"/>
          <w:sz w:val="20"/>
          <w:szCs w:val="20"/>
        </w:rPr>
      </w:pPr>
    </w:p>
    <w:p w14:paraId="439712D5" w14:textId="7352FA5F" w:rsidR="00D81A22" w:rsidRDefault="00D81A22" w:rsidP="00331B4F">
      <w:pPr>
        <w:spacing w:after="0" w:line="240" w:lineRule="auto"/>
        <w:contextualSpacing/>
        <w:mirrorIndents/>
        <w:rPr>
          <w:rFonts w:ascii="Verdana" w:hAnsi="Verdana"/>
          <w:sz w:val="20"/>
          <w:szCs w:val="20"/>
        </w:rPr>
      </w:pPr>
      <w:r>
        <w:rPr>
          <w:rFonts w:ascii="Verdana" w:hAnsi="Verdana"/>
          <w:sz w:val="20"/>
          <w:szCs w:val="20"/>
        </w:rPr>
        <w:t xml:space="preserve">According to the NCR Health 2021 Healthcare Consumer Trends Report, consumer trust in </w:t>
      </w:r>
      <w:r w:rsidR="00221853">
        <w:rPr>
          <w:rFonts w:ascii="Verdana" w:hAnsi="Verdana"/>
          <w:sz w:val="20"/>
          <w:szCs w:val="20"/>
        </w:rPr>
        <w:t>health</w:t>
      </w:r>
      <w:r>
        <w:rPr>
          <w:rFonts w:ascii="Verdana" w:hAnsi="Verdana"/>
          <w:sz w:val="20"/>
          <w:szCs w:val="20"/>
        </w:rPr>
        <w:t>care teams remained strong at 95% (Q1 2020) and 96% (Q3 2020)</w:t>
      </w:r>
      <w:r w:rsidR="00B74B31">
        <w:rPr>
          <w:rFonts w:ascii="Verdana" w:hAnsi="Verdana"/>
          <w:sz w:val="20"/>
          <w:szCs w:val="20"/>
        </w:rPr>
        <w:t xml:space="preserve"> and </w:t>
      </w:r>
      <w:r>
        <w:rPr>
          <w:rFonts w:ascii="Verdana" w:hAnsi="Verdana"/>
          <w:sz w:val="20"/>
          <w:szCs w:val="20"/>
        </w:rPr>
        <w:t>in healthcare staff</w:t>
      </w:r>
      <w:r w:rsidR="00AA4186">
        <w:rPr>
          <w:rFonts w:ascii="Verdana" w:hAnsi="Verdana"/>
          <w:sz w:val="20"/>
          <w:szCs w:val="20"/>
        </w:rPr>
        <w:t>s</w:t>
      </w:r>
      <w:r w:rsidR="00B74B31">
        <w:rPr>
          <w:rFonts w:ascii="Verdana" w:hAnsi="Verdana"/>
          <w:sz w:val="20"/>
          <w:szCs w:val="20"/>
        </w:rPr>
        <w:t xml:space="preserve"> at</w:t>
      </w:r>
      <w:r w:rsidR="007B1AAB">
        <w:rPr>
          <w:rFonts w:ascii="Verdana" w:hAnsi="Verdana"/>
          <w:sz w:val="20"/>
          <w:szCs w:val="20"/>
        </w:rPr>
        <w:t xml:space="preserve"> 88% and 93%, respectively.</w:t>
      </w:r>
    </w:p>
    <w:p w14:paraId="29B9EF48" w14:textId="5D1D6815" w:rsidR="00D81A22" w:rsidRDefault="00D81A22" w:rsidP="00331B4F">
      <w:pPr>
        <w:spacing w:after="0" w:line="240" w:lineRule="auto"/>
        <w:contextualSpacing/>
        <w:mirrorIndents/>
        <w:rPr>
          <w:rFonts w:ascii="Verdana" w:hAnsi="Verdana"/>
          <w:sz w:val="20"/>
          <w:szCs w:val="20"/>
        </w:rPr>
      </w:pPr>
    </w:p>
    <w:p w14:paraId="4C2EE00B" w14:textId="7CDE057B" w:rsidR="00D81A22" w:rsidRDefault="007B1AAB" w:rsidP="00331B4F">
      <w:pPr>
        <w:spacing w:after="0" w:line="240" w:lineRule="auto"/>
        <w:contextualSpacing/>
        <w:mirrorIndents/>
        <w:rPr>
          <w:rFonts w:ascii="Verdana" w:hAnsi="Verdana"/>
          <w:sz w:val="20"/>
          <w:szCs w:val="20"/>
        </w:rPr>
      </w:pPr>
      <w:r>
        <w:rPr>
          <w:rFonts w:ascii="Verdana" w:hAnsi="Verdana"/>
          <w:sz w:val="20"/>
          <w:szCs w:val="20"/>
        </w:rPr>
        <w:t>Despite this increasing trust, 36% of surveyed consumers said they had no healthcare brand preference, increasing five percentage points from 2018 (31%). 45% of consumers said the pandemic was a major cause of them changing their brand preference.</w:t>
      </w:r>
    </w:p>
    <w:p w14:paraId="6C85377E" w14:textId="6A4C01B6" w:rsidR="007B1AAB" w:rsidRDefault="007B1AAB" w:rsidP="00331B4F">
      <w:pPr>
        <w:spacing w:after="0" w:line="240" w:lineRule="auto"/>
        <w:contextualSpacing/>
        <w:mirrorIndents/>
        <w:rPr>
          <w:rFonts w:ascii="Verdana" w:hAnsi="Verdana"/>
          <w:sz w:val="20"/>
          <w:szCs w:val="20"/>
        </w:rPr>
      </w:pPr>
    </w:p>
    <w:p w14:paraId="00EA9CF4" w14:textId="75B5E595" w:rsidR="003A54AB" w:rsidRDefault="003A54AB" w:rsidP="00331B4F">
      <w:pPr>
        <w:spacing w:after="0" w:line="240" w:lineRule="auto"/>
        <w:contextualSpacing/>
        <w:mirrorIndents/>
        <w:rPr>
          <w:rFonts w:ascii="Verdana" w:hAnsi="Verdana"/>
          <w:sz w:val="20"/>
          <w:szCs w:val="20"/>
        </w:rPr>
      </w:pPr>
      <w:r>
        <w:rPr>
          <w:rFonts w:ascii="Verdana" w:hAnsi="Verdana"/>
          <w:sz w:val="20"/>
          <w:szCs w:val="20"/>
        </w:rPr>
        <w:t>The results of the NCR Health report indicate convenience is the primary factor for choosing a healthcare provider, with 49% of consumers stating convenient locations</w:t>
      </w:r>
      <w:r w:rsidR="00D22D2A">
        <w:rPr>
          <w:rFonts w:ascii="Verdana" w:hAnsi="Verdana"/>
          <w:sz w:val="20"/>
          <w:szCs w:val="20"/>
        </w:rPr>
        <w:t>. Convenience at 52% was second to insurance coverage influencing healthcare brand choice.</w:t>
      </w:r>
    </w:p>
    <w:p w14:paraId="677A7ACA" w14:textId="60C572DE" w:rsidR="00D22D2A" w:rsidRDefault="00D22D2A" w:rsidP="00331B4F">
      <w:pPr>
        <w:spacing w:after="0" w:line="240" w:lineRule="auto"/>
        <w:contextualSpacing/>
        <w:mirrorIndents/>
        <w:rPr>
          <w:rFonts w:ascii="Verdana" w:hAnsi="Verdana"/>
          <w:sz w:val="20"/>
          <w:szCs w:val="20"/>
        </w:rPr>
      </w:pPr>
    </w:p>
    <w:p w14:paraId="541DF4C1" w14:textId="77777777" w:rsidR="009D29C4" w:rsidRDefault="009D29C4" w:rsidP="009D29C4">
      <w:pPr>
        <w:pStyle w:val="Header"/>
        <w:contextualSpacing/>
        <w:jc w:val="center"/>
        <w:rPr>
          <w:rFonts w:ascii="Verdana" w:hAnsi="Verdana"/>
          <w:b/>
          <w:sz w:val="20"/>
          <w:szCs w:val="20"/>
        </w:rPr>
      </w:pPr>
      <w:r>
        <w:rPr>
          <w:rFonts w:ascii="Verdana" w:hAnsi="Verdana"/>
          <w:b/>
          <w:sz w:val="20"/>
          <w:szCs w:val="20"/>
        </w:rPr>
        <w:t xml:space="preserve">How the Pandemic Experience Has Changed Consumers’ View of </w:t>
      </w:r>
    </w:p>
    <w:p w14:paraId="49CB176B" w14:textId="1C437F62" w:rsidR="009D29C4" w:rsidRPr="00CC1ECE" w:rsidRDefault="009D29C4" w:rsidP="009D29C4">
      <w:pPr>
        <w:pStyle w:val="Header"/>
        <w:contextualSpacing/>
        <w:jc w:val="center"/>
        <w:rPr>
          <w:rFonts w:ascii="Verdana" w:hAnsi="Verdana"/>
          <w:b/>
          <w:sz w:val="20"/>
          <w:szCs w:val="20"/>
        </w:rPr>
      </w:pPr>
      <w:r>
        <w:rPr>
          <w:rFonts w:ascii="Verdana" w:hAnsi="Verdana"/>
          <w:b/>
          <w:sz w:val="20"/>
          <w:szCs w:val="20"/>
        </w:rPr>
        <w:t>the US Healthcare System, September and October 2021</w:t>
      </w:r>
    </w:p>
    <w:tbl>
      <w:tblPr>
        <w:tblW w:w="7575" w:type="dxa"/>
        <w:jc w:val="center"/>
        <w:tblBorders>
          <w:left w:val="single" w:sz="8" w:space="0" w:color="000000"/>
          <w:right w:val="single" w:sz="8" w:space="0" w:color="000000"/>
        </w:tblBorders>
        <w:tblLayout w:type="fixed"/>
        <w:tblLook w:val="0000" w:firstRow="0" w:lastRow="0" w:firstColumn="0" w:lastColumn="0" w:noHBand="0" w:noVBand="0"/>
      </w:tblPr>
      <w:tblGrid>
        <w:gridCol w:w="1425"/>
        <w:gridCol w:w="1230"/>
        <w:gridCol w:w="1230"/>
        <w:gridCol w:w="1230"/>
        <w:gridCol w:w="1230"/>
        <w:gridCol w:w="1230"/>
      </w:tblGrid>
      <w:tr w:rsidR="009D29C4" w:rsidRPr="00CC1ECE" w14:paraId="4A1B7E60" w14:textId="77777777" w:rsidTr="009D29C4">
        <w:trPr>
          <w:jc w:val="center"/>
        </w:trPr>
        <w:tc>
          <w:tcPr>
            <w:tcW w:w="1425" w:type="dxa"/>
            <w:tcBorders>
              <w:top w:val="single" w:sz="12" w:space="0" w:color="000000"/>
              <w:left w:val="single" w:sz="12" w:space="0" w:color="000000"/>
              <w:bottom w:val="single" w:sz="18" w:space="0" w:color="C0504D" w:themeColor="accent2"/>
              <w:right w:val="single" w:sz="18" w:space="0" w:color="0070C0"/>
            </w:tcBorders>
            <w:vAlign w:val="center"/>
          </w:tcPr>
          <w:p w14:paraId="0F4E39F8" w14:textId="532F966F" w:rsidR="009D29C4" w:rsidRPr="00CC1ECE" w:rsidRDefault="009D29C4"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View</w:t>
            </w:r>
          </w:p>
        </w:tc>
        <w:tc>
          <w:tcPr>
            <w:tcW w:w="1230" w:type="dxa"/>
            <w:tcBorders>
              <w:top w:val="single" w:sz="12" w:space="0" w:color="000000"/>
              <w:left w:val="single" w:sz="18" w:space="0" w:color="0070C0"/>
              <w:bottom w:val="single" w:sz="18" w:space="0" w:color="C0504D" w:themeColor="accent2"/>
              <w:right w:val="single" w:sz="8" w:space="0" w:color="0070C0"/>
            </w:tcBorders>
            <w:vAlign w:val="center"/>
          </w:tcPr>
          <w:p w14:paraId="47128741" w14:textId="2E407FFA" w:rsidR="009D29C4" w:rsidRPr="00CC1ECE" w:rsidRDefault="009D29C4"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18–29</w:t>
            </w:r>
          </w:p>
        </w:tc>
        <w:tc>
          <w:tcPr>
            <w:tcW w:w="1230" w:type="dxa"/>
            <w:tcBorders>
              <w:top w:val="single" w:sz="12" w:space="0" w:color="000000"/>
              <w:left w:val="single" w:sz="8" w:space="0" w:color="0070C0"/>
              <w:bottom w:val="single" w:sz="18" w:space="0" w:color="C0504D" w:themeColor="accent2"/>
              <w:right w:val="single" w:sz="8" w:space="0" w:color="0070C0"/>
            </w:tcBorders>
            <w:vAlign w:val="center"/>
          </w:tcPr>
          <w:p w14:paraId="2CDBB03E" w14:textId="70349E66" w:rsidR="009D29C4" w:rsidRPr="00CC1ECE" w:rsidRDefault="009D29C4"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30–39</w:t>
            </w:r>
          </w:p>
        </w:tc>
        <w:tc>
          <w:tcPr>
            <w:tcW w:w="1230" w:type="dxa"/>
            <w:tcBorders>
              <w:top w:val="single" w:sz="12" w:space="0" w:color="000000"/>
              <w:left w:val="single" w:sz="8" w:space="0" w:color="0070C0"/>
              <w:bottom w:val="single" w:sz="18" w:space="0" w:color="C0504D" w:themeColor="accent2"/>
              <w:right w:val="single" w:sz="8" w:space="0" w:color="0070C0"/>
            </w:tcBorders>
            <w:vAlign w:val="center"/>
          </w:tcPr>
          <w:p w14:paraId="0304F605" w14:textId="0BF6587C" w:rsidR="009D29C4" w:rsidRPr="00CC1ECE" w:rsidRDefault="009D29C4"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40–49</w:t>
            </w:r>
          </w:p>
        </w:tc>
        <w:tc>
          <w:tcPr>
            <w:tcW w:w="1230" w:type="dxa"/>
            <w:tcBorders>
              <w:top w:val="single" w:sz="12" w:space="0" w:color="000000"/>
              <w:left w:val="single" w:sz="8" w:space="0" w:color="0070C0"/>
              <w:bottom w:val="single" w:sz="18" w:space="0" w:color="C0504D" w:themeColor="accent2"/>
              <w:right w:val="single" w:sz="8" w:space="0" w:color="0070C0"/>
            </w:tcBorders>
            <w:vAlign w:val="center"/>
          </w:tcPr>
          <w:p w14:paraId="705ED9D5" w14:textId="4E644E7F" w:rsidR="009D29C4" w:rsidRPr="00CC1ECE" w:rsidRDefault="009D29C4"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50–64</w:t>
            </w:r>
          </w:p>
        </w:tc>
        <w:tc>
          <w:tcPr>
            <w:tcW w:w="1230" w:type="dxa"/>
            <w:tcBorders>
              <w:top w:val="single" w:sz="12" w:space="0" w:color="000000"/>
              <w:left w:val="single" w:sz="8" w:space="0" w:color="0070C0"/>
              <w:bottom w:val="single" w:sz="18" w:space="0" w:color="C0504D" w:themeColor="accent2"/>
              <w:right w:val="single" w:sz="12" w:space="0" w:color="000000"/>
            </w:tcBorders>
            <w:vAlign w:val="center"/>
          </w:tcPr>
          <w:p w14:paraId="01D7AD2E" w14:textId="52504A2F" w:rsidR="009D29C4" w:rsidRPr="00CC1ECE" w:rsidRDefault="009D29C4"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65+</w:t>
            </w:r>
          </w:p>
        </w:tc>
      </w:tr>
      <w:tr w:rsidR="009D29C4" w:rsidRPr="00CC1ECE" w14:paraId="1ED3B55E" w14:textId="77777777" w:rsidTr="007112CF">
        <w:trPr>
          <w:trHeight w:val="243"/>
          <w:jc w:val="center"/>
        </w:trPr>
        <w:tc>
          <w:tcPr>
            <w:tcW w:w="142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1BCBF95A" w14:textId="083A8322" w:rsidR="009D29C4" w:rsidRPr="00CC1ECE" w:rsidRDefault="009D29C4"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Better</w:t>
            </w:r>
          </w:p>
        </w:tc>
        <w:tc>
          <w:tcPr>
            <w:tcW w:w="1230"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7B29BF51" w14:textId="04FEB8E3"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w:t>
            </w:r>
          </w:p>
        </w:tc>
        <w:tc>
          <w:tcPr>
            <w:tcW w:w="1230"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0B9D8D86" w14:textId="2D775339"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w:t>
            </w:r>
          </w:p>
        </w:tc>
        <w:tc>
          <w:tcPr>
            <w:tcW w:w="1230"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364B1457" w14:textId="53FEAAD4"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c>
          <w:tcPr>
            <w:tcW w:w="1230" w:type="dxa"/>
            <w:tcBorders>
              <w:top w:val="single" w:sz="18" w:space="0" w:color="C0504D" w:themeColor="accent2"/>
              <w:left w:val="single" w:sz="8" w:space="0" w:color="0070C0"/>
              <w:bottom w:val="single" w:sz="4" w:space="0" w:color="000000"/>
              <w:right w:val="single" w:sz="8" w:space="0" w:color="0070C0"/>
            </w:tcBorders>
            <w:shd w:val="clear" w:color="auto" w:fill="D6E3BC" w:themeFill="accent3" w:themeFillTint="66"/>
            <w:vAlign w:val="center"/>
          </w:tcPr>
          <w:p w14:paraId="79580C18" w14:textId="66358443"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c>
          <w:tcPr>
            <w:tcW w:w="1230"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41D4E14A" w14:textId="0FAD9753"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r>
      <w:tr w:rsidR="009D29C4" w:rsidRPr="00CC1ECE" w14:paraId="0E87750A" w14:textId="77777777" w:rsidTr="00646228">
        <w:trPr>
          <w:trHeight w:val="243"/>
          <w:jc w:val="center"/>
        </w:trPr>
        <w:tc>
          <w:tcPr>
            <w:tcW w:w="14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AE196B0" w14:textId="69E5E3DB" w:rsidR="009D29C4" w:rsidRDefault="009D29C4"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 change</w:t>
            </w:r>
          </w:p>
        </w:tc>
        <w:tc>
          <w:tcPr>
            <w:tcW w:w="1230"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7B5EB8F9" w14:textId="5F06D2CC"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32%</w:t>
            </w:r>
          </w:p>
        </w:tc>
        <w:tc>
          <w:tcPr>
            <w:tcW w:w="123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7BEB1CE4" w14:textId="06ADE936"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w:t>
            </w:r>
          </w:p>
        </w:tc>
        <w:tc>
          <w:tcPr>
            <w:tcW w:w="123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05C06186" w14:textId="56F51A54"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w:t>
            </w:r>
          </w:p>
        </w:tc>
        <w:tc>
          <w:tcPr>
            <w:tcW w:w="123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406A0D8C" w14:textId="5DB2E63D"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w:t>
            </w:r>
          </w:p>
        </w:tc>
        <w:tc>
          <w:tcPr>
            <w:tcW w:w="1230"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3F9692B8" w14:textId="4F2A434A"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w:t>
            </w:r>
          </w:p>
        </w:tc>
      </w:tr>
      <w:tr w:rsidR="009D29C4" w:rsidRPr="00CC1ECE" w14:paraId="4A74F153" w14:textId="77777777" w:rsidTr="007112CF">
        <w:trPr>
          <w:trHeight w:val="243"/>
          <w:jc w:val="center"/>
        </w:trPr>
        <w:tc>
          <w:tcPr>
            <w:tcW w:w="14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DA1AC16" w14:textId="5D9A29A7" w:rsidR="009D29C4" w:rsidRDefault="009D29C4"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Worse</w:t>
            </w:r>
          </w:p>
        </w:tc>
        <w:tc>
          <w:tcPr>
            <w:tcW w:w="1230" w:type="dxa"/>
            <w:tcBorders>
              <w:top w:val="single" w:sz="4" w:space="0" w:color="auto"/>
              <w:left w:val="single" w:sz="18" w:space="0" w:color="0070C0"/>
              <w:bottom w:val="single" w:sz="4" w:space="0" w:color="000000"/>
              <w:right w:val="single" w:sz="8" w:space="0" w:color="0070C0"/>
            </w:tcBorders>
            <w:shd w:val="clear" w:color="auto" w:fill="FF0000"/>
            <w:vAlign w:val="center"/>
          </w:tcPr>
          <w:p w14:paraId="3E53D5AF" w14:textId="56582300"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58%</w:t>
            </w:r>
          </w:p>
        </w:tc>
        <w:tc>
          <w:tcPr>
            <w:tcW w:w="1230" w:type="dxa"/>
            <w:tcBorders>
              <w:top w:val="single" w:sz="4" w:space="0" w:color="000000"/>
              <w:left w:val="single" w:sz="8" w:space="0" w:color="0070C0"/>
              <w:bottom w:val="single" w:sz="4" w:space="0" w:color="000000"/>
              <w:right w:val="single" w:sz="8" w:space="0" w:color="0070C0"/>
            </w:tcBorders>
            <w:shd w:val="clear" w:color="auto" w:fill="FF0000"/>
            <w:vAlign w:val="center"/>
          </w:tcPr>
          <w:p w14:paraId="313960A2" w14:textId="3B6A2006"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w:t>
            </w:r>
          </w:p>
        </w:tc>
        <w:tc>
          <w:tcPr>
            <w:tcW w:w="1230" w:type="dxa"/>
            <w:tcBorders>
              <w:top w:val="single" w:sz="4" w:space="0" w:color="000000"/>
              <w:left w:val="single" w:sz="8" w:space="0" w:color="0070C0"/>
              <w:bottom w:val="single" w:sz="4" w:space="0" w:color="000000"/>
              <w:right w:val="single" w:sz="8" w:space="0" w:color="0070C0"/>
            </w:tcBorders>
            <w:shd w:val="clear" w:color="auto" w:fill="FF0000"/>
            <w:vAlign w:val="center"/>
          </w:tcPr>
          <w:p w14:paraId="013CFA53" w14:textId="6009C963"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52%</w:t>
            </w:r>
          </w:p>
        </w:tc>
        <w:tc>
          <w:tcPr>
            <w:tcW w:w="1230"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1B5C02F8" w14:textId="7785D19F"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w:t>
            </w:r>
          </w:p>
        </w:tc>
        <w:tc>
          <w:tcPr>
            <w:tcW w:w="1230" w:type="dxa"/>
            <w:tcBorders>
              <w:top w:val="single" w:sz="4" w:space="0" w:color="000000"/>
              <w:left w:val="single" w:sz="8" w:space="0" w:color="0070C0"/>
              <w:bottom w:val="single" w:sz="4" w:space="0" w:color="000000"/>
              <w:right w:val="single" w:sz="12" w:space="0" w:color="000000"/>
            </w:tcBorders>
            <w:shd w:val="clear" w:color="auto" w:fill="D99594" w:themeFill="accent2" w:themeFillTint="99"/>
            <w:vAlign w:val="center"/>
          </w:tcPr>
          <w:p w14:paraId="33EA9C24" w14:textId="3B188934" w:rsidR="009D29C4"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w:t>
            </w:r>
          </w:p>
        </w:tc>
      </w:tr>
      <w:tr w:rsidR="009D29C4" w:rsidRPr="00CC1ECE" w14:paraId="500F174E" w14:textId="77777777" w:rsidTr="007112CF">
        <w:trPr>
          <w:trHeight w:val="54"/>
          <w:jc w:val="center"/>
        </w:trPr>
        <w:tc>
          <w:tcPr>
            <w:tcW w:w="142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35ACFFD" w14:textId="2EDA0419" w:rsidR="009D29C4" w:rsidRPr="00CC1ECE" w:rsidRDefault="009D29C4"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Don’t know</w:t>
            </w:r>
          </w:p>
        </w:tc>
        <w:tc>
          <w:tcPr>
            <w:tcW w:w="1230" w:type="dxa"/>
            <w:tcBorders>
              <w:top w:val="single" w:sz="4" w:space="0" w:color="000000"/>
              <w:left w:val="single" w:sz="18" w:space="0" w:color="0070C0"/>
              <w:bottom w:val="single" w:sz="12" w:space="0" w:color="000000"/>
              <w:right w:val="single" w:sz="8" w:space="0" w:color="0070C0"/>
            </w:tcBorders>
            <w:shd w:val="clear" w:color="auto" w:fill="F2F2F2" w:themeFill="background1" w:themeFillShade="F2"/>
            <w:vAlign w:val="center"/>
          </w:tcPr>
          <w:p w14:paraId="4DE9DC00" w14:textId="3A5DEB25"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c>
          <w:tcPr>
            <w:tcW w:w="1230" w:type="dxa"/>
            <w:tcBorders>
              <w:top w:val="single" w:sz="4" w:space="0" w:color="000000"/>
              <w:left w:val="single" w:sz="8" w:space="0" w:color="0070C0"/>
              <w:bottom w:val="single" w:sz="12" w:space="0" w:color="000000"/>
              <w:right w:val="single" w:sz="8" w:space="0" w:color="0070C0"/>
            </w:tcBorders>
            <w:shd w:val="clear" w:color="auto" w:fill="F2F2F2" w:themeFill="background1" w:themeFillShade="F2"/>
            <w:vAlign w:val="center"/>
          </w:tcPr>
          <w:p w14:paraId="1FA9C398" w14:textId="2CBE5BC9"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c>
          <w:tcPr>
            <w:tcW w:w="1230" w:type="dxa"/>
            <w:tcBorders>
              <w:top w:val="single" w:sz="4" w:space="0" w:color="000000"/>
              <w:left w:val="single" w:sz="8" w:space="0" w:color="0070C0"/>
              <w:bottom w:val="single" w:sz="12" w:space="0" w:color="000000"/>
              <w:right w:val="single" w:sz="8" w:space="0" w:color="0070C0"/>
            </w:tcBorders>
            <w:shd w:val="clear" w:color="auto" w:fill="F2F2F2" w:themeFill="background1" w:themeFillShade="F2"/>
            <w:vAlign w:val="center"/>
          </w:tcPr>
          <w:p w14:paraId="4EC15EA8" w14:textId="666FE06F"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c>
          <w:tcPr>
            <w:tcW w:w="1230" w:type="dxa"/>
            <w:tcBorders>
              <w:top w:val="single" w:sz="4" w:space="0" w:color="000000"/>
              <w:left w:val="single" w:sz="8" w:space="0" w:color="0070C0"/>
              <w:bottom w:val="single" w:sz="12" w:space="0" w:color="000000"/>
              <w:right w:val="single" w:sz="8" w:space="0" w:color="0070C0"/>
            </w:tcBorders>
            <w:shd w:val="clear" w:color="auto" w:fill="F2F2F2" w:themeFill="background1" w:themeFillShade="F2"/>
            <w:vAlign w:val="center"/>
          </w:tcPr>
          <w:p w14:paraId="6B5934F6" w14:textId="7DBB0E28"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c>
          <w:tcPr>
            <w:tcW w:w="1230" w:type="dxa"/>
            <w:tcBorders>
              <w:top w:val="single" w:sz="4" w:space="0" w:color="000000"/>
              <w:left w:val="single" w:sz="8" w:space="0" w:color="0070C0"/>
              <w:bottom w:val="single" w:sz="12" w:space="0" w:color="000000"/>
              <w:right w:val="single" w:sz="12" w:space="0" w:color="000000"/>
            </w:tcBorders>
            <w:shd w:val="clear" w:color="auto" w:fill="F2F2F2" w:themeFill="background1" w:themeFillShade="F2"/>
            <w:vAlign w:val="center"/>
          </w:tcPr>
          <w:p w14:paraId="5851AAB7" w14:textId="048D1258" w:rsidR="009D29C4" w:rsidRPr="00CC1ECE" w:rsidRDefault="009D29C4"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r>
    </w:tbl>
    <w:p w14:paraId="11D4A689" w14:textId="0D9A5A03" w:rsidR="00D22D2A" w:rsidRDefault="009D29C4" w:rsidP="009D29C4">
      <w:pPr>
        <w:tabs>
          <w:tab w:val="left" w:pos="900"/>
        </w:tabs>
        <w:spacing w:after="0" w:line="240" w:lineRule="auto"/>
        <w:contextualSpacing/>
        <w:mirrorIndents/>
        <w:rPr>
          <w:rFonts w:ascii="Verdana" w:hAnsi="Verdana"/>
          <w:sz w:val="20"/>
          <w:szCs w:val="20"/>
        </w:rPr>
      </w:pPr>
      <w:r>
        <w:rPr>
          <w:sz w:val="16"/>
          <w:szCs w:val="16"/>
        </w:rPr>
        <w:tab/>
        <w:t>West Health and Gallup</w:t>
      </w:r>
      <w:r w:rsidRPr="004A0F51">
        <w:rPr>
          <w:rFonts w:ascii="Verdana" w:hAnsi="Verdana"/>
          <w:sz w:val="16"/>
          <w:szCs w:val="16"/>
        </w:rPr>
        <w:t>, December 20</w:t>
      </w:r>
      <w:r>
        <w:rPr>
          <w:rFonts w:ascii="Verdana" w:hAnsi="Verdana"/>
          <w:sz w:val="16"/>
          <w:szCs w:val="16"/>
        </w:rPr>
        <w:t>21</w:t>
      </w:r>
    </w:p>
    <w:p w14:paraId="452FD94C" w14:textId="77777777" w:rsidR="007B1AAB" w:rsidRDefault="007B1AAB" w:rsidP="00331B4F">
      <w:pPr>
        <w:spacing w:after="0" w:line="240" w:lineRule="auto"/>
        <w:contextualSpacing/>
        <w:mirrorIndents/>
        <w:rPr>
          <w:rFonts w:ascii="Verdana" w:hAnsi="Verdana"/>
          <w:sz w:val="20"/>
          <w:szCs w:val="20"/>
        </w:rPr>
      </w:pPr>
    </w:p>
    <w:p w14:paraId="707AD731" w14:textId="77777777" w:rsidR="00132BF2" w:rsidRPr="00132BF2" w:rsidRDefault="00132BF2" w:rsidP="00132BF2">
      <w:pPr>
        <w:spacing w:after="0" w:line="240" w:lineRule="auto"/>
        <w:contextualSpacing/>
        <w:mirrorIndents/>
        <w:jc w:val="center"/>
        <w:rPr>
          <w:rFonts w:ascii="Verdana" w:hAnsi="Verdana"/>
          <w:b/>
          <w:bCs/>
          <w:color w:val="0070C0"/>
          <w:sz w:val="20"/>
          <w:szCs w:val="20"/>
        </w:rPr>
      </w:pPr>
      <w:r w:rsidRPr="00132BF2">
        <w:rPr>
          <w:rFonts w:ascii="Verdana" w:hAnsi="Verdana"/>
          <w:b/>
          <w:bCs/>
          <w:color w:val="0070C0"/>
          <w:sz w:val="20"/>
          <w:szCs w:val="20"/>
        </w:rPr>
        <w:t>Physicians’ Perspectives</w:t>
      </w:r>
    </w:p>
    <w:p w14:paraId="24926E3B" w14:textId="339E59C1" w:rsidR="00D81A22" w:rsidRDefault="00D81A22" w:rsidP="00331B4F">
      <w:pPr>
        <w:spacing w:after="0" w:line="240" w:lineRule="auto"/>
        <w:contextualSpacing/>
        <w:mirrorIndents/>
        <w:rPr>
          <w:rFonts w:ascii="Verdana" w:hAnsi="Verdana"/>
          <w:sz w:val="20"/>
          <w:szCs w:val="20"/>
        </w:rPr>
      </w:pPr>
    </w:p>
    <w:p w14:paraId="5CE60AC4" w14:textId="787977A9" w:rsidR="00132BF2" w:rsidRDefault="00074B14" w:rsidP="00331B4F">
      <w:pPr>
        <w:spacing w:after="0" w:line="240" w:lineRule="auto"/>
        <w:contextualSpacing/>
        <w:mirrorIndents/>
        <w:rPr>
          <w:rFonts w:ascii="Verdana" w:hAnsi="Verdana"/>
          <w:sz w:val="20"/>
          <w:szCs w:val="20"/>
        </w:rPr>
      </w:pPr>
      <w:r>
        <w:rPr>
          <w:rFonts w:ascii="Verdana" w:hAnsi="Verdana"/>
          <w:sz w:val="20"/>
          <w:szCs w:val="20"/>
        </w:rPr>
        <w:t>Professional burnout is one of the primary outcomes of the burden on physicians during the pandemic. According to a May/June 2021 survey from The Physicians Foundation, female physicians (69%) and primary care physicians (66%) were experiencing the most burnout.</w:t>
      </w:r>
    </w:p>
    <w:p w14:paraId="2E874150" w14:textId="15E16764" w:rsidR="00074B14" w:rsidRDefault="00074B14" w:rsidP="00331B4F">
      <w:pPr>
        <w:spacing w:after="0" w:line="240" w:lineRule="auto"/>
        <w:contextualSpacing/>
        <w:mirrorIndents/>
        <w:rPr>
          <w:rFonts w:ascii="Verdana" w:hAnsi="Verdana"/>
          <w:sz w:val="20"/>
          <w:szCs w:val="20"/>
        </w:rPr>
      </w:pPr>
    </w:p>
    <w:p w14:paraId="03482C31" w14:textId="34543938" w:rsidR="00074B14" w:rsidRDefault="00074B14" w:rsidP="00331B4F">
      <w:pPr>
        <w:spacing w:after="0" w:line="240" w:lineRule="auto"/>
        <w:contextualSpacing/>
        <w:mirrorIndents/>
        <w:rPr>
          <w:rFonts w:ascii="Verdana" w:hAnsi="Verdana"/>
          <w:sz w:val="20"/>
          <w:szCs w:val="20"/>
        </w:rPr>
      </w:pPr>
      <w:r>
        <w:rPr>
          <w:rFonts w:ascii="Verdana" w:hAnsi="Verdana"/>
          <w:sz w:val="20"/>
          <w:szCs w:val="20"/>
        </w:rPr>
        <w:t>The pandemic has also impacted physicians in other ways</w:t>
      </w:r>
      <w:r w:rsidR="002D2331">
        <w:rPr>
          <w:rFonts w:ascii="Verdana" w:hAnsi="Verdana"/>
          <w:sz w:val="20"/>
          <w:szCs w:val="20"/>
        </w:rPr>
        <w:t xml:space="preserve"> at least once</w:t>
      </w:r>
      <w:r>
        <w:rPr>
          <w:rFonts w:ascii="Verdana" w:hAnsi="Verdana"/>
          <w:sz w:val="20"/>
          <w:szCs w:val="20"/>
        </w:rPr>
        <w:t xml:space="preserve">: </w:t>
      </w:r>
      <w:r w:rsidR="002D2331">
        <w:rPr>
          <w:rFonts w:ascii="Verdana" w:hAnsi="Verdana"/>
          <w:sz w:val="20"/>
          <w:szCs w:val="20"/>
        </w:rPr>
        <w:t xml:space="preserve">57% had inappropriate feelings of anger, tearfulness or anxiety and 46% withdrew or isolated from family, friends and co-workers, but only 14% sought medical attention for these </w:t>
      </w:r>
      <w:r w:rsidR="00B74B31">
        <w:rPr>
          <w:rFonts w:ascii="Verdana" w:hAnsi="Verdana"/>
          <w:sz w:val="20"/>
          <w:szCs w:val="20"/>
        </w:rPr>
        <w:t>situat</w:t>
      </w:r>
      <w:r w:rsidR="002D2331">
        <w:rPr>
          <w:rFonts w:ascii="Verdana" w:hAnsi="Verdana"/>
          <w:sz w:val="20"/>
          <w:szCs w:val="20"/>
        </w:rPr>
        <w:t>ions.</w:t>
      </w:r>
    </w:p>
    <w:p w14:paraId="7442A4D9" w14:textId="3BBB0A80" w:rsidR="002D2331" w:rsidRDefault="002D2331" w:rsidP="00331B4F">
      <w:pPr>
        <w:spacing w:after="0" w:line="240" w:lineRule="auto"/>
        <w:contextualSpacing/>
        <w:mirrorIndents/>
        <w:rPr>
          <w:rFonts w:ascii="Verdana" w:hAnsi="Verdana"/>
          <w:sz w:val="20"/>
          <w:szCs w:val="20"/>
        </w:rPr>
      </w:pPr>
    </w:p>
    <w:p w14:paraId="118E991C" w14:textId="4E2E75F3" w:rsidR="002D2331" w:rsidRDefault="00241CD6" w:rsidP="00331B4F">
      <w:pPr>
        <w:spacing w:after="0" w:line="240" w:lineRule="auto"/>
        <w:contextualSpacing/>
        <w:mirrorIndents/>
        <w:rPr>
          <w:rFonts w:ascii="Verdana" w:hAnsi="Verdana"/>
          <w:sz w:val="20"/>
          <w:szCs w:val="20"/>
        </w:rPr>
      </w:pPr>
      <w:r>
        <w:rPr>
          <w:rFonts w:ascii="Verdana" w:hAnsi="Verdana"/>
          <w:sz w:val="20"/>
          <w:szCs w:val="20"/>
        </w:rPr>
        <w:t xml:space="preserve">A vast majority (83%) said “confidential therapy, counseling or </w:t>
      </w:r>
      <w:r w:rsidR="00B74B31">
        <w:rPr>
          <w:rFonts w:ascii="Verdana" w:hAnsi="Verdana"/>
          <w:sz w:val="20"/>
          <w:szCs w:val="20"/>
        </w:rPr>
        <w:t xml:space="preserve">a </w:t>
      </w:r>
      <w:r>
        <w:rPr>
          <w:rFonts w:ascii="Verdana" w:hAnsi="Verdana"/>
          <w:sz w:val="20"/>
          <w:szCs w:val="20"/>
        </w:rPr>
        <w:t xml:space="preserve">support phone line” are the top strategies and resources to face the challenges of burnout and </w:t>
      </w:r>
      <w:r w:rsidR="00EC75A8">
        <w:rPr>
          <w:rFonts w:ascii="Verdana" w:hAnsi="Verdana"/>
          <w:sz w:val="20"/>
          <w:szCs w:val="20"/>
        </w:rPr>
        <w:t>any mental health conditions they have or might experience.</w:t>
      </w:r>
    </w:p>
    <w:p w14:paraId="45559587" w14:textId="7F5637AD" w:rsidR="00EC75A8" w:rsidRDefault="00EC75A8" w:rsidP="00331B4F">
      <w:pPr>
        <w:spacing w:after="0" w:line="240" w:lineRule="auto"/>
        <w:contextualSpacing/>
        <w:mirrorIndents/>
        <w:rPr>
          <w:rFonts w:ascii="Verdana" w:hAnsi="Verdana"/>
          <w:sz w:val="20"/>
          <w:szCs w:val="20"/>
        </w:rPr>
      </w:pPr>
    </w:p>
    <w:p w14:paraId="36C292CA" w14:textId="31988712" w:rsidR="009B3145" w:rsidRPr="00E7004E" w:rsidRDefault="009B3145" w:rsidP="009B3145">
      <w:pPr>
        <w:pStyle w:val="Header"/>
        <w:contextualSpacing/>
        <w:jc w:val="center"/>
        <w:rPr>
          <w:rFonts w:ascii="Verdana" w:hAnsi="Verdana"/>
          <w:b/>
          <w:sz w:val="20"/>
          <w:szCs w:val="20"/>
        </w:rPr>
      </w:pPr>
      <w:r>
        <w:rPr>
          <w:rFonts w:ascii="Verdana" w:hAnsi="Verdana"/>
          <w:b/>
          <w:sz w:val="20"/>
          <w:szCs w:val="20"/>
        </w:rPr>
        <w:t>Actions Taken or Physicians’ Experiences Caused by the Pandemic</w:t>
      </w:r>
      <w:r w:rsidRPr="00E7004E">
        <w:rPr>
          <w:rFonts w:ascii="Verdana" w:hAnsi="Verdana"/>
          <w:b/>
          <w:sz w:val="20"/>
          <w:szCs w:val="20"/>
        </w:rPr>
        <w:t xml:space="preserve">, </w:t>
      </w:r>
      <w:r>
        <w:rPr>
          <w:rFonts w:ascii="Verdana" w:hAnsi="Verdana"/>
          <w:b/>
          <w:sz w:val="20"/>
          <w:szCs w:val="20"/>
        </w:rPr>
        <w:t xml:space="preserve">May/June </w:t>
      </w:r>
      <w:r w:rsidRPr="00E7004E">
        <w:rPr>
          <w:rFonts w:ascii="Verdana" w:hAnsi="Verdana"/>
          <w:b/>
          <w:sz w:val="20"/>
          <w:szCs w:val="20"/>
        </w:rPr>
        <w:t>20</w:t>
      </w:r>
      <w:r>
        <w:rPr>
          <w:rFonts w:ascii="Verdana" w:hAnsi="Verdana"/>
          <w:b/>
          <w:sz w:val="20"/>
          <w:szCs w:val="20"/>
        </w:rPr>
        <w:t>21</w:t>
      </w:r>
    </w:p>
    <w:tbl>
      <w:tblPr>
        <w:tblW w:w="11171" w:type="dxa"/>
        <w:jc w:val="center"/>
        <w:tblBorders>
          <w:left w:val="single" w:sz="8" w:space="0" w:color="000000"/>
          <w:right w:val="single" w:sz="8" w:space="0" w:color="000000"/>
        </w:tblBorders>
        <w:tblLayout w:type="fixed"/>
        <w:tblLook w:val="0000" w:firstRow="0" w:lastRow="0" w:firstColumn="0" w:lastColumn="0" w:noHBand="0" w:noVBand="0"/>
      </w:tblPr>
      <w:tblGrid>
        <w:gridCol w:w="4317"/>
        <w:gridCol w:w="1267"/>
        <w:gridCol w:w="4320"/>
        <w:gridCol w:w="1267"/>
      </w:tblGrid>
      <w:tr w:rsidR="009B3145" w:rsidRPr="00E7004E" w14:paraId="71347B4B" w14:textId="77777777" w:rsidTr="00B74B31">
        <w:trPr>
          <w:jc w:val="center"/>
        </w:trPr>
        <w:tc>
          <w:tcPr>
            <w:tcW w:w="4317" w:type="dxa"/>
            <w:tcBorders>
              <w:top w:val="single" w:sz="12" w:space="0" w:color="000000"/>
              <w:left w:val="single" w:sz="12" w:space="0" w:color="000000"/>
              <w:bottom w:val="single" w:sz="18" w:space="0" w:color="C0504D" w:themeColor="accent2"/>
              <w:right w:val="single" w:sz="8" w:space="0" w:color="0070C0"/>
            </w:tcBorders>
            <w:vAlign w:val="center"/>
          </w:tcPr>
          <w:p w14:paraId="618623C0" w14:textId="1F80891A" w:rsidR="009B3145" w:rsidRPr="00E7004E" w:rsidRDefault="009B3145"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Action/Experience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72166AD1" w14:textId="77777777" w:rsidR="009B3145" w:rsidRPr="00E7004E" w:rsidRDefault="009B3145"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320" w:type="dxa"/>
            <w:tcBorders>
              <w:top w:val="single" w:sz="12" w:space="0" w:color="000000"/>
              <w:left w:val="single" w:sz="18" w:space="0" w:color="0070C0"/>
              <w:bottom w:val="single" w:sz="18" w:space="0" w:color="C0504D" w:themeColor="accent2"/>
              <w:right w:val="single" w:sz="8" w:space="0" w:color="0070C0"/>
            </w:tcBorders>
            <w:vAlign w:val="center"/>
          </w:tcPr>
          <w:p w14:paraId="610CCD9C" w14:textId="58AD1DD6" w:rsidR="009B3145" w:rsidRPr="00E7004E" w:rsidRDefault="009B3145"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Action/Experience</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4338B2E9" w14:textId="77777777" w:rsidR="009B3145" w:rsidRPr="00E7004E" w:rsidRDefault="009B3145" w:rsidP="00B74B3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9B3145" w:rsidRPr="00E7004E" w14:paraId="1FEC4F02" w14:textId="77777777" w:rsidTr="00B707FD">
        <w:trPr>
          <w:trHeight w:val="243"/>
          <w:jc w:val="center"/>
        </w:trPr>
        <w:tc>
          <w:tcPr>
            <w:tcW w:w="4317" w:type="dxa"/>
            <w:tcBorders>
              <w:top w:val="single" w:sz="18" w:space="0" w:color="C0504D" w:themeColor="accent2"/>
              <w:left w:val="single" w:sz="12" w:space="0" w:color="000000"/>
              <w:bottom w:val="single" w:sz="4" w:space="0" w:color="auto"/>
              <w:right w:val="single" w:sz="8" w:space="0" w:color="0070C0"/>
            </w:tcBorders>
            <w:vAlign w:val="center"/>
          </w:tcPr>
          <w:p w14:paraId="056AE69C" w14:textId="3E1FFD4F"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Reduction in income</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FF0000"/>
            <w:vAlign w:val="center"/>
          </w:tcPr>
          <w:p w14:paraId="711D939C" w14:textId="20C09E1F"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49%</w:t>
            </w:r>
          </w:p>
        </w:tc>
        <w:tc>
          <w:tcPr>
            <w:tcW w:w="4320"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16B4B692" w14:textId="6224FBF1"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Retired</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F2DBDB" w:themeFill="accent2" w:themeFillTint="33"/>
            <w:vAlign w:val="center"/>
          </w:tcPr>
          <w:p w14:paraId="2DCCABEC" w14:textId="62B9728F"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p>
        </w:tc>
      </w:tr>
      <w:tr w:rsidR="009B3145" w:rsidRPr="00E7004E" w14:paraId="154DA98C" w14:textId="77777777" w:rsidTr="00B707FD">
        <w:trPr>
          <w:trHeight w:val="243"/>
          <w:jc w:val="center"/>
        </w:trPr>
        <w:tc>
          <w:tcPr>
            <w:tcW w:w="4317" w:type="dxa"/>
            <w:tcBorders>
              <w:top w:val="single" w:sz="4" w:space="0" w:color="auto"/>
              <w:left w:val="single" w:sz="12" w:space="0" w:color="000000"/>
              <w:bottom w:val="single" w:sz="4" w:space="0" w:color="000000"/>
              <w:right w:val="single" w:sz="8" w:space="0" w:color="0070C0"/>
            </w:tcBorders>
            <w:vAlign w:val="center"/>
          </w:tcPr>
          <w:p w14:paraId="479FC423" w14:textId="5DB6F6E4"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Reduced staff</w:t>
            </w:r>
          </w:p>
        </w:tc>
        <w:tc>
          <w:tcPr>
            <w:tcW w:w="1267"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57344655" w14:textId="4F04A008"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32%</w:t>
            </w:r>
          </w:p>
        </w:tc>
        <w:tc>
          <w:tcPr>
            <w:tcW w:w="432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B7B1FFF" w14:textId="1E3D098E"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Closed practice</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0D872972" w14:textId="0634B7BF"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p>
        </w:tc>
      </w:tr>
      <w:tr w:rsidR="009B3145" w:rsidRPr="00E7004E" w14:paraId="2698AD36" w14:textId="77777777" w:rsidTr="00B707FD">
        <w:trPr>
          <w:trHeight w:val="243"/>
          <w:jc w:val="center"/>
        </w:trPr>
        <w:tc>
          <w:tcPr>
            <w:tcW w:w="4317" w:type="dxa"/>
            <w:tcBorders>
              <w:top w:val="single" w:sz="4" w:space="0" w:color="auto"/>
              <w:left w:val="single" w:sz="12" w:space="0" w:color="000000"/>
              <w:bottom w:val="single" w:sz="4" w:space="0" w:color="000000"/>
              <w:right w:val="single" w:sz="8" w:space="0" w:color="0070C0"/>
            </w:tcBorders>
            <w:vAlign w:val="center"/>
          </w:tcPr>
          <w:p w14:paraId="61228BCE" w14:textId="56EDF14F"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Switched to a primary telemedicine practice</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055A44A4" w14:textId="32A984E6"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w:t>
            </w:r>
          </w:p>
        </w:tc>
        <w:tc>
          <w:tcPr>
            <w:tcW w:w="432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3080325" w14:textId="2728FBF0"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Moved from permanent practice to locum tenens*</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156D8BCB" w14:textId="7C3E2CE6"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p>
        </w:tc>
      </w:tr>
      <w:tr w:rsidR="009B3145" w:rsidRPr="00E7004E" w14:paraId="4FC63882" w14:textId="77777777" w:rsidTr="00B707FD">
        <w:trPr>
          <w:trHeight w:val="243"/>
          <w:jc w:val="center"/>
        </w:trPr>
        <w:tc>
          <w:tcPr>
            <w:tcW w:w="4317" w:type="dxa"/>
            <w:tcBorders>
              <w:top w:val="single" w:sz="4" w:space="0" w:color="auto"/>
              <w:left w:val="single" w:sz="12" w:space="0" w:color="000000"/>
              <w:bottom w:val="single" w:sz="4" w:space="0" w:color="000000"/>
              <w:right w:val="single" w:sz="8" w:space="0" w:color="0070C0"/>
            </w:tcBorders>
            <w:vAlign w:val="center"/>
          </w:tcPr>
          <w:p w14:paraId="5F6E1D00" w14:textId="633A2819"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New employment/practice</w:t>
            </w:r>
          </w:p>
        </w:tc>
        <w:tc>
          <w:tcPr>
            <w:tcW w:w="1267" w:type="dxa"/>
            <w:tcBorders>
              <w:top w:val="single" w:sz="4" w:space="0" w:color="auto"/>
              <w:left w:val="single" w:sz="8" w:space="0" w:color="0070C0"/>
              <w:bottom w:val="single" w:sz="4" w:space="0" w:color="000000"/>
              <w:right w:val="single" w:sz="18" w:space="0" w:color="0070C0"/>
            </w:tcBorders>
            <w:shd w:val="clear" w:color="auto" w:fill="F2DBDB" w:themeFill="accent2" w:themeFillTint="33"/>
            <w:vAlign w:val="center"/>
          </w:tcPr>
          <w:p w14:paraId="1E5B6B3C" w14:textId="18BC1B1B"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c>
          <w:tcPr>
            <w:tcW w:w="432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42D954B" w14:textId="63E52B0F"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Other</w:t>
            </w:r>
          </w:p>
        </w:tc>
        <w:tc>
          <w:tcPr>
            <w:tcW w:w="1267" w:type="dxa"/>
            <w:tcBorders>
              <w:top w:val="single" w:sz="4" w:space="0" w:color="000000"/>
              <w:left w:val="single" w:sz="8" w:space="0" w:color="0070C0"/>
              <w:bottom w:val="single" w:sz="4" w:space="0" w:color="000000"/>
              <w:right w:val="single" w:sz="12" w:space="0" w:color="000000"/>
            </w:tcBorders>
            <w:shd w:val="clear" w:color="auto" w:fill="F2F2F2" w:themeFill="background1" w:themeFillShade="F2"/>
            <w:vAlign w:val="center"/>
          </w:tcPr>
          <w:p w14:paraId="53C53670" w14:textId="65367B2D"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r>
      <w:tr w:rsidR="009B3145" w:rsidRPr="00E7004E" w14:paraId="32BEFB48" w14:textId="77777777" w:rsidTr="00B707FD">
        <w:trPr>
          <w:trHeight w:val="243"/>
          <w:jc w:val="center"/>
        </w:trPr>
        <w:tc>
          <w:tcPr>
            <w:tcW w:w="4317" w:type="dxa"/>
            <w:tcBorders>
              <w:top w:val="single" w:sz="4" w:space="0" w:color="auto"/>
              <w:left w:val="single" w:sz="12" w:space="0" w:color="000000"/>
              <w:bottom w:val="single" w:sz="4" w:space="0" w:color="000000"/>
              <w:right w:val="single" w:sz="8" w:space="0" w:color="0070C0"/>
            </w:tcBorders>
            <w:vAlign w:val="center"/>
          </w:tcPr>
          <w:p w14:paraId="0272BA8F" w14:textId="2716942F"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Increased staff</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066B9F93" w14:textId="2B48E150"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c>
          <w:tcPr>
            <w:tcW w:w="432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9D5708A" w14:textId="49D0AF16"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None of the above</w:t>
            </w:r>
          </w:p>
        </w:tc>
        <w:tc>
          <w:tcPr>
            <w:tcW w:w="1267" w:type="dxa"/>
            <w:tcBorders>
              <w:top w:val="single" w:sz="4" w:space="0" w:color="000000"/>
              <w:left w:val="single" w:sz="8" w:space="0" w:color="0070C0"/>
              <w:bottom w:val="single" w:sz="4" w:space="0" w:color="000000"/>
              <w:right w:val="single" w:sz="12" w:space="0" w:color="000000"/>
            </w:tcBorders>
            <w:shd w:val="clear" w:color="auto" w:fill="F2F2F2" w:themeFill="background1" w:themeFillShade="F2"/>
            <w:vAlign w:val="center"/>
          </w:tcPr>
          <w:p w14:paraId="3C4B606D" w14:textId="77E0FC9E"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r>
      <w:tr w:rsidR="009B3145" w:rsidRPr="00E7004E" w14:paraId="023F31DD" w14:textId="77777777" w:rsidTr="00B707FD">
        <w:trPr>
          <w:trHeight w:val="243"/>
          <w:jc w:val="center"/>
        </w:trPr>
        <w:tc>
          <w:tcPr>
            <w:tcW w:w="4317"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63BAD025" w14:textId="0A9793E2"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Moved from direct clinical to non-clinical</w:t>
            </w:r>
          </w:p>
        </w:tc>
        <w:tc>
          <w:tcPr>
            <w:tcW w:w="1267" w:type="dxa"/>
            <w:tcBorders>
              <w:top w:val="single" w:sz="4" w:space="0" w:color="000000"/>
              <w:left w:val="single" w:sz="8" w:space="0" w:color="0070C0"/>
              <w:bottom w:val="single" w:sz="12" w:space="0" w:color="000000"/>
              <w:right w:val="single" w:sz="18" w:space="0" w:color="0070C0"/>
            </w:tcBorders>
            <w:shd w:val="clear" w:color="auto" w:fill="F2DBDB" w:themeFill="accent2" w:themeFillTint="33"/>
            <w:vAlign w:val="center"/>
          </w:tcPr>
          <w:p w14:paraId="10D0173A" w14:textId="4BFA41F8"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c>
          <w:tcPr>
            <w:tcW w:w="4320"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1A17C23F" w14:textId="1E8FF03E" w:rsidR="009B3145" w:rsidRPr="00E7004E" w:rsidRDefault="009B3145"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1C83AAE1" w14:textId="3331F4FA" w:rsidR="009B3145" w:rsidRPr="00E7004E" w:rsidRDefault="009B3145"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4D68A0A2" w14:textId="3EA5BA72" w:rsidR="009B3145" w:rsidRDefault="009B3145" w:rsidP="002E6C2D">
      <w:pPr>
        <w:spacing w:after="0" w:line="240" w:lineRule="auto"/>
        <w:contextualSpacing/>
        <w:mirrorIndents/>
        <w:rPr>
          <w:rFonts w:ascii="Verdana" w:hAnsi="Verdana"/>
          <w:sz w:val="20"/>
          <w:szCs w:val="20"/>
        </w:rPr>
      </w:pPr>
      <w:r>
        <w:rPr>
          <w:rFonts w:ascii="Verdana" w:hAnsi="Verdana"/>
          <w:sz w:val="16"/>
          <w:szCs w:val="16"/>
        </w:rPr>
        <w:t>The Physicians Foundation</w:t>
      </w:r>
      <w:r w:rsidRPr="00E7004E">
        <w:rPr>
          <w:rFonts w:ascii="Verdana" w:hAnsi="Verdana"/>
          <w:sz w:val="16"/>
          <w:szCs w:val="16"/>
        </w:rPr>
        <w:t xml:space="preserve">, </w:t>
      </w:r>
      <w:r>
        <w:rPr>
          <w:rFonts w:ascii="Verdana" w:hAnsi="Verdana"/>
          <w:sz w:val="16"/>
          <w:szCs w:val="16"/>
        </w:rPr>
        <w:t>August 2021</w:t>
      </w:r>
      <w:r w:rsidRPr="00E7004E">
        <w:rPr>
          <w:rFonts w:ascii="Verdana" w:hAnsi="Verdana"/>
          <w:sz w:val="16"/>
          <w:szCs w:val="16"/>
        </w:rPr>
        <w:tab/>
      </w:r>
      <w:r w:rsidR="002E6C2D">
        <w:rPr>
          <w:rFonts w:ascii="Verdana" w:hAnsi="Verdana"/>
          <w:sz w:val="16"/>
          <w:szCs w:val="16"/>
        </w:rPr>
        <w:tab/>
      </w:r>
      <w:r w:rsidR="00A63312">
        <w:rPr>
          <w:rFonts w:ascii="Verdana" w:hAnsi="Verdana"/>
          <w:sz w:val="16"/>
          <w:szCs w:val="16"/>
        </w:rPr>
        <w:t>*short-term</w:t>
      </w:r>
      <w:r w:rsidR="002E6C2D">
        <w:rPr>
          <w:rFonts w:ascii="Verdana" w:hAnsi="Verdana"/>
          <w:sz w:val="16"/>
          <w:szCs w:val="16"/>
        </w:rPr>
        <w:t>, contract positions with flexible schedules</w:t>
      </w:r>
    </w:p>
    <w:p w14:paraId="29A2EDAC" w14:textId="77777777" w:rsidR="00EC75A8" w:rsidRDefault="00EC75A8" w:rsidP="00331B4F">
      <w:pPr>
        <w:spacing w:after="0" w:line="240" w:lineRule="auto"/>
        <w:contextualSpacing/>
        <w:mirrorIndents/>
        <w:rPr>
          <w:rFonts w:ascii="Verdana" w:hAnsi="Verdana"/>
          <w:sz w:val="20"/>
          <w:szCs w:val="20"/>
        </w:rPr>
      </w:pPr>
    </w:p>
    <w:p w14:paraId="7D088211" w14:textId="77777777" w:rsidR="00132BF2" w:rsidRDefault="00132BF2" w:rsidP="00331B4F">
      <w:pPr>
        <w:spacing w:after="0" w:line="240" w:lineRule="auto"/>
        <w:contextualSpacing/>
        <w:mirrorIndents/>
        <w:rPr>
          <w:rFonts w:ascii="Verdana" w:hAnsi="Verdana"/>
          <w:sz w:val="20"/>
          <w:szCs w:val="20"/>
        </w:rPr>
      </w:pPr>
    </w:p>
    <w:p w14:paraId="31DFDEC2" w14:textId="31B47DE8" w:rsidR="00331B4F" w:rsidRPr="00B36286" w:rsidRDefault="00E5246A" w:rsidP="00B36286">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lastRenderedPageBreak/>
        <w:t>The Trend of Delayed Healthcare Treatment</w:t>
      </w:r>
    </w:p>
    <w:p w14:paraId="5C07C94F" w14:textId="70238075" w:rsidR="00B36286" w:rsidRDefault="00B36286" w:rsidP="00331B4F">
      <w:pPr>
        <w:spacing w:after="0" w:line="240" w:lineRule="auto"/>
        <w:contextualSpacing/>
        <w:mirrorIndents/>
        <w:rPr>
          <w:rFonts w:ascii="Verdana" w:hAnsi="Verdana"/>
          <w:sz w:val="20"/>
          <w:szCs w:val="20"/>
        </w:rPr>
      </w:pPr>
    </w:p>
    <w:p w14:paraId="1D03F41A" w14:textId="5E69F88B" w:rsidR="00702E11" w:rsidRDefault="00702E11" w:rsidP="00331B4F">
      <w:pPr>
        <w:spacing w:after="0" w:line="240" w:lineRule="auto"/>
        <w:contextualSpacing/>
        <w:mirrorIndents/>
        <w:rPr>
          <w:rFonts w:ascii="Verdana" w:hAnsi="Verdana"/>
          <w:sz w:val="20"/>
          <w:szCs w:val="20"/>
        </w:rPr>
      </w:pPr>
      <w:r>
        <w:rPr>
          <w:rFonts w:ascii="Verdana" w:hAnsi="Verdana"/>
          <w:sz w:val="20"/>
          <w:szCs w:val="20"/>
        </w:rPr>
        <w:t>Delaying medical treatment/procedures has been a consequence of the pandemic as many hospitals have had to limit or stop accepting non-COVID-19 patients</w:t>
      </w:r>
      <w:r w:rsidR="00E5246A">
        <w:rPr>
          <w:rFonts w:ascii="Verdana" w:hAnsi="Verdana"/>
          <w:sz w:val="20"/>
          <w:szCs w:val="20"/>
        </w:rPr>
        <w:t xml:space="preserve"> and many consumers have deferred treatment because of a fear of contracting the COVID-19 virus.</w:t>
      </w:r>
    </w:p>
    <w:p w14:paraId="2270CB48" w14:textId="5C335A61" w:rsidR="00E5246A" w:rsidRDefault="00E5246A" w:rsidP="00331B4F">
      <w:pPr>
        <w:spacing w:after="0" w:line="240" w:lineRule="auto"/>
        <w:contextualSpacing/>
        <w:mirrorIndents/>
        <w:rPr>
          <w:rFonts w:ascii="Verdana" w:hAnsi="Verdana"/>
          <w:sz w:val="20"/>
          <w:szCs w:val="20"/>
        </w:rPr>
      </w:pPr>
    </w:p>
    <w:p w14:paraId="391F112F" w14:textId="4B7BDFA1" w:rsidR="00E5246A" w:rsidRDefault="00E5246A" w:rsidP="00331B4F">
      <w:pPr>
        <w:spacing w:after="0" w:line="240" w:lineRule="auto"/>
        <w:contextualSpacing/>
        <w:mirrorIndents/>
        <w:rPr>
          <w:rFonts w:ascii="Verdana" w:hAnsi="Verdana"/>
          <w:sz w:val="20"/>
          <w:szCs w:val="20"/>
        </w:rPr>
      </w:pPr>
      <w:r>
        <w:rPr>
          <w:rFonts w:ascii="Verdana" w:hAnsi="Verdana"/>
          <w:sz w:val="20"/>
          <w:szCs w:val="20"/>
        </w:rPr>
        <w:t xml:space="preserve">According to data from the National Center for Health Statistics (NCHS), </w:t>
      </w:r>
      <w:r w:rsidR="00B3162F">
        <w:rPr>
          <w:rFonts w:ascii="Verdana" w:hAnsi="Verdana"/>
          <w:sz w:val="20"/>
          <w:szCs w:val="20"/>
        </w:rPr>
        <w:t>14.6</w:t>
      </w:r>
      <w:r>
        <w:rPr>
          <w:rFonts w:ascii="Verdana" w:hAnsi="Verdana"/>
          <w:sz w:val="20"/>
          <w:szCs w:val="20"/>
        </w:rPr>
        <w:t xml:space="preserve">% of adults in the US delayed medical care during the four weeks ending </w:t>
      </w:r>
      <w:r w:rsidR="00B3162F">
        <w:rPr>
          <w:rFonts w:ascii="Verdana" w:hAnsi="Verdana"/>
          <w:sz w:val="20"/>
          <w:szCs w:val="20"/>
        </w:rPr>
        <w:t>7/5/21</w:t>
      </w:r>
      <w:r>
        <w:rPr>
          <w:rFonts w:ascii="Verdana" w:hAnsi="Verdana"/>
          <w:sz w:val="20"/>
          <w:szCs w:val="20"/>
        </w:rPr>
        <w:t xml:space="preserve"> and more women (</w:t>
      </w:r>
      <w:r w:rsidR="00B3162F">
        <w:rPr>
          <w:rFonts w:ascii="Verdana" w:hAnsi="Verdana"/>
          <w:sz w:val="20"/>
          <w:szCs w:val="20"/>
        </w:rPr>
        <w:t>16.2</w:t>
      </w:r>
      <w:r>
        <w:rPr>
          <w:rFonts w:ascii="Verdana" w:hAnsi="Verdana"/>
          <w:sz w:val="20"/>
          <w:szCs w:val="20"/>
        </w:rPr>
        <w:t>%) than men (</w:t>
      </w:r>
      <w:r w:rsidR="00B3162F">
        <w:rPr>
          <w:rFonts w:ascii="Verdana" w:hAnsi="Verdana"/>
          <w:sz w:val="20"/>
          <w:szCs w:val="20"/>
        </w:rPr>
        <w:t>12.9</w:t>
      </w:r>
      <w:r>
        <w:rPr>
          <w:rFonts w:ascii="Verdana" w:hAnsi="Verdana"/>
          <w:sz w:val="20"/>
          <w:szCs w:val="20"/>
        </w:rPr>
        <w:t xml:space="preserve">%). Adults </w:t>
      </w:r>
      <w:r w:rsidR="00B3162F">
        <w:rPr>
          <w:rFonts w:ascii="Verdana" w:hAnsi="Verdana"/>
          <w:sz w:val="20"/>
          <w:szCs w:val="20"/>
        </w:rPr>
        <w:t>18</w:t>
      </w:r>
      <w:r>
        <w:rPr>
          <w:rFonts w:ascii="Verdana" w:eastAsia="Times New Roman" w:hAnsi="Verdana"/>
          <w:sz w:val="20"/>
          <w:szCs w:val="20"/>
        </w:rPr>
        <w:t>–</w:t>
      </w:r>
      <w:r w:rsidR="00B3162F">
        <w:rPr>
          <w:rFonts w:ascii="Verdana" w:eastAsia="Times New Roman" w:hAnsi="Verdana"/>
          <w:sz w:val="20"/>
          <w:szCs w:val="20"/>
        </w:rPr>
        <w:t>2</w:t>
      </w:r>
      <w:r>
        <w:rPr>
          <w:rFonts w:ascii="Verdana" w:eastAsia="Times New Roman" w:hAnsi="Verdana"/>
          <w:sz w:val="20"/>
          <w:szCs w:val="20"/>
        </w:rPr>
        <w:t xml:space="preserve">9 were the largest percentage at </w:t>
      </w:r>
      <w:r w:rsidR="00B3162F">
        <w:rPr>
          <w:rFonts w:ascii="Verdana" w:eastAsia="Times New Roman" w:hAnsi="Verdana"/>
          <w:sz w:val="20"/>
          <w:szCs w:val="20"/>
        </w:rPr>
        <w:t>20.2</w:t>
      </w:r>
      <w:r w:rsidR="004217CF">
        <w:rPr>
          <w:rFonts w:ascii="Verdana" w:eastAsia="Times New Roman" w:hAnsi="Verdana"/>
          <w:sz w:val="20"/>
          <w:szCs w:val="20"/>
        </w:rPr>
        <w:t>%.</w:t>
      </w:r>
    </w:p>
    <w:p w14:paraId="18F9FB6F" w14:textId="029971D3" w:rsidR="00B36286" w:rsidRDefault="00B36286" w:rsidP="00331B4F">
      <w:pPr>
        <w:spacing w:after="0" w:line="240" w:lineRule="auto"/>
        <w:contextualSpacing/>
        <w:mirrorIndents/>
        <w:rPr>
          <w:rFonts w:ascii="Verdana" w:hAnsi="Verdana"/>
          <w:sz w:val="20"/>
          <w:szCs w:val="20"/>
        </w:rPr>
      </w:pPr>
    </w:p>
    <w:p w14:paraId="53B05E87" w14:textId="75757223" w:rsidR="004217CF" w:rsidRDefault="004217CF" w:rsidP="00331B4F">
      <w:pPr>
        <w:spacing w:after="0" w:line="240" w:lineRule="auto"/>
        <w:contextualSpacing/>
        <w:mirrorIndents/>
        <w:rPr>
          <w:rFonts w:ascii="Verdana" w:hAnsi="Verdana"/>
          <w:sz w:val="20"/>
          <w:szCs w:val="20"/>
        </w:rPr>
      </w:pPr>
      <w:r>
        <w:rPr>
          <w:rFonts w:ascii="Verdana" w:hAnsi="Verdana"/>
          <w:sz w:val="20"/>
          <w:szCs w:val="20"/>
        </w:rPr>
        <w:t xml:space="preserve">Of the four primary US ethnic groups, </w:t>
      </w:r>
      <w:r w:rsidR="00B3162F">
        <w:rPr>
          <w:rFonts w:ascii="Verdana" w:hAnsi="Verdana"/>
          <w:sz w:val="20"/>
          <w:szCs w:val="20"/>
        </w:rPr>
        <w:t>19.0</w:t>
      </w:r>
      <w:r>
        <w:rPr>
          <w:rFonts w:ascii="Verdana" w:hAnsi="Verdana"/>
          <w:sz w:val="20"/>
          <w:szCs w:val="20"/>
        </w:rPr>
        <w:t xml:space="preserve">% of Latinx Americans had delayed treatment, </w:t>
      </w:r>
      <w:r w:rsidR="00B3162F">
        <w:rPr>
          <w:rFonts w:ascii="Verdana" w:hAnsi="Verdana"/>
          <w:sz w:val="20"/>
          <w:szCs w:val="20"/>
        </w:rPr>
        <w:t>16.7</w:t>
      </w:r>
      <w:r>
        <w:rPr>
          <w:rFonts w:ascii="Verdana" w:hAnsi="Verdana"/>
          <w:sz w:val="20"/>
          <w:szCs w:val="20"/>
        </w:rPr>
        <w:t xml:space="preserve">% of </w:t>
      </w:r>
      <w:r w:rsidR="00B3162F">
        <w:rPr>
          <w:rFonts w:ascii="Verdana" w:hAnsi="Verdana"/>
          <w:sz w:val="20"/>
          <w:szCs w:val="20"/>
        </w:rPr>
        <w:t>Asian</w:t>
      </w:r>
      <w:r>
        <w:rPr>
          <w:rFonts w:ascii="Verdana" w:hAnsi="Verdana"/>
          <w:sz w:val="20"/>
          <w:szCs w:val="20"/>
        </w:rPr>
        <w:t xml:space="preserve"> Americans, </w:t>
      </w:r>
      <w:r w:rsidR="00B3162F">
        <w:rPr>
          <w:rFonts w:ascii="Verdana" w:hAnsi="Verdana"/>
          <w:sz w:val="20"/>
          <w:szCs w:val="20"/>
        </w:rPr>
        <w:t>15.4</w:t>
      </w:r>
      <w:r>
        <w:rPr>
          <w:rFonts w:ascii="Verdana" w:hAnsi="Verdana"/>
          <w:sz w:val="20"/>
          <w:szCs w:val="20"/>
        </w:rPr>
        <w:t xml:space="preserve">% of African Americans and </w:t>
      </w:r>
      <w:r w:rsidR="00B3162F">
        <w:rPr>
          <w:rFonts w:ascii="Verdana" w:hAnsi="Verdana"/>
          <w:sz w:val="20"/>
          <w:szCs w:val="20"/>
        </w:rPr>
        <w:t>1</w:t>
      </w:r>
      <w:r>
        <w:rPr>
          <w:rFonts w:ascii="Verdana" w:hAnsi="Verdana"/>
          <w:sz w:val="20"/>
          <w:szCs w:val="20"/>
        </w:rPr>
        <w:t xml:space="preserve">3.0% of </w:t>
      </w:r>
      <w:r w:rsidR="00B3162F">
        <w:rPr>
          <w:rFonts w:ascii="Verdana" w:hAnsi="Verdana"/>
          <w:sz w:val="20"/>
          <w:szCs w:val="20"/>
        </w:rPr>
        <w:t>Caucasian</w:t>
      </w:r>
      <w:r>
        <w:rPr>
          <w:rFonts w:ascii="Verdana" w:hAnsi="Verdana"/>
          <w:sz w:val="20"/>
          <w:szCs w:val="20"/>
        </w:rPr>
        <w:t xml:space="preserve"> Americans, with other ethnicities and multiple ethnicities at </w:t>
      </w:r>
      <w:r w:rsidR="00B3162F">
        <w:rPr>
          <w:rFonts w:ascii="Verdana" w:hAnsi="Verdana"/>
          <w:sz w:val="20"/>
          <w:szCs w:val="20"/>
        </w:rPr>
        <w:t>20.2</w:t>
      </w:r>
      <w:r>
        <w:rPr>
          <w:rFonts w:ascii="Verdana" w:hAnsi="Verdana"/>
          <w:sz w:val="20"/>
          <w:szCs w:val="20"/>
        </w:rPr>
        <w:t>%.</w:t>
      </w:r>
    </w:p>
    <w:p w14:paraId="6DF662A9" w14:textId="6C06C3E5" w:rsidR="004217CF" w:rsidRDefault="004217CF" w:rsidP="00331B4F">
      <w:pPr>
        <w:spacing w:after="0" w:line="240" w:lineRule="auto"/>
        <w:contextualSpacing/>
        <w:mirrorIndents/>
        <w:rPr>
          <w:rFonts w:ascii="Verdana" w:hAnsi="Verdana"/>
          <w:sz w:val="20"/>
          <w:szCs w:val="20"/>
        </w:rPr>
      </w:pPr>
    </w:p>
    <w:p w14:paraId="52F45CCA" w14:textId="77777777" w:rsidR="00A64C7A" w:rsidRDefault="00A64C7A" w:rsidP="00A64C7A">
      <w:pPr>
        <w:pStyle w:val="Header"/>
        <w:contextualSpacing/>
        <w:jc w:val="center"/>
        <w:rPr>
          <w:rFonts w:ascii="Verdana" w:hAnsi="Verdana"/>
          <w:b/>
          <w:sz w:val="20"/>
          <w:szCs w:val="20"/>
        </w:rPr>
      </w:pPr>
      <w:r>
        <w:rPr>
          <w:rFonts w:ascii="Verdana" w:hAnsi="Verdana"/>
          <w:b/>
          <w:sz w:val="20"/>
          <w:szCs w:val="20"/>
        </w:rPr>
        <w:t xml:space="preserve">5 States with the Most and Fewest US Adults Who Have Delayed </w:t>
      </w:r>
    </w:p>
    <w:p w14:paraId="4709F7E4" w14:textId="039881C9" w:rsidR="00A64C7A" w:rsidRPr="00CC1ECE" w:rsidRDefault="00A64C7A" w:rsidP="00A64C7A">
      <w:pPr>
        <w:pStyle w:val="Header"/>
        <w:contextualSpacing/>
        <w:jc w:val="center"/>
        <w:rPr>
          <w:rFonts w:ascii="Verdana" w:hAnsi="Verdana"/>
          <w:b/>
          <w:sz w:val="20"/>
          <w:szCs w:val="20"/>
        </w:rPr>
      </w:pPr>
      <w:r>
        <w:rPr>
          <w:rFonts w:ascii="Verdana" w:hAnsi="Verdana"/>
          <w:b/>
          <w:sz w:val="20"/>
          <w:szCs w:val="20"/>
        </w:rPr>
        <w:t>Medical Care Due to the Pandemic*, December 2020</w:t>
      </w:r>
    </w:p>
    <w:tbl>
      <w:tblPr>
        <w:tblW w:w="8006" w:type="dxa"/>
        <w:jc w:val="center"/>
        <w:tblBorders>
          <w:left w:val="single" w:sz="8" w:space="0" w:color="000000"/>
          <w:right w:val="single" w:sz="8" w:space="0" w:color="000000"/>
        </w:tblBorders>
        <w:tblLayout w:type="fixed"/>
        <w:tblLook w:val="0000" w:firstRow="0" w:lastRow="0" w:firstColumn="0" w:lastColumn="0" w:noHBand="0" w:noVBand="0"/>
      </w:tblPr>
      <w:tblGrid>
        <w:gridCol w:w="2736"/>
        <w:gridCol w:w="1267"/>
        <w:gridCol w:w="2736"/>
        <w:gridCol w:w="1267"/>
      </w:tblGrid>
      <w:tr w:rsidR="00A64C7A" w:rsidRPr="00CC1ECE" w14:paraId="41282861" w14:textId="77777777" w:rsidTr="00C8622D">
        <w:trPr>
          <w:jc w:val="center"/>
        </w:trPr>
        <w:tc>
          <w:tcPr>
            <w:tcW w:w="2736" w:type="dxa"/>
            <w:tcBorders>
              <w:top w:val="single" w:sz="12" w:space="0" w:color="000000"/>
              <w:left w:val="single" w:sz="12" w:space="0" w:color="000000"/>
              <w:bottom w:val="single" w:sz="18" w:space="0" w:color="C0504D" w:themeColor="accent2"/>
              <w:right w:val="single" w:sz="8" w:space="0" w:color="0070C0"/>
            </w:tcBorders>
            <w:vAlign w:val="center"/>
          </w:tcPr>
          <w:p w14:paraId="6477BB9E" w14:textId="77777777" w:rsidR="00A64C7A" w:rsidRPr="00CC1ECE" w:rsidRDefault="00A64C7A"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States with Most</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60659BC6" w14:textId="77777777" w:rsidR="00A64C7A" w:rsidRPr="00CC1ECE" w:rsidRDefault="00A64C7A"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2736" w:type="dxa"/>
            <w:tcBorders>
              <w:top w:val="single" w:sz="12" w:space="0" w:color="000000"/>
              <w:left w:val="single" w:sz="18" w:space="0" w:color="0070C0"/>
              <w:bottom w:val="single" w:sz="18" w:space="0" w:color="C0504D" w:themeColor="accent2"/>
              <w:right w:val="single" w:sz="8" w:space="0" w:color="0070C0"/>
            </w:tcBorders>
            <w:vAlign w:val="center"/>
          </w:tcPr>
          <w:p w14:paraId="3515F30A" w14:textId="77777777" w:rsidR="00A64C7A" w:rsidRPr="00CC1ECE" w:rsidRDefault="00A64C7A"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States with Least</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2619A6FE" w14:textId="77777777" w:rsidR="00A64C7A" w:rsidRPr="00CC1ECE" w:rsidRDefault="00A64C7A"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A64C7A" w:rsidRPr="00CC1ECE" w14:paraId="55A05193" w14:textId="77777777" w:rsidTr="006D2B9C">
        <w:trPr>
          <w:trHeight w:val="243"/>
          <w:jc w:val="center"/>
        </w:trPr>
        <w:tc>
          <w:tcPr>
            <w:tcW w:w="2736" w:type="dxa"/>
            <w:tcBorders>
              <w:top w:val="single" w:sz="18" w:space="0" w:color="C0504D" w:themeColor="accent2"/>
              <w:left w:val="single" w:sz="12" w:space="0" w:color="000000"/>
              <w:bottom w:val="single" w:sz="4" w:space="0" w:color="auto"/>
              <w:right w:val="single" w:sz="8" w:space="0" w:color="0070C0"/>
            </w:tcBorders>
            <w:shd w:val="clear" w:color="auto" w:fill="auto"/>
            <w:vAlign w:val="center"/>
          </w:tcPr>
          <w:p w14:paraId="3CA1DD5E" w14:textId="3EC4FC91" w:rsidR="00A64C7A" w:rsidRPr="00CC1ECE"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 </w:t>
            </w:r>
            <w:r w:rsidR="00B3162F">
              <w:rPr>
                <w:rFonts w:ascii="Verdana" w:eastAsia="Times New Roman" w:hAnsi="Verdana"/>
                <w:sz w:val="20"/>
                <w:szCs w:val="20"/>
              </w:rPr>
              <w:t>New Mexico</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FF0000"/>
            <w:vAlign w:val="center"/>
          </w:tcPr>
          <w:p w14:paraId="28B6279B" w14:textId="59E9A7EE" w:rsidR="00A64C7A" w:rsidRPr="00CC1ECE" w:rsidRDefault="00B3162F"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24.0</w:t>
            </w:r>
            <w:r w:rsidR="00A64C7A">
              <w:rPr>
                <w:rFonts w:ascii="Verdana" w:eastAsia="Times New Roman" w:hAnsi="Verdana"/>
                <w:sz w:val="20"/>
                <w:szCs w:val="20"/>
              </w:rPr>
              <w:t>%</w:t>
            </w:r>
          </w:p>
        </w:tc>
        <w:tc>
          <w:tcPr>
            <w:tcW w:w="2736" w:type="dxa"/>
            <w:tcBorders>
              <w:top w:val="single" w:sz="18" w:space="0" w:color="C0504D" w:themeColor="accent2"/>
              <w:left w:val="single" w:sz="18" w:space="0" w:color="0070C0"/>
              <w:bottom w:val="single" w:sz="4" w:space="0" w:color="000000"/>
              <w:right w:val="single" w:sz="8" w:space="0" w:color="0070C0"/>
            </w:tcBorders>
            <w:shd w:val="clear" w:color="auto" w:fill="F2F2F2" w:themeFill="background1" w:themeFillShade="F2"/>
            <w:vAlign w:val="center"/>
          </w:tcPr>
          <w:p w14:paraId="6F1A3195" w14:textId="0CA45E37" w:rsidR="00A64C7A" w:rsidRPr="00CC1ECE"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 </w:t>
            </w:r>
            <w:r w:rsidR="006D2B9C">
              <w:rPr>
                <w:rFonts w:ascii="Verdana" w:eastAsia="Times New Roman" w:hAnsi="Verdana"/>
                <w:sz w:val="20"/>
                <w:szCs w:val="20"/>
              </w:rPr>
              <w:t>Wisconsin</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00B050"/>
            <w:vAlign w:val="center"/>
          </w:tcPr>
          <w:p w14:paraId="5AED1DE2" w14:textId="4BD346AA" w:rsidR="00A64C7A" w:rsidRPr="00CC1ECE" w:rsidRDefault="006D2B9C"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r>
      <w:tr w:rsidR="00A64C7A" w:rsidRPr="00CC1ECE" w14:paraId="73578DA4" w14:textId="77777777" w:rsidTr="006D2B9C">
        <w:trPr>
          <w:trHeight w:val="243"/>
          <w:jc w:val="center"/>
        </w:trPr>
        <w:tc>
          <w:tcPr>
            <w:tcW w:w="2736" w:type="dxa"/>
            <w:tcBorders>
              <w:top w:val="single" w:sz="4" w:space="0" w:color="auto"/>
              <w:left w:val="single" w:sz="12" w:space="0" w:color="000000"/>
              <w:bottom w:val="single" w:sz="4" w:space="0" w:color="000000"/>
              <w:right w:val="single" w:sz="8" w:space="0" w:color="0070C0"/>
            </w:tcBorders>
            <w:shd w:val="clear" w:color="auto" w:fill="auto"/>
            <w:vAlign w:val="center"/>
          </w:tcPr>
          <w:p w14:paraId="02665284" w14:textId="3BFFC959" w:rsidR="00A64C7A"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#2: </w:t>
            </w:r>
            <w:r w:rsidR="00B3162F">
              <w:rPr>
                <w:rFonts w:ascii="Verdana" w:eastAsia="Times New Roman" w:hAnsi="Verdana"/>
                <w:sz w:val="20"/>
                <w:szCs w:val="20"/>
              </w:rPr>
              <w:t>Oregon</w:t>
            </w:r>
          </w:p>
        </w:tc>
        <w:tc>
          <w:tcPr>
            <w:tcW w:w="1267"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2A784AD3" w14:textId="755B6D2E" w:rsidR="00A64C7A" w:rsidRDefault="00B3162F"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22.7%</w:t>
            </w:r>
          </w:p>
        </w:tc>
        <w:tc>
          <w:tcPr>
            <w:tcW w:w="2736" w:type="dxa"/>
            <w:tcBorders>
              <w:top w:val="single" w:sz="4" w:space="0" w:color="000000"/>
              <w:left w:val="single" w:sz="18" w:space="0" w:color="0070C0"/>
              <w:bottom w:val="single" w:sz="4" w:space="0" w:color="000000"/>
              <w:right w:val="single" w:sz="8" w:space="0" w:color="0070C0"/>
            </w:tcBorders>
            <w:shd w:val="clear" w:color="auto" w:fill="F2F2F2" w:themeFill="background1" w:themeFillShade="F2"/>
            <w:vAlign w:val="center"/>
          </w:tcPr>
          <w:p w14:paraId="63DB5552" w14:textId="63AB37E6" w:rsidR="00A64C7A"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#2: </w:t>
            </w:r>
            <w:r w:rsidR="006D2B9C">
              <w:rPr>
                <w:rFonts w:ascii="Verdana" w:eastAsia="Times New Roman" w:hAnsi="Verdana"/>
                <w:sz w:val="20"/>
                <w:szCs w:val="20"/>
              </w:rPr>
              <w:t>South Carolina</w:t>
            </w:r>
          </w:p>
        </w:tc>
        <w:tc>
          <w:tcPr>
            <w:tcW w:w="1267"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7065255E" w14:textId="0BFA70D0" w:rsidR="00A64C7A" w:rsidRDefault="006D2B9C"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8.8%</w:t>
            </w:r>
          </w:p>
        </w:tc>
      </w:tr>
      <w:tr w:rsidR="00A64C7A" w:rsidRPr="00CC1ECE" w14:paraId="132C2320" w14:textId="77777777" w:rsidTr="006D2B9C">
        <w:trPr>
          <w:trHeight w:val="243"/>
          <w:jc w:val="center"/>
        </w:trPr>
        <w:tc>
          <w:tcPr>
            <w:tcW w:w="2736" w:type="dxa"/>
            <w:tcBorders>
              <w:top w:val="single" w:sz="4" w:space="0" w:color="auto"/>
              <w:left w:val="single" w:sz="12" w:space="0" w:color="000000"/>
              <w:bottom w:val="single" w:sz="4" w:space="0" w:color="000000"/>
              <w:right w:val="single" w:sz="8" w:space="0" w:color="0070C0"/>
            </w:tcBorders>
            <w:shd w:val="clear" w:color="auto" w:fill="auto"/>
            <w:vAlign w:val="center"/>
          </w:tcPr>
          <w:p w14:paraId="00E1CE95" w14:textId="4CBF5988" w:rsidR="00A64C7A"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#3: </w:t>
            </w:r>
            <w:r w:rsidR="00B3162F">
              <w:rPr>
                <w:rFonts w:ascii="Verdana" w:eastAsia="Times New Roman" w:hAnsi="Verdana"/>
                <w:sz w:val="20"/>
                <w:szCs w:val="20"/>
              </w:rPr>
              <w:t>District of Columbia</w:t>
            </w:r>
          </w:p>
        </w:tc>
        <w:tc>
          <w:tcPr>
            <w:tcW w:w="1267"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71BEE34C" w14:textId="6501600B" w:rsidR="00A64C7A" w:rsidRDefault="00B3162F"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20.2</w:t>
            </w:r>
            <w:r w:rsidR="00A64C7A">
              <w:rPr>
                <w:rFonts w:ascii="Verdana" w:eastAsia="Times New Roman" w:hAnsi="Verdana"/>
                <w:sz w:val="20"/>
                <w:szCs w:val="20"/>
              </w:rPr>
              <w:t>%</w:t>
            </w:r>
          </w:p>
        </w:tc>
        <w:tc>
          <w:tcPr>
            <w:tcW w:w="2736" w:type="dxa"/>
            <w:tcBorders>
              <w:top w:val="single" w:sz="4" w:space="0" w:color="000000"/>
              <w:left w:val="single" w:sz="18" w:space="0" w:color="0070C0"/>
              <w:bottom w:val="single" w:sz="4" w:space="0" w:color="000000"/>
              <w:right w:val="single" w:sz="8" w:space="0" w:color="0070C0"/>
            </w:tcBorders>
            <w:shd w:val="clear" w:color="auto" w:fill="F2F2F2" w:themeFill="background1" w:themeFillShade="F2"/>
            <w:vAlign w:val="center"/>
          </w:tcPr>
          <w:p w14:paraId="4322CB27" w14:textId="77777777" w:rsidR="00A64C7A"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South Dakota</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28D875CE" w14:textId="46165C90" w:rsidR="00A64C7A" w:rsidRDefault="006D2B9C"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9.1</w:t>
            </w:r>
            <w:r w:rsidR="00A64C7A">
              <w:rPr>
                <w:rFonts w:ascii="Verdana" w:eastAsia="Times New Roman" w:hAnsi="Verdana"/>
                <w:sz w:val="20"/>
                <w:szCs w:val="20"/>
              </w:rPr>
              <w:t>%</w:t>
            </w:r>
          </w:p>
        </w:tc>
      </w:tr>
      <w:tr w:rsidR="00A64C7A" w:rsidRPr="00CC1ECE" w14:paraId="1801BB54" w14:textId="77777777" w:rsidTr="006D2B9C">
        <w:trPr>
          <w:trHeight w:val="243"/>
          <w:jc w:val="center"/>
        </w:trPr>
        <w:tc>
          <w:tcPr>
            <w:tcW w:w="2736" w:type="dxa"/>
            <w:tcBorders>
              <w:top w:val="single" w:sz="4" w:space="0" w:color="auto"/>
              <w:left w:val="single" w:sz="12" w:space="0" w:color="000000"/>
              <w:bottom w:val="single" w:sz="4" w:space="0" w:color="000000"/>
              <w:right w:val="single" w:sz="8" w:space="0" w:color="0070C0"/>
            </w:tcBorders>
            <w:shd w:val="clear" w:color="auto" w:fill="auto"/>
            <w:vAlign w:val="center"/>
          </w:tcPr>
          <w:p w14:paraId="1F4C3A73" w14:textId="547B8129" w:rsidR="00A64C7A"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#4: </w:t>
            </w:r>
            <w:r w:rsidR="00B3162F">
              <w:rPr>
                <w:rFonts w:ascii="Verdana" w:eastAsia="Times New Roman" w:hAnsi="Verdana"/>
                <w:sz w:val="20"/>
                <w:szCs w:val="20"/>
              </w:rPr>
              <w:t>California</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4A6B0D9E" w14:textId="18A534D8" w:rsidR="00A64C7A" w:rsidRDefault="00A64C7A"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r w:rsidR="00B3162F">
              <w:rPr>
                <w:rFonts w:ascii="Verdana" w:eastAsia="Times New Roman" w:hAnsi="Verdana"/>
                <w:sz w:val="20"/>
                <w:szCs w:val="20"/>
              </w:rPr>
              <w:t>8.5</w:t>
            </w:r>
            <w:r>
              <w:rPr>
                <w:rFonts w:ascii="Verdana" w:eastAsia="Times New Roman" w:hAnsi="Verdana"/>
                <w:sz w:val="20"/>
                <w:szCs w:val="20"/>
              </w:rPr>
              <w:t>%</w:t>
            </w:r>
          </w:p>
        </w:tc>
        <w:tc>
          <w:tcPr>
            <w:tcW w:w="2736" w:type="dxa"/>
            <w:tcBorders>
              <w:top w:val="single" w:sz="4" w:space="0" w:color="000000"/>
              <w:left w:val="single" w:sz="18" w:space="0" w:color="0070C0"/>
              <w:bottom w:val="single" w:sz="4" w:space="0" w:color="000000"/>
              <w:right w:val="single" w:sz="8" w:space="0" w:color="0070C0"/>
            </w:tcBorders>
            <w:shd w:val="clear" w:color="auto" w:fill="F2F2F2" w:themeFill="background1" w:themeFillShade="F2"/>
            <w:vAlign w:val="center"/>
          </w:tcPr>
          <w:p w14:paraId="07F636F3" w14:textId="4159E278" w:rsidR="00A64C7A"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#4: </w:t>
            </w:r>
            <w:r w:rsidR="006D2B9C">
              <w:rPr>
                <w:rFonts w:ascii="Verdana" w:eastAsia="Times New Roman" w:hAnsi="Verdana"/>
                <w:sz w:val="20"/>
                <w:szCs w:val="20"/>
              </w:rPr>
              <w:t>Wyoming</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0BA6C5DF" w14:textId="61CB70D5" w:rsidR="00A64C7A" w:rsidRDefault="006D2B9C"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9.3</w:t>
            </w:r>
            <w:r w:rsidR="00A64C7A">
              <w:rPr>
                <w:rFonts w:ascii="Verdana" w:eastAsia="Times New Roman" w:hAnsi="Verdana"/>
                <w:sz w:val="20"/>
                <w:szCs w:val="20"/>
              </w:rPr>
              <w:t>%</w:t>
            </w:r>
          </w:p>
        </w:tc>
      </w:tr>
      <w:tr w:rsidR="00A64C7A" w:rsidRPr="00CC1ECE" w14:paraId="06DE82F3" w14:textId="77777777" w:rsidTr="006D2B9C">
        <w:trPr>
          <w:trHeight w:val="54"/>
          <w:jc w:val="center"/>
        </w:trPr>
        <w:tc>
          <w:tcPr>
            <w:tcW w:w="2736"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157C4BA7" w14:textId="0C64F669" w:rsidR="00A64C7A" w:rsidRPr="00CC1ECE"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w:t>
            </w:r>
            <w:r w:rsidR="00B3162F">
              <w:rPr>
                <w:rFonts w:ascii="Verdana" w:eastAsia="Times New Roman" w:hAnsi="Verdana"/>
                <w:sz w:val="20"/>
                <w:szCs w:val="20"/>
              </w:rPr>
              <w:t>Maryland</w:t>
            </w:r>
          </w:p>
        </w:tc>
        <w:tc>
          <w:tcPr>
            <w:tcW w:w="1267" w:type="dxa"/>
            <w:tcBorders>
              <w:top w:val="single" w:sz="4" w:space="0" w:color="000000"/>
              <w:left w:val="single" w:sz="8" w:space="0" w:color="0070C0"/>
              <w:bottom w:val="single" w:sz="12" w:space="0" w:color="000000"/>
              <w:right w:val="single" w:sz="18" w:space="0" w:color="0070C0"/>
            </w:tcBorders>
            <w:shd w:val="clear" w:color="auto" w:fill="E5B8B7" w:themeFill="accent2" w:themeFillTint="66"/>
            <w:vAlign w:val="center"/>
          </w:tcPr>
          <w:p w14:paraId="5C6EF9BE" w14:textId="22A6180E" w:rsidR="00A64C7A" w:rsidRPr="00CC1ECE" w:rsidRDefault="00A64C7A"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r w:rsidR="00B3162F">
              <w:rPr>
                <w:rFonts w:ascii="Verdana" w:eastAsia="Times New Roman" w:hAnsi="Verdana"/>
                <w:sz w:val="20"/>
                <w:szCs w:val="20"/>
              </w:rPr>
              <w:t>8.2</w:t>
            </w:r>
            <w:r>
              <w:rPr>
                <w:rFonts w:ascii="Verdana" w:eastAsia="Times New Roman" w:hAnsi="Verdana"/>
                <w:sz w:val="20"/>
                <w:szCs w:val="20"/>
              </w:rPr>
              <w:t>%</w:t>
            </w:r>
          </w:p>
        </w:tc>
        <w:tc>
          <w:tcPr>
            <w:tcW w:w="2736" w:type="dxa"/>
            <w:tcBorders>
              <w:top w:val="single" w:sz="4" w:space="0" w:color="000000"/>
              <w:left w:val="single" w:sz="18" w:space="0" w:color="0070C0"/>
              <w:bottom w:val="single" w:sz="12" w:space="0" w:color="000000"/>
              <w:right w:val="single" w:sz="8" w:space="0" w:color="0070C0"/>
            </w:tcBorders>
            <w:shd w:val="clear" w:color="auto" w:fill="F2F2F2" w:themeFill="background1" w:themeFillShade="F2"/>
            <w:vAlign w:val="center"/>
          </w:tcPr>
          <w:p w14:paraId="286FD115" w14:textId="60AC3C69" w:rsidR="00A64C7A" w:rsidRPr="00CC1ECE" w:rsidRDefault="00A64C7A"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w:t>
            </w:r>
            <w:r w:rsidR="006D2B9C">
              <w:rPr>
                <w:rFonts w:ascii="Verdana" w:eastAsia="Times New Roman" w:hAnsi="Verdana"/>
                <w:sz w:val="20"/>
                <w:szCs w:val="20"/>
              </w:rPr>
              <w:t>Kansas</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64B4CB0C" w14:textId="15FE7462" w:rsidR="00A64C7A" w:rsidRPr="00CC1ECE" w:rsidRDefault="006D2B9C"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9.9</w:t>
            </w:r>
            <w:r w:rsidR="00A64C7A">
              <w:rPr>
                <w:rFonts w:ascii="Verdana" w:eastAsia="Times New Roman" w:hAnsi="Verdana"/>
                <w:sz w:val="20"/>
                <w:szCs w:val="20"/>
              </w:rPr>
              <w:t>%</w:t>
            </w:r>
          </w:p>
        </w:tc>
      </w:tr>
    </w:tbl>
    <w:p w14:paraId="215253DC" w14:textId="7167E8ED" w:rsidR="00A64C7A" w:rsidRPr="006D2B9C" w:rsidRDefault="00A64C7A" w:rsidP="006D2B9C">
      <w:pPr>
        <w:tabs>
          <w:tab w:val="left" w:pos="720"/>
        </w:tabs>
        <w:spacing w:after="0" w:line="240" w:lineRule="auto"/>
        <w:contextualSpacing/>
        <w:mirrorIndents/>
        <w:rPr>
          <w:rFonts w:ascii="Verdana" w:hAnsi="Verdana"/>
          <w:sz w:val="16"/>
          <w:szCs w:val="16"/>
        </w:rPr>
      </w:pPr>
      <w:r>
        <w:rPr>
          <w:rFonts w:ascii="Verdana" w:hAnsi="Verdana"/>
          <w:sz w:val="16"/>
          <w:szCs w:val="16"/>
        </w:rPr>
        <w:tab/>
        <w:t>Centers for Disease Control and Prevention, December 20201</w:t>
      </w:r>
      <w:r w:rsidR="006D2B9C">
        <w:rPr>
          <w:rFonts w:ascii="Verdana" w:hAnsi="Verdana"/>
          <w:sz w:val="16"/>
          <w:szCs w:val="16"/>
        </w:rPr>
        <w:tab/>
        <w:t xml:space="preserve">  </w:t>
      </w:r>
      <w:r>
        <w:rPr>
          <w:rFonts w:ascii="Verdana" w:hAnsi="Verdana"/>
          <w:sz w:val="16"/>
          <w:szCs w:val="16"/>
        </w:rPr>
        <w:t>*during the four weeks ending 12/21/21</w:t>
      </w:r>
    </w:p>
    <w:p w14:paraId="5A961489" w14:textId="77777777" w:rsidR="00A64C7A" w:rsidRDefault="00A64C7A" w:rsidP="00331B4F">
      <w:pPr>
        <w:spacing w:after="0" w:line="240" w:lineRule="auto"/>
        <w:contextualSpacing/>
        <w:mirrorIndents/>
        <w:rPr>
          <w:rFonts w:ascii="Verdana" w:hAnsi="Verdana"/>
          <w:sz w:val="20"/>
          <w:szCs w:val="20"/>
        </w:rPr>
      </w:pPr>
    </w:p>
    <w:p w14:paraId="5417E56E" w14:textId="54E2FE5D" w:rsidR="00331B4F" w:rsidRPr="00B62A1E" w:rsidRDefault="00512415" w:rsidP="00B62A1E">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t xml:space="preserve">From </w:t>
      </w:r>
      <w:r w:rsidR="00331B4F" w:rsidRPr="00B62A1E">
        <w:rPr>
          <w:rFonts w:ascii="Verdana" w:hAnsi="Verdana"/>
          <w:b/>
          <w:bCs/>
          <w:color w:val="0070C0"/>
          <w:sz w:val="20"/>
          <w:szCs w:val="20"/>
        </w:rPr>
        <w:t>Anxiety</w:t>
      </w:r>
      <w:r>
        <w:rPr>
          <w:rFonts w:ascii="Verdana" w:hAnsi="Verdana"/>
          <w:b/>
          <w:bCs/>
          <w:color w:val="0070C0"/>
          <w:sz w:val="20"/>
          <w:szCs w:val="20"/>
        </w:rPr>
        <w:t xml:space="preserve"> to Greater Confidence</w:t>
      </w:r>
    </w:p>
    <w:p w14:paraId="5564D6B9" w14:textId="77777777" w:rsidR="00331B4F" w:rsidRPr="00331B4F" w:rsidRDefault="00331B4F" w:rsidP="00331B4F">
      <w:pPr>
        <w:spacing w:after="0" w:line="240" w:lineRule="auto"/>
        <w:contextualSpacing/>
        <w:mirrorIndents/>
        <w:rPr>
          <w:rFonts w:ascii="Verdana" w:hAnsi="Verdana"/>
          <w:sz w:val="20"/>
          <w:szCs w:val="20"/>
        </w:rPr>
      </w:pPr>
    </w:p>
    <w:p w14:paraId="188E49A2" w14:textId="44F26B62" w:rsidR="00331B4F" w:rsidRPr="00331B4F" w:rsidRDefault="00512415" w:rsidP="00331B4F">
      <w:pPr>
        <w:spacing w:after="0" w:line="240" w:lineRule="auto"/>
        <w:contextualSpacing/>
        <w:mirrorIndents/>
        <w:rPr>
          <w:rFonts w:ascii="Verdana" w:hAnsi="Verdana"/>
          <w:sz w:val="20"/>
          <w:szCs w:val="20"/>
        </w:rPr>
      </w:pPr>
      <w:r>
        <w:rPr>
          <w:rFonts w:ascii="Verdana" w:hAnsi="Verdana"/>
          <w:sz w:val="20"/>
          <w:szCs w:val="20"/>
        </w:rPr>
        <w:t>The pandemic has adversely affected the mental health of Americans and add</w:t>
      </w:r>
      <w:r w:rsidR="006F540A">
        <w:rPr>
          <w:rFonts w:ascii="Verdana" w:hAnsi="Verdana"/>
          <w:sz w:val="20"/>
          <w:szCs w:val="20"/>
        </w:rPr>
        <w:t>ed</w:t>
      </w:r>
      <w:r>
        <w:rPr>
          <w:rFonts w:ascii="Verdana" w:hAnsi="Verdana"/>
          <w:sz w:val="20"/>
          <w:szCs w:val="20"/>
        </w:rPr>
        <w:t xml:space="preserve"> another challenge for the US healthcare system. According to an </w:t>
      </w:r>
      <w:r w:rsidR="00F66DCE">
        <w:rPr>
          <w:rFonts w:ascii="Verdana" w:hAnsi="Verdana"/>
          <w:sz w:val="20"/>
          <w:szCs w:val="20"/>
        </w:rPr>
        <w:t>August</w:t>
      </w:r>
      <w:r>
        <w:rPr>
          <w:rFonts w:ascii="Verdana" w:hAnsi="Verdana"/>
          <w:sz w:val="20"/>
          <w:szCs w:val="20"/>
        </w:rPr>
        <w:t xml:space="preserve"> 2021 </w:t>
      </w:r>
      <w:r w:rsidR="00C8622D">
        <w:rPr>
          <w:rFonts w:ascii="Verdana" w:hAnsi="Verdana"/>
          <w:sz w:val="20"/>
          <w:szCs w:val="20"/>
        </w:rPr>
        <w:t xml:space="preserve">The </w:t>
      </w:r>
      <w:r>
        <w:rPr>
          <w:rFonts w:ascii="Verdana" w:hAnsi="Verdana"/>
          <w:sz w:val="20"/>
          <w:szCs w:val="20"/>
        </w:rPr>
        <w:t xml:space="preserve">Harris Poll for the American Psychological Association, 32% of Americans </w:t>
      </w:r>
      <w:r w:rsidR="00F66DCE">
        <w:rPr>
          <w:rFonts w:ascii="Verdana" w:hAnsi="Verdana"/>
          <w:sz w:val="20"/>
          <w:szCs w:val="20"/>
        </w:rPr>
        <w:t xml:space="preserve">said they </w:t>
      </w:r>
      <w:r>
        <w:rPr>
          <w:rFonts w:ascii="Verdana" w:hAnsi="Verdana"/>
          <w:sz w:val="20"/>
          <w:szCs w:val="20"/>
        </w:rPr>
        <w:t>were very stressed.</w:t>
      </w:r>
    </w:p>
    <w:p w14:paraId="16A72CC3" w14:textId="5FA014CB" w:rsidR="00331B4F" w:rsidRDefault="00331B4F" w:rsidP="00331B4F">
      <w:pPr>
        <w:spacing w:after="0" w:line="240" w:lineRule="auto"/>
        <w:contextualSpacing/>
        <w:mirrorIndents/>
        <w:rPr>
          <w:rFonts w:ascii="Verdana" w:hAnsi="Verdana"/>
          <w:sz w:val="20"/>
          <w:szCs w:val="20"/>
        </w:rPr>
      </w:pPr>
    </w:p>
    <w:p w14:paraId="1B4AA037" w14:textId="0B7C40FC" w:rsidR="00512415" w:rsidRPr="00331B4F" w:rsidRDefault="00512415" w:rsidP="00331B4F">
      <w:pPr>
        <w:spacing w:after="0" w:line="240" w:lineRule="auto"/>
        <w:contextualSpacing/>
        <w:mirrorIndents/>
        <w:rPr>
          <w:rFonts w:ascii="Verdana" w:hAnsi="Verdana"/>
          <w:sz w:val="20"/>
          <w:szCs w:val="20"/>
        </w:rPr>
      </w:pPr>
      <w:r>
        <w:rPr>
          <w:rFonts w:ascii="Verdana" w:hAnsi="Verdana"/>
          <w:sz w:val="20"/>
          <w:szCs w:val="20"/>
        </w:rPr>
        <w:t>Almost half (48%) of all Millennials said their pandemic-induced anxiety made basic decisions difficult, compared to 37% of Gen Xers, 32% of Gen Xers, 14% of Baby Boomers and 3% of the oldest adults.</w:t>
      </w:r>
    </w:p>
    <w:p w14:paraId="45C86320" w14:textId="768E455E" w:rsidR="00331B4F" w:rsidRDefault="00331B4F" w:rsidP="00331B4F">
      <w:pPr>
        <w:spacing w:after="0" w:line="240" w:lineRule="auto"/>
        <w:contextualSpacing/>
        <w:mirrorIndents/>
        <w:rPr>
          <w:rFonts w:ascii="Verdana" w:hAnsi="Verdana"/>
          <w:sz w:val="20"/>
          <w:szCs w:val="20"/>
        </w:rPr>
      </w:pPr>
    </w:p>
    <w:p w14:paraId="4B08184A" w14:textId="40A8674D" w:rsidR="00F66DCE" w:rsidRDefault="00F66DCE" w:rsidP="00331B4F">
      <w:pPr>
        <w:spacing w:after="0" w:line="240" w:lineRule="auto"/>
        <w:contextualSpacing/>
        <w:mirrorIndents/>
        <w:rPr>
          <w:rFonts w:ascii="Verdana" w:hAnsi="Verdana"/>
          <w:sz w:val="20"/>
          <w:szCs w:val="20"/>
        </w:rPr>
      </w:pPr>
      <w:r>
        <w:rPr>
          <w:rFonts w:ascii="Verdana" w:hAnsi="Verdana"/>
          <w:sz w:val="20"/>
          <w:szCs w:val="20"/>
        </w:rPr>
        <w:t>Despite all that stress, a 2021 Healthy Now survey for the Cleveland Clinic found approximately 74% of Americans said how they’ve navigated the pandemic has increased their confidence about overcoming any future challenges.</w:t>
      </w:r>
    </w:p>
    <w:p w14:paraId="178FBE55" w14:textId="00856FB1" w:rsidR="00F66DCE" w:rsidRDefault="00F66DCE" w:rsidP="00331B4F">
      <w:pPr>
        <w:spacing w:after="0" w:line="240" w:lineRule="auto"/>
        <w:contextualSpacing/>
        <w:mirrorIndents/>
        <w:rPr>
          <w:rFonts w:ascii="Verdana" w:hAnsi="Verdana"/>
          <w:sz w:val="20"/>
          <w:szCs w:val="20"/>
        </w:rPr>
      </w:pPr>
    </w:p>
    <w:p w14:paraId="407E9FB8" w14:textId="77777777" w:rsidR="00DB487D" w:rsidRDefault="00F66DCE" w:rsidP="00F66DCE">
      <w:pPr>
        <w:pStyle w:val="Header"/>
        <w:contextualSpacing/>
        <w:jc w:val="center"/>
        <w:rPr>
          <w:rFonts w:ascii="Verdana" w:hAnsi="Verdana"/>
          <w:b/>
          <w:sz w:val="20"/>
          <w:szCs w:val="20"/>
        </w:rPr>
      </w:pPr>
      <w:r>
        <w:rPr>
          <w:rFonts w:ascii="Verdana" w:hAnsi="Verdana"/>
          <w:b/>
          <w:sz w:val="20"/>
          <w:szCs w:val="20"/>
        </w:rPr>
        <w:t>Significant Sources of Stress</w:t>
      </w:r>
      <w:r w:rsidR="009D320B">
        <w:rPr>
          <w:rFonts w:ascii="Verdana" w:hAnsi="Verdana"/>
          <w:b/>
          <w:sz w:val="20"/>
          <w:szCs w:val="20"/>
        </w:rPr>
        <w:t xml:space="preserve"> Among The Harris </w:t>
      </w:r>
    </w:p>
    <w:p w14:paraId="45CE5616" w14:textId="2637A9ED" w:rsidR="00F66DCE" w:rsidRPr="00E7004E" w:rsidRDefault="009D320B" w:rsidP="00F66DCE">
      <w:pPr>
        <w:pStyle w:val="Header"/>
        <w:contextualSpacing/>
        <w:jc w:val="center"/>
        <w:rPr>
          <w:rFonts w:ascii="Verdana" w:hAnsi="Verdana"/>
          <w:b/>
          <w:sz w:val="20"/>
          <w:szCs w:val="20"/>
        </w:rPr>
      </w:pPr>
      <w:r>
        <w:rPr>
          <w:rFonts w:ascii="Verdana" w:hAnsi="Verdana"/>
          <w:b/>
          <w:sz w:val="20"/>
          <w:szCs w:val="20"/>
        </w:rPr>
        <w:t>Poll Survey</w:t>
      </w:r>
      <w:r w:rsidR="00DB487D">
        <w:rPr>
          <w:rFonts w:ascii="Verdana" w:hAnsi="Verdana"/>
          <w:b/>
          <w:sz w:val="20"/>
          <w:szCs w:val="20"/>
        </w:rPr>
        <w:t xml:space="preserve"> Respondents</w:t>
      </w:r>
      <w:r w:rsidR="00F66DCE" w:rsidRPr="00E7004E">
        <w:rPr>
          <w:rFonts w:ascii="Verdana" w:hAnsi="Verdana"/>
          <w:b/>
          <w:sz w:val="20"/>
          <w:szCs w:val="20"/>
        </w:rPr>
        <w:t xml:space="preserve">, </w:t>
      </w:r>
      <w:r>
        <w:rPr>
          <w:rFonts w:ascii="Verdana" w:hAnsi="Verdana"/>
          <w:b/>
          <w:sz w:val="20"/>
          <w:szCs w:val="20"/>
        </w:rPr>
        <w:t>August</w:t>
      </w:r>
      <w:r w:rsidR="00F66DCE">
        <w:rPr>
          <w:rFonts w:ascii="Verdana" w:hAnsi="Verdana"/>
          <w:b/>
          <w:sz w:val="20"/>
          <w:szCs w:val="20"/>
        </w:rPr>
        <w:t xml:space="preserve"> </w:t>
      </w:r>
      <w:r w:rsidR="00F66DCE" w:rsidRPr="00E7004E">
        <w:rPr>
          <w:rFonts w:ascii="Verdana" w:hAnsi="Verdana"/>
          <w:b/>
          <w:sz w:val="20"/>
          <w:szCs w:val="20"/>
        </w:rPr>
        <w:t>20</w:t>
      </w:r>
      <w:r w:rsidR="00F66DCE">
        <w:rPr>
          <w:rFonts w:ascii="Verdana" w:hAnsi="Verdana"/>
          <w:b/>
          <w:sz w:val="20"/>
          <w:szCs w:val="20"/>
        </w:rPr>
        <w:t>21</w:t>
      </w:r>
    </w:p>
    <w:tbl>
      <w:tblPr>
        <w:tblW w:w="10480" w:type="dxa"/>
        <w:jc w:val="center"/>
        <w:tblBorders>
          <w:left w:val="single" w:sz="8" w:space="0" w:color="000000"/>
          <w:right w:val="single" w:sz="8" w:space="0" w:color="000000"/>
        </w:tblBorders>
        <w:tblLayout w:type="fixed"/>
        <w:tblLook w:val="0000" w:firstRow="0" w:lastRow="0" w:firstColumn="0" w:lastColumn="0" w:noHBand="0" w:noVBand="0"/>
      </w:tblPr>
      <w:tblGrid>
        <w:gridCol w:w="3972"/>
        <w:gridCol w:w="1267"/>
        <w:gridCol w:w="3974"/>
        <w:gridCol w:w="1267"/>
      </w:tblGrid>
      <w:tr w:rsidR="00F66DCE" w:rsidRPr="00E7004E" w14:paraId="2FD11CE5" w14:textId="77777777" w:rsidTr="00C8622D">
        <w:trPr>
          <w:jc w:val="center"/>
        </w:trPr>
        <w:tc>
          <w:tcPr>
            <w:tcW w:w="3972" w:type="dxa"/>
            <w:tcBorders>
              <w:top w:val="single" w:sz="12" w:space="0" w:color="000000"/>
              <w:left w:val="single" w:sz="12" w:space="0" w:color="000000"/>
              <w:bottom w:val="single" w:sz="18" w:space="0" w:color="C0504D" w:themeColor="accent2"/>
              <w:right w:val="single" w:sz="8" w:space="0" w:color="0070C0"/>
            </w:tcBorders>
            <w:vAlign w:val="center"/>
          </w:tcPr>
          <w:p w14:paraId="17C961A9" w14:textId="5728382C" w:rsidR="00F66DCE" w:rsidRPr="00E7004E" w:rsidRDefault="009D320B"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Source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23B457CE" w14:textId="77777777" w:rsidR="00F66DCE" w:rsidRPr="00E7004E" w:rsidRDefault="00F66DCE"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974" w:type="dxa"/>
            <w:tcBorders>
              <w:top w:val="single" w:sz="12" w:space="0" w:color="000000"/>
              <w:left w:val="single" w:sz="18" w:space="0" w:color="0070C0"/>
              <w:bottom w:val="single" w:sz="18" w:space="0" w:color="C0504D" w:themeColor="accent2"/>
              <w:right w:val="single" w:sz="8" w:space="0" w:color="0070C0"/>
            </w:tcBorders>
            <w:vAlign w:val="center"/>
          </w:tcPr>
          <w:p w14:paraId="58993148" w14:textId="08B1E97A" w:rsidR="00F66DCE" w:rsidRPr="00E7004E" w:rsidRDefault="009D320B"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Source</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080480E2" w14:textId="77777777" w:rsidR="00F66DCE" w:rsidRPr="00E7004E" w:rsidRDefault="00F66DCE"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7629D3" w:rsidRPr="00E7004E" w14:paraId="65BB620A" w14:textId="77777777" w:rsidTr="00C8622D">
        <w:trPr>
          <w:trHeight w:val="243"/>
          <w:jc w:val="center"/>
        </w:trPr>
        <w:tc>
          <w:tcPr>
            <w:tcW w:w="3972" w:type="dxa"/>
            <w:tcBorders>
              <w:top w:val="single" w:sz="18" w:space="0" w:color="C0504D" w:themeColor="accent2"/>
              <w:left w:val="single" w:sz="12" w:space="0" w:color="000000"/>
              <w:bottom w:val="single" w:sz="4" w:space="0" w:color="auto"/>
              <w:right w:val="single" w:sz="8" w:space="0" w:color="0070C0"/>
            </w:tcBorders>
            <w:vAlign w:val="center"/>
          </w:tcPr>
          <w:p w14:paraId="044E38EA" w14:textId="2FA814EB" w:rsidR="00F66DCE" w:rsidRPr="00E7004E" w:rsidRDefault="009D320B" w:rsidP="00C862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Work (of those employed)</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C00000"/>
            <w:vAlign w:val="center"/>
          </w:tcPr>
          <w:p w14:paraId="47EA1391" w14:textId="30E5F1B2"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66%</w:t>
            </w:r>
          </w:p>
        </w:tc>
        <w:tc>
          <w:tcPr>
            <w:tcW w:w="3974"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79FD821B" w14:textId="3651DDA1" w:rsidR="00F66DCE" w:rsidRPr="00E7004E" w:rsidRDefault="009D320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Personal relationships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99594" w:themeFill="accent2" w:themeFillTint="99"/>
            <w:vAlign w:val="center"/>
          </w:tcPr>
          <w:p w14:paraId="0D753D3F" w14:textId="792B1458"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r>
      <w:tr w:rsidR="007629D3" w:rsidRPr="00E7004E" w14:paraId="59090247" w14:textId="77777777" w:rsidTr="00C8622D">
        <w:trPr>
          <w:trHeight w:val="243"/>
          <w:jc w:val="center"/>
        </w:trPr>
        <w:tc>
          <w:tcPr>
            <w:tcW w:w="3972" w:type="dxa"/>
            <w:tcBorders>
              <w:top w:val="single" w:sz="4" w:space="0" w:color="auto"/>
              <w:left w:val="single" w:sz="12" w:space="0" w:color="000000"/>
              <w:bottom w:val="single" w:sz="4" w:space="0" w:color="000000"/>
              <w:right w:val="single" w:sz="8" w:space="0" w:color="0070C0"/>
            </w:tcBorders>
            <w:vAlign w:val="center"/>
          </w:tcPr>
          <w:p w14:paraId="60AD16C3" w14:textId="14E361B8" w:rsidR="00F66DCE" w:rsidRPr="00E7004E" w:rsidRDefault="009D320B" w:rsidP="00C862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Money</w:t>
            </w:r>
          </w:p>
        </w:tc>
        <w:tc>
          <w:tcPr>
            <w:tcW w:w="1267" w:type="dxa"/>
            <w:tcBorders>
              <w:top w:val="single" w:sz="4" w:space="0" w:color="auto"/>
              <w:left w:val="single" w:sz="8" w:space="0" w:color="0070C0"/>
              <w:bottom w:val="single" w:sz="4" w:space="0" w:color="000000"/>
              <w:right w:val="single" w:sz="18" w:space="0" w:color="0070C0"/>
            </w:tcBorders>
            <w:shd w:val="clear" w:color="auto" w:fill="FF0000"/>
            <w:vAlign w:val="center"/>
          </w:tcPr>
          <w:p w14:paraId="6B4F1DB7" w14:textId="29949D6A"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61%</w:t>
            </w:r>
          </w:p>
        </w:tc>
        <w:tc>
          <w:tcPr>
            <w:tcW w:w="3974"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533DE61" w14:textId="759AD5FF" w:rsidR="00F66DCE" w:rsidRPr="00E7004E" w:rsidRDefault="009D320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Housing costs</w:t>
            </w:r>
          </w:p>
        </w:tc>
        <w:tc>
          <w:tcPr>
            <w:tcW w:w="1267" w:type="dxa"/>
            <w:tcBorders>
              <w:top w:val="single" w:sz="4" w:space="0" w:color="000000"/>
              <w:left w:val="single" w:sz="8" w:space="0" w:color="0070C0"/>
              <w:bottom w:val="single" w:sz="4" w:space="0" w:color="000000"/>
              <w:right w:val="single" w:sz="12" w:space="0" w:color="000000"/>
            </w:tcBorders>
            <w:shd w:val="clear" w:color="auto" w:fill="D99594" w:themeFill="accent2" w:themeFillTint="99"/>
            <w:vAlign w:val="center"/>
          </w:tcPr>
          <w:p w14:paraId="41E71477" w14:textId="246F04C7"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r>
      <w:tr w:rsidR="00F66DCE" w:rsidRPr="00E7004E" w14:paraId="0E7C228D" w14:textId="77777777" w:rsidTr="00C8622D">
        <w:trPr>
          <w:trHeight w:val="243"/>
          <w:jc w:val="center"/>
        </w:trPr>
        <w:tc>
          <w:tcPr>
            <w:tcW w:w="3972" w:type="dxa"/>
            <w:tcBorders>
              <w:top w:val="single" w:sz="4" w:space="0" w:color="auto"/>
              <w:left w:val="single" w:sz="12" w:space="0" w:color="000000"/>
              <w:bottom w:val="single" w:sz="4" w:space="0" w:color="000000"/>
              <w:right w:val="single" w:sz="8" w:space="0" w:color="0070C0"/>
            </w:tcBorders>
            <w:vAlign w:val="center"/>
          </w:tcPr>
          <w:p w14:paraId="49A950F5" w14:textId="0E359FB2" w:rsidR="00F66DCE" w:rsidRPr="00E7004E" w:rsidRDefault="009D320B" w:rsidP="00C862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The economy</w:t>
            </w:r>
          </w:p>
        </w:tc>
        <w:tc>
          <w:tcPr>
            <w:tcW w:w="1267" w:type="dxa"/>
            <w:tcBorders>
              <w:top w:val="single" w:sz="4" w:space="0" w:color="auto"/>
              <w:left w:val="single" w:sz="8" w:space="0" w:color="0070C0"/>
              <w:bottom w:val="single" w:sz="4" w:space="0" w:color="000000"/>
              <w:right w:val="single" w:sz="18" w:space="0" w:color="0070C0"/>
            </w:tcBorders>
            <w:shd w:val="clear" w:color="auto" w:fill="FF0000"/>
            <w:vAlign w:val="center"/>
          </w:tcPr>
          <w:p w14:paraId="7F93A7CF" w14:textId="3B7FA7DC"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59%</w:t>
            </w:r>
          </w:p>
        </w:tc>
        <w:tc>
          <w:tcPr>
            <w:tcW w:w="3974"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E99A41D" w14:textId="321DA1D2" w:rsidR="00F66DCE" w:rsidRPr="00E7004E" w:rsidRDefault="009D320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Personal safety</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4739C660" w14:textId="21F33842"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w:t>
            </w:r>
          </w:p>
        </w:tc>
      </w:tr>
      <w:tr w:rsidR="007629D3" w:rsidRPr="00E7004E" w14:paraId="218567A0" w14:textId="77777777" w:rsidTr="00C8622D">
        <w:trPr>
          <w:trHeight w:val="243"/>
          <w:jc w:val="center"/>
        </w:trPr>
        <w:tc>
          <w:tcPr>
            <w:tcW w:w="3972" w:type="dxa"/>
            <w:tcBorders>
              <w:top w:val="single" w:sz="4" w:space="0" w:color="auto"/>
              <w:left w:val="single" w:sz="12" w:space="0" w:color="000000"/>
              <w:bottom w:val="single" w:sz="4" w:space="0" w:color="000000"/>
              <w:right w:val="single" w:sz="8" w:space="0" w:color="0070C0"/>
            </w:tcBorders>
            <w:vAlign w:val="center"/>
          </w:tcPr>
          <w:p w14:paraId="4B462E40" w14:textId="34B9C43C" w:rsidR="00F66DCE" w:rsidRPr="00E7004E" w:rsidRDefault="009D320B" w:rsidP="00C862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Family responsibilities</w:t>
            </w:r>
          </w:p>
        </w:tc>
        <w:tc>
          <w:tcPr>
            <w:tcW w:w="1267" w:type="dxa"/>
            <w:tcBorders>
              <w:top w:val="single" w:sz="4" w:space="0" w:color="auto"/>
              <w:left w:val="single" w:sz="8" w:space="0" w:color="0070C0"/>
              <w:bottom w:val="single" w:sz="4" w:space="0" w:color="000000"/>
              <w:right w:val="single" w:sz="18" w:space="0" w:color="0070C0"/>
            </w:tcBorders>
            <w:shd w:val="clear" w:color="auto" w:fill="FF0000"/>
            <w:vAlign w:val="center"/>
          </w:tcPr>
          <w:p w14:paraId="5E691B79" w14:textId="1A7CBEC2"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57%</w:t>
            </w:r>
          </w:p>
        </w:tc>
        <w:tc>
          <w:tcPr>
            <w:tcW w:w="3974"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14FE314" w14:textId="13D7B0CB" w:rsidR="00F66DCE" w:rsidRPr="00E7004E" w:rsidRDefault="009D320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Job stability</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70C71BE1" w14:textId="28707BFB"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w:t>
            </w:r>
          </w:p>
        </w:tc>
      </w:tr>
      <w:tr w:rsidR="007629D3" w:rsidRPr="00E7004E" w14:paraId="2A4A056C" w14:textId="77777777" w:rsidTr="00C8622D">
        <w:trPr>
          <w:trHeight w:val="243"/>
          <w:jc w:val="center"/>
        </w:trPr>
        <w:tc>
          <w:tcPr>
            <w:tcW w:w="3972" w:type="dxa"/>
            <w:tcBorders>
              <w:top w:val="single" w:sz="4" w:space="0" w:color="auto"/>
              <w:left w:val="single" w:sz="12" w:space="0" w:color="000000"/>
              <w:bottom w:val="single" w:sz="4" w:space="0" w:color="000000"/>
              <w:right w:val="single" w:sz="8" w:space="0" w:color="0070C0"/>
            </w:tcBorders>
            <w:vAlign w:val="center"/>
          </w:tcPr>
          <w:p w14:paraId="15E51EE6" w14:textId="48414B46" w:rsidR="00F66DCE" w:rsidRPr="00E7004E" w:rsidRDefault="009D320B" w:rsidP="00C862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Personal health concerns</w:t>
            </w:r>
          </w:p>
        </w:tc>
        <w:tc>
          <w:tcPr>
            <w:tcW w:w="1267"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11DF12C2" w14:textId="6F3CFC5D"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52%</w:t>
            </w:r>
          </w:p>
        </w:tc>
        <w:tc>
          <w:tcPr>
            <w:tcW w:w="3974"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5DF4E9B" w14:textId="114682EC" w:rsidR="00F66DCE" w:rsidRPr="00E7004E" w:rsidRDefault="009D320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#11: Discrimination</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52D757A4" w14:textId="16D9E5AE"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32%</w:t>
            </w:r>
          </w:p>
        </w:tc>
      </w:tr>
      <w:tr w:rsidR="00F66DCE" w:rsidRPr="00E7004E" w14:paraId="641A49B2" w14:textId="77777777" w:rsidTr="00C8622D">
        <w:trPr>
          <w:trHeight w:val="243"/>
          <w:jc w:val="center"/>
        </w:trPr>
        <w:tc>
          <w:tcPr>
            <w:tcW w:w="3972"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74BEC7B7" w14:textId="3F96A7B7" w:rsidR="00F66DCE" w:rsidRPr="00E7004E" w:rsidRDefault="009D320B" w:rsidP="00C862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Health problems affecting family</w:t>
            </w:r>
          </w:p>
        </w:tc>
        <w:tc>
          <w:tcPr>
            <w:tcW w:w="1267" w:type="dxa"/>
            <w:tcBorders>
              <w:top w:val="single" w:sz="4" w:space="0" w:color="000000"/>
              <w:left w:val="single" w:sz="8" w:space="0" w:color="0070C0"/>
              <w:bottom w:val="single" w:sz="12" w:space="0" w:color="000000"/>
              <w:right w:val="single" w:sz="18" w:space="0" w:color="0070C0"/>
            </w:tcBorders>
            <w:shd w:val="clear" w:color="auto" w:fill="D99594" w:themeFill="accent2" w:themeFillTint="99"/>
            <w:vAlign w:val="center"/>
          </w:tcPr>
          <w:p w14:paraId="56009C42" w14:textId="5380069E" w:rsidR="00F66DCE" w:rsidRPr="00E7004E" w:rsidRDefault="009D320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c>
          <w:tcPr>
            <w:tcW w:w="3974"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707775A7" w14:textId="77777777" w:rsidR="00F66DCE" w:rsidRPr="00E7004E" w:rsidRDefault="00F66DCE"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31E9742A" w14:textId="77777777" w:rsidR="00F66DCE" w:rsidRPr="00E7004E" w:rsidRDefault="00F66DCE"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1A1A7E3E" w14:textId="1C0AEA88" w:rsidR="00F66DCE" w:rsidRPr="00331B4F" w:rsidRDefault="009D320B" w:rsidP="009D320B">
      <w:pPr>
        <w:spacing w:after="0" w:line="240" w:lineRule="auto"/>
        <w:ind w:hanging="540"/>
        <w:contextualSpacing/>
        <w:mirrorIndents/>
        <w:rPr>
          <w:rFonts w:ascii="Verdana" w:hAnsi="Verdana"/>
          <w:sz w:val="20"/>
          <w:szCs w:val="20"/>
        </w:rPr>
      </w:pPr>
      <w:r>
        <w:rPr>
          <w:rFonts w:ascii="Verdana" w:hAnsi="Verdana"/>
          <w:sz w:val="16"/>
          <w:szCs w:val="16"/>
        </w:rPr>
        <w:t>American Psychological Association/The Harris Poll</w:t>
      </w:r>
      <w:r w:rsidR="00F66DCE" w:rsidRPr="00E7004E">
        <w:rPr>
          <w:rFonts w:ascii="Verdana" w:hAnsi="Verdana"/>
          <w:sz w:val="16"/>
          <w:szCs w:val="16"/>
        </w:rPr>
        <w:t xml:space="preserve">, </w:t>
      </w:r>
      <w:r>
        <w:rPr>
          <w:rFonts w:ascii="Verdana" w:hAnsi="Verdana"/>
          <w:sz w:val="16"/>
          <w:szCs w:val="16"/>
        </w:rPr>
        <w:t>October</w:t>
      </w:r>
      <w:r w:rsidR="00F66DCE">
        <w:rPr>
          <w:rFonts w:ascii="Verdana" w:hAnsi="Verdana"/>
          <w:sz w:val="16"/>
          <w:szCs w:val="16"/>
        </w:rPr>
        <w:t xml:space="preserve"> 2021</w:t>
      </w:r>
      <w:r w:rsidR="00F66DCE" w:rsidRPr="00E7004E">
        <w:rPr>
          <w:rFonts w:ascii="Verdana" w:hAnsi="Verdana"/>
          <w:sz w:val="16"/>
          <w:szCs w:val="16"/>
        </w:rPr>
        <w:tab/>
      </w:r>
    </w:p>
    <w:p w14:paraId="00F4F80E" w14:textId="77777777" w:rsidR="007863E9" w:rsidRPr="00331B4F" w:rsidRDefault="007863E9" w:rsidP="00331B4F">
      <w:pPr>
        <w:spacing w:after="0" w:line="240" w:lineRule="auto"/>
        <w:contextualSpacing/>
        <w:mirrorIndents/>
        <w:rPr>
          <w:rFonts w:ascii="Verdana" w:hAnsi="Verdana"/>
          <w:sz w:val="20"/>
          <w:szCs w:val="20"/>
        </w:rPr>
      </w:pPr>
    </w:p>
    <w:p w14:paraId="292CFEFD" w14:textId="77777777" w:rsidR="00331B4F" w:rsidRPr="006B2BFC" w:rsidRDefault="00331B4F" w:rsidP="006B2BFC">
      <w:pPr>
        <w:spacing w:after="0" w:line="240" w:lineRule="auto"/>
        <w:contextualSpacing/>
        <w:mirrorIndents/>
        <w:jc w:val="center"/>
        <w:rPr>
          <w:rFonts w:ascii="Verdana" w:hAnsi="Verdana"/>
          <w:b/>
          <w:bCs/>
          <w:color w:val="0070C0"/>
          <w:sz w:val="20"/>
          <w:szCs w:val="20"/>
        </w:rPr>
      </w:pPr>
      <w:r w:rsidRPr="006B2BFC">
        <w:rPr>
          <w:rFonts w:ascii="Verdana" w:hAnsi="Verdana"/>
          <w:b/>
          <w:bCs/>
          <w:color w:val="0070C0"/>
          <w:sz w:val="20"/>
          <w:szCs w:val="20"/>
        </w:rPr>
        <w:lastRenderedPageBreak/>
        <w:t>The Burden of Healthcare Costs</w:t>
      </w:r>
    </w:p>
    <w:p w14:paraId="10358127" w14:textId="77777777" w:rsidR="00331B4F" w:rsidRPr="00331B4F" w:rsidRDefault="00331B4F" w:rsidP="00331B4F">
      <w:pPr>
        <w:spacing w:after="0" w:line="240" w:lineRule="auto"/>
        <w:contextualSpacing/>
        <w:mirrorIndents/>
        <w:rPr>
          <w:rFonts w:ascii="Verdana" w:hAnsi="Verdana"/>
          <w:sz w:val="20"/>
          <w:szCs w:val="20"/>
        </w:rPr>
      </w:pPr>
    </w:p>
    <w:p w14:paraId="7B7F623F" w14:textId="0699B256" w:rsidR="008A2886" w:rsidRDefault="006B2BFC" w:rsidP="00331B4F">
      <w:pPr>
        <w:spacing w:after="0" w:line="240" w:lineRule="auto"/>
        <w:contextualSpacing/>
        <w:mirrorIndents/>
        <w:rPr>
          <w:rFonts w:ascii="Verdana" w:hAnsi="Verdana"/>
          <w:sz w:val="20"/>
          <w:szCs w:val="20"/>
        </w:rPr>
      </w:pPr>
      <w:r>
        <w:rPr>
          <w:rFonts w:ascii="Verdana" w:hAnsi="Verdana"/>
          <w:sz w:val="20"/>
          <w:szCs w:val="20"/>
        </w:rPr>
        <w:t xml:space="preserve">The increasing cost of healthcare </w:t>
      </w:r>
      <w:r w:rsidR="008A2886">
        <w:rPr>
          <w:rFonts w:ascii="Verdana" w:hAnsi="Verdana"/>
          <w:sz w:val="20"/>
          <w:szCs w:val="20"/>
        </w:rPr>
        <w:t>for consumers has contributed to delayed treatment as many have experienced job and income disruption</w:t>
      </w:r>
      <w:r w:rsidR="00C8622D">
        <w:rPr>
          <w:rFonts w:ascii="Verdana" w:hAnsi="Verdana"/>
          <w:sz w:val="20"/>
          <w:szCs w:val="20"/>
        </w:rPr>
        <w:t>s</w:t>
      </w:r>
      <w:r w:rsidR="008A2886">
        <w:rPr>
          <w:rFonts w:ascii="Verdana" w:hAnsi="Verdana"/>
          <w:sz w:val="20"/>
          <w:szCs w:val="20"/>
        </w:rPr>
        <w:t>. The population sectors most affected are uninsured adults, African Americans, Latinx Americans and those with lower incomes.</w:t>
      </w:r>
    </w:p>
    <w:p w14:paraId="6727856E" w14:textId="77777777" w:rsidR="008A2886" w:rsidRDefault="008A2886" w:rsidP="00331B4F">
      <w:pPr>
        <w:spacing w:after="0" w:line="240" w:lineRule="auto"/>
        <w:contextualSpacing/>
        <w:mirrorIndents/>
        <w:rPr>
          <w:rFonts w:ascii="Verdana" w:hAnsi="Verdana"/>
          <w:sz w:val="20"/>
          <w:szCs w:val="20"/>
        </w:rPr>
      </w:pPr>
    </w:p>
    <w:p w14:paraId="0999CD23" w14:textId="01ED5ECE" w:rsidR="006B2BFC" w:rsidRDefault="008A2886" w:rsidP="00331B4F">
      <w:pPr>
        <w:spacing w:after="0" w:line="240" w:lineRule="auto"/>
        <w:contextualSpacing/>
        <w:mirrorIndents/>
        <w:rPr>
          <w:rFonts w:ascii="Verdana" w:hAnsi="Verdana"/>
          <w:sz w:val="20"/>
          <w:szCs w:val="20"/>
        </w:rPr>
      </w:pPr>
      <w:r>
        <w:rPr>
          <w:rFonts w:ascii="Verdana" w:hAnsi="Verdana"/>
          <w:sz w:val="20"/>
          <w:szCs w:val="20"/>
        </w:rPr>
        <w:t>According to the West Health-Gallup 2021 Healthcare in America report, 30% of survey respondents (September/October 2021) said they wouldn’t be able to afford access to quality healthcare if needed.</w:t>
      </w:r>
    </w:p>
    <w:p w14:paraId="0A5AA3DC" w14:textId="524CEA0B" w:rsidR="008A2886" w:rsidRDefault="008A2886" w:rsidP="00331B4F">
      <w:pPr>
        <w:spacing w:after="0" w:line="240" w:lineRule="auto"/>
        <w:contextualSpacing/>
        <w:mirrorIndents/>
        <w:rPr>
          <w:rFonts w:ascii="Verdana" w:hAnsi="Verdana"/>
          <w:sz w:val="20"/>
          <w:szCs w:val="20"/>
        </w:rPr>
      </w:pPr>
    </w:p>
    <w:p w14:paraId="57EEC253" w14:textId="6124D2E8" w:rsidR="00331B4F" w:rsidRDefault="00CF3E3C" w:rsidP="00331B4F">
      <w:pPr>
        <w:spacing w:after="0" w:line="240" w:lineRule="auto"/>
        <w:contextualSpacing/>
        <w:mirrorIndents/>
        <w:rPr>
          <w:rFonts w:ascii="Verdana" w:hAnsi="Verdana"/>
          <w:sz w:val="20"/>
          <w:szCs w:val="20"/>
        </w:rPr>
      </w:pPr>
      <w:r>
        <w:rPr>
          <w:rFonts w:ascii="Verdana" w:hAnsi="Verdana"/>
          <w:sz w:val="20"/>
          <w:szCs w:val="20"/>
        </w:rPr>
        <w:t>The results of a September/October 2021 Kaiser Family Foundation survey revealed almost half (46%) of adults with health insurance said it was difficult paying their share of healthcare costs and 27% had similar difficulty with paying their deductible</w:t>
      </w:r>
      <w:r w:rsidR="008C5D46">
        <w:rPr>
          <w:rFonts w:ascii="Verdana" w:hAnsi="Verdana"/>
          <w:sz w:val="20"/>
          <w:szCs w:val="20"/>
        </w:rPr>
        <w:t>.</w:t>
      </w:r>
    </w:p>
    <w:p w14:paraId="00E30651" w14:textId="77777777" w:rsidR="008C5D46" w:rsidRDefault="008C5D46" w:rsidP="00331B4F">
      <w:pPr>
        <w:spacing w:after="0" w:line="240" w:lineRule="auto"/>
        <w:contextualSpacing/>
        <w:mirrorIndents/>
        <w:rPr>
          <w:rFonts w:ascii="Verdana" w:hAnsi="Verdana"/>
          <w:sz w:val="20"/>
          <w:szCs w:val="20"/>
        </w:rPr>
      </w:pPr>
    </w:p>
    <w:p w14:paraId="49C4FD1F" w14:textId="3FA10199" w:rsidR="00CF3E3C" w:rsidRPr="00CC1ECE" w:rsidRDefault="008C5D46" w:rsidP="00CF3E3C">
      <w:pPr>
        <w:pStyle w:val="Header"/>
        <w:contextualSpacing/>
        <w:jc w:val="center"/>
        <w:rPr>
          <w:rFonts w:ascii="Verdana" w:hAnsi="Verdana"/>
          <w:b/>
          <w:sz w:val="20"/>
          <w:szCs w:val="20"/>
        </w:rPr>
      </w:pPr>
      <w:r>
        <w:rPr>
          <w:rFonts w:ascii="Verdana" w:hAnsi="Verdana"/>
          <w:b/>
          <w:sz w:val="20"/>
          <w:szCs w:val="20"/>
        </w:rPr>
        <w:t>The Lower-Income Americans, African Americans and Latinx American Adults</w:t>
      </w:r>
      <w:r w:rsidR="00CF3E3C">
        <w:rPr>
          <w:rFonts w:ascii="Verdana" w:hAnsi="Verdana"/>
          <w:b/>
          <w:sz w:val="20"/>
          <w:szCs w:val="20"/>
        </w:rPr>
        <w:t xml:space="preserve"> </w:t>
      </w:r>
      <w:r>
        <w:rPr>
          <w:rFonts w:ascii="Verdana" w:hAnsi="Verdana"/>
          <w:b/>
          <w:sz w:val="20"/>
          <w:szCs w:val="20"/>
        </w:rPr>
        <w:t xml:space="preserve">Who </w:t>
      </w:r>
      <w:r w:rsidR="00CF3E3C">
        <w:rPr>
          <w:rFonts w:ascii="Verdana" w:hAnsi="Verdana"/>
          <w:b/>
          <w:sz w:val="20"/>
          <w:szCs w:val="20"/>
        </w:rPr>
        <w:t>Had to Skip or Delay Medical Care</w:t>
      </w:r>
      <w:r>
        <w:rPr>
          <w:rFonts w:ascii="Verdana" w:hAnsi="Verdana"/>
          <w:b/>
          <w:sz w:val="20"/>
          <w:szCs w:val="20"/>
        </w:rPr>
        <w:t xml:space="preserve"> Due to Costs</w:t>
      </w:r>
      <w:r w:rsidR="00CF3E3C">
        <w:rPr>
          <w:rFonts w:ascii="Verdana" w:hAnsi="Verdana"/>
          <w:b/>
          <w:sz w:val="20"/>
          <w:szCs w:val="20"/>
        </w:rPr>
        <w:t>, September</w:t>
      </w:r>
      <w:r>
        <w:rPr>
          <w:rFonts w:ascii="Verdana" w:hAnsi="Verdana"/>
          <w:b/>
          <w:sz w:val="20"/>
          <w:szCs w:val="20"/>
        </w:rPr>
        <w:t>/</w:t>
      </w:r>
      <w:r w:rsidR="00CF3E3C">
        <w:rPr>
          <w:rFonts w:ascii="Verdana" w:hAnsi="Verdana"/>
          <w:b/>
          <w:sz w:val="20"/>
          <w:szCs w:val="20"/>
        </w:rPr>
        <w:t>October 2021</w:t>
      </w:r>
    </w:p>
    <w:tbl>
      <w:tblPr>
        <w:tblW w:w="9180" w:type="dxa"/>
        <w:jc w:val="center"/>
        <w:tblBorders>
          <w:left w:val="single" w:sz="8" w:space="0" w:color="000000"/>
          <w:right w:val="single" w:sz="8" w:space="0" w:color="000000"/>
        </w:tblBorders>
        <w:tblLayout w:type="fixed"/>
        <w:tblLook w:val="0000" w:firstRow="0" w:lastRow="0" w:firstColumn="0" w:lastColumn="0" w:noHBand="0" w:noVBand="0"/>
      </w:tblPr>
      <w:tblGrid>
        <w:gridCol w:w="4260"/>
        <w:gridCol w:w="1230"/>
        <w:gridCol w:w="1230"/>
        <w:gridCol w:w="1230"/>
        <w:gridCol w:w="1230"/>
      </w:tblGrid>
      <w:tr w:rsidR="008C5D46" w:rsidRPr="00CC1ECE" w14:paraId="607534EB" w14:textId="77777777" w:rsidTr="00C8622D">
        <w:trPr>
          <w:jc w:val="center"/>
        </w:trPr>
        <w:tc>
          <w:tcPr>
            <w:tcW w:w="4260" w:type="dxa"/>
            <w:tcBorders>
              <w:top w:val="single" w:sz="12" w:space="0" w:color="000000"/>
              <w:left w:val="single" w:sz="12" w:space="0" w:color="000000"/>
              <w:bottom w:val="single" w:sz="18" w:space="0" w:color="C0504D" w:themeColor="accent2"/>
              <w:right w:val="single" w:sz="18" w:space="0" w:color="0070C0"/>
            </w:tcBorders>
            <w:vAlign w:val="center"/>
          </w:tcPr>
          <w:p w14:paraId="252F78A9" w14:textId="65C17686" w:rsidR="008C5D46" w:rsidRPr="00CC1ECE" w:rsidRDefault="008C5D46"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Medical Care</w:t>
            </w:r>
          </w:p>
        </w:tc>
        <w:tc>
          <w:tcPr>
            <w:tcW w:w="1230" w:type="dxa"/>
            <w:tcBorders>
              <w:top w:val="single" w:sz="12" w:space="0" w:color="000000"/>
              <w:left w:val="single" w:sz="18" w:space="0" w:color="0070C0"/>
              <w:bottom w:val="single" w:sz="18" w:space="0" w:color="C0504D" w:themeColor="accent2"/>
              <w:right w:val="single" w:sz="8" w:space="0" w:color="0070C0"/>
            </w:tcBorders>
            <w:vAlign w:val="center"/>
          </w:tcPr>
          <w:p w14:paraId="2934C28A" w14:textId="239FD8CA" w:rsidR="008C5D46" w:rsidRPr="00CC1ECE" w:rsidRDefault="008C5D46"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Total</w:t>
            </w:r>
          </w:p>
        </w:tc>
        <w:tc>
          <w:tcPr>
            <w:tcW w:w="1230" w:type="dxa"/>
            <w:tcBorders>
              <w:top w:val="single" w:sz="12" w:space="0" w:color="000000"/>
              <w:left w:val="single" w:sz="8" w:space="0" w:color="0070C0"/>
              <w:bottom w:val="single" w:sz="18" w:space="0" w:color="C0504D" w:themeColor="accent2"/>
              <w:right w:val="single" w:sz="8" w:space="0" w:color="0070C0"/>
            </w:tcBorders>
            <w:vAlign w:val="center"/>
          </w:tcPr>
          <w:p w14:paraId="77BDD0EB" w14:textId="1C6680F2" w:rsidR="008C5D46" w:rsidRPr="00CC1ECE" w:rsidRDefault="008C5D46"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Income &lt;$40K</w:t>
            </w:r>
          </w:p>
        </w:tc>
        <w:tc>
          <w:tcPr>
            <w:tcW w:w="1230" w:type="dxa"/>
            <w:tcBorders>
              <w:top w:val="single" w:sz="12" w:space="0" w:color="000000"/>
              <w:left w:val="single" w:sz="8" w:space="0" w:color="0070C0"/>
              <w:bottom w:val="single" w:sz="18" w:space="0" w:color="C0504D" w:themeColor="accent2"/>
              <w:right w:val="single" w:sz="8" w:space="0" w:color="0070C0"/>
            </w:tcBorders>
            <w:vAlign w:val="center"/>
          </w:tcPr>
          <w:p w14:paraId="4804AE79" w14:textId="1A0F8EDB" w:rsidR="008C5D46" w:rsidRPr="00CC1ECE" w:rsidRDefault="008C5D46"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African American Adults</w:t>
            </w:r>
          </w:p>
        </w:tc>
        <w:tc>
          <w:tcPr>
            <w:tcW w:w="1230" w:type="dxa"/>
            <w:tcBorders>
              <w:top w:val="single" w:sz="12" w:space="0" w:color="000000"/>
              <w:left w:val="single" w:sz="8" w:space="0" w:color="0070C0"/>
              <w:bottom w:val="single" w:sz="18" w:space="0" w:color="C0504D" w:themeColor="accent2"/>
              <w:right w:val="single" w:sz="12" w:space="0" w:color="000000"/>
            </w:tcBorders>
            <w:vAlign w:val="center"/>
          </w:tcPr>
          <w:p w14:paraId="76A62F65" w14:textId="569CC2F8" w:rsidR="008C5D46" w:rsidRPr="00CC1ECE" w:rsidRDefault="008C5D46" w:rsidP="00C862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Latinx American Adults</w:t>
            </w:r>
          </w:p>
        </w:tc>
      </w:tr>
      <w:tr w:rsidR="008C5D46" w:rsidRPr="00CC1ECE" w14:paraId="350CFC80" w14:textId="77777777" w:rsidTr="002014E0">
        <w:trPr>
          <w:trHeight w:val="243"/>
          <w:jc w:val="center"/>
        </w:trPr>
        <w:tc>
          <w:tcPr>
            <w:tcW w:w="426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0B7C05B3" w14:textId="3C119829" w:rsidR="008C5D46" w:rsidRPr="00CC1ECE" w:rsidRDefault="008C5D46"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Dental services</w:t>
            </w:r>
          </w:p>
        </w:tc>
        <w:tc>
          <w:tcPr>
            <w:tcW w:w="1230" w:type="dxa"/>
            <w:tcBorders>
              <w:top w:val="single" w:sz="18" w:space="0" w:color="C0504D" w:themeColor="accent2"/>
              <w:left w:val="single" w:sz="18" w:space="0" w:color="0070C0"/>
              <w:bottom w:val="single" w:sz="4" w:space="0" w:color="auto"/>
              <w:right w:val="single" w:sz="8" w:space="0" w:color="0070C0"/>
            </w:tcBorders>
            <w:shd w:val="clear" w:color="auto" w:fill="D99594" w:themeFill="accent2" w:themeFillTint="99"/>
            <w:vAlign w:val="center"/>
          </w:tcPr>
          <w:p w14:paraId="2FF34DD7" w14:textId="09638B88" w:rsidR="008C5D46" w:rsidRPr="00CC1ECE"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w:t>
            </w:r>
          </w:p>
        </w:tc>
        <w:tc>
          <w:tcPr>
            <w:tcW w:w="1230"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60422243" w14:textId="51AB4B80" w:rsidR="008C5D46" w:rsidRPr="00CC1ECE"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50%</w:t>
            </w:r>
          </w:p>
        </w:tc>
        <w:tc>
          <w:tcPr>
            <w:tcW w:w="1230"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64294EF6" w14:textId="6FBE90F7" w:rsidR="008C5D46" w:rsidRPr="00CC1ECE"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50%</w:t>
            </w:r>
          </w:p>
        </w:tc>
        <w:tc>
          <w:tcPr>
            <w:tcW w:w="1230" w:type="dxa"/>
            <w:tcBorders>
              <w:top w:val="single" w:sz="18" w:space="0" w:color="C0504D" w:themeColor="accent2"/>
              <w:left w:val="single" w:sz="8" w:space="0" w:color="0070C0"/>
              <w:bottom w:val="single" w:sz="4" w:space="0" w:color="000000"/>
              <w:right w:val="single" w:sz="12" w:space="0" w:color="000000"/>
            </w:tcBorders>
            <w:shd w:val="clear" w:color="auto" w:fill="FF0000"/>
            <w:vAlign w:val="center"/>
          </w:tcPr>
          <w:p w14:paraId="1FC71F6B" w14:textId="23E39E34" w:rsidR="008C5D46" w:rsidRPr="00CC1ECE"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w:t>
            </w:r>
          </w:p>
        </w:tc>
      </w:tr>
      <w:tr w:rsidR="008C5D46" w:rsidRPr="00CC1ECE" w14:paraId="06928C1D" w14:textId="77777777" w:rsidTr="002014E0">
        <w:trPr>
          <w:trHeight w:val="243"/>
          <w:jc w:val="center"/>
        </w:trPr>
        <w:tc>
          <w:tcPr>
            <w:tcW w:w="426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E3F8FEB" w14:textId="41F5BF34" w:rsidR="008C5D46" w:rsidRDefault="008C5D46"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Vision services, including glasses</w:t>
            </w:r>
          </w:p>
        </w:tc>
        <w:tc>
          <w:tcPr>
            <w:tcW w:w="1230"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778106E8" w14:textId="23F93DB3"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w:t>
            </w:r>
          </w:p>
        </w:tc>
        <w:tc>
          <w:tcPr>
            <w:tcW w:w="1230"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1E6D9D7D" w14:textId="2FE306EA"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w:t>
            </w:r>
          </w:p>
        </w:tc>
        <w:tc>
          <w:tcPr>
            <w:tcW w:w="1230"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6E3F87B1" w14:textId="24D872DE"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w:t>
            </w:r>
          </w:p>
        </w:tc>
        <w:tc>
          <w:tcPr>
            <w:tcW w:w="1230" w:type="dxa"/>
            <w:tcBorders>
              <w:top w:val="single" w:sz="4" w:space="0" w:color="000000"/>
              <w:left w:val="single" w:sz="8" w:space="0" w:color="0070C0"/>
              <w:bottom w:val="single" w:sz="4" w:space="0" w:color="000000"/>
              <w:right w:val="single" w:sz="12" w:space="0" w:color="000000"/>
            </w:tcBorders>
            <w:shd w:val="clear" w:color="auto" w:fill="D99594" w:themeFill="accent2" w:themeFillTint="99"/>
            <w:vAlign w:val="center"/>
          </w:tcPr>
          <w:p w14:paraId="164595DA" w14:textId="01E0241A"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p>
        </w:tc>
      </w:tr>
      <w:tr w:rsidR="008C5D46" w:rsidRPr="00CC1ECE" w14:paraId="31665D95" w14:textId="77777777" w:rsidTr="002014E0">
        <w:trPr>
          <w:trHeight w:val="243"/>
          <w:jc w:val="center"/>
        </w:trPr>
        <w:tc>
          <w:tcPr>
            <w:tcW w:w="426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54E5C2B" w14:textId="3DB678E2" w:rsidR="008C5D46" w:rsidRDefault="008C5D46"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 physician office visit</w:t>
            </w:r>
          </w:p>
        </w:tc>
        <w:tc>
          <w:tcPr>
            <w:tcW w:w="1230"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5A32C180" w14:textId="6C8B142A"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w:t>
            </w:r>
          </w:p>
        </w:tc>
        <w:tc>
          <w:tcPr>
            <w:tcW w:w="1230"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010103BF" w14:textId="0F53CFC7"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w:t>
            </w:r>
          </w:p>
        </w:tc>
        <w:tc>
          <w:tcPr>
            <w:tcW w:w="123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1EF965F8" w14:textId="752ADCB0"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c>
          <w:tcPr>
            <w:tcW w:w="1230" w:type="dxa"/>
            <w:tcBorders>
              <w:top w:val="single" w:sz="4" w:space="0" w:color="000000"/>
              <w:left w:val="single" w:sz="8" w:space="0" w:color="0070C0"/>
              <w:bottom w:val="single" w:sz="4" w:space="0" w:color="000000"/>
              <w:right w:val="single" w:sz="12" w:space="0" w:color="000000"/>
            </w:tcBorders>
            <w:shd w:val="clear" w:color="auto" w:fill="D99594" w:themeFill="accent2" w:themeFillTint="99"/>
            <w:vAlign w:val="center"/>
          </w:tcPr>
          <w:p w14:paraId="60C99BAE" w14:textId="1EDB9CCB"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36%</w:t>
            </w:r>
          </w:p>
        </w:tc>
      </w:tr>
      <w:tr w:rsidR="008C5D46" w:rsidRPr="00CC1ECE" w14:paraId="3612A55D" w14:textId="77777777" w:rsidTr="002014E0">
        <w:trPr>
          <w:trHeight w:val="243"/>
          <w:jc w:val="center"/>
        </w:trPr>
        <w:tc>
          <w:tcPr>
            <w:tcW w:w="426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CD75D57" w14:textId="20B55EBA" w:rsidR="008C5D46" w:rsidRDefault="008C5D46"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Mental health care</w:t>
            </w:r>
          </w:p>
        </w:tc>
        <w:tc>
          <w:tcPr>
            <w:tcW w:w="1230"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7D24B4C2" w14:textId="0EB3E1C0"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w:t>
            </w:r>
          </w:p>
        </w:tc>
        <w:tc>
          <w:tcPr>
            <w:tcW w:w="123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5E860652" w14:textId="27F26590"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w:t>
            </w:r>
          </w:p>
        </w:tc>
        <w:tc>
          <w:tcPr>
            <w:tcW w:w="123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56AD5034" w14:textId="2E116026"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c>
          <w:tcPr>
            <w:tcW w:w="1230"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51EAC19E" w14:textId="76D76AB8"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w:t>
            </w:r>
          </w:p>
        </w:tc>
      </w:tr>
      <w:tr w:rsidR="008C5D46" w:rsidRPr="00CC1ECE" w14:paraId="5FBAC672" w14:textId="77777777" w:rsidTr="002014E0">
        <w:trPr>
          <w:trHeight w:val="243"/>
          <w:jc w:val="center"/>
        </w:trPr>
        <w:tc>
          <w:tcPr>
            <w:tcW w:w="426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3919B41" w14:textId="1C92CD0E" w:rsidR="008C5D46" w:rsidRDefault="008C5D46"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Hospital services</w:t>
            </w:r>
          </w:p>
        </w:tc>
        <w:tc>
          <w:tcPr>
            <w:tcW w:w="1230"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13FDFDC2" w14:textId="382C9C9E"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w:t>
            </w:r>
          </w:p>
        </w:tc>
        <w:tc>
          <w:tcPr>
            <w:tcW w:w="123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2768C5F3" w14:textId="3384CC16"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w:t>
            </w:r>
          </w:p>
        </w:tc>
        <w:tc>
          <w:tcPr>
            <w:tcW w:w="123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797ECAEC" w14:textId="4F6581A0"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w:t>
            </w:r>
          </w:p>
        </w:tc>
        <w:tc>
          <w:tcPr>
            <w:tcW w:w="1230"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103BC329" w14:textId="61D49655"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w:t>
            </w:r>
          </w:p>
        </w:tc>
      </w:tr>
      <w:tr w:rsidR="008C5D46" w:rsidRPr="00CC1ECE" w14:paraId="2784DBD4" w14:textId="77777777" w:rsidTr="002014E0">
        <w:trPr>
          <w:trHeight w:val="243"/>
          <w:jc w:val="center"/>
        </w:trPr>
        <w:tc>
          <w:tcPr>
            <w:tcW w:w="426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F15E5B0" w14:textId="7522877E" w:rsidR="008C5D46" w:rsidRDefault="008C5D46"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Hearing services, including hearing aids</w:t>
            </w:r>
          </w:p>
        </w:tc>
        <w:tc>
          <w:tcPr>
            <w:tcW w:w="1230"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461970C5" w14:textId="204EAF26"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c>
          <w:tcPr>
            <w:tcW w:w="1230"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27186560" w14:textId="61F5D066"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w:t>
            </w:r>
          </w:p>
        </w:tc>
        <w:tc>
          <w:tcPr>
            <w:tcW w:w="1230"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6DF5D9B5" w14:textId="36A4C59F"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c>
          <w:tcPr>
            <w:tcW w:w="1230"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0BADD9B0" w14:textId="70CC2D6D" w:rsidR="008C5D46"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r>
      <w:tr w:rsidR="008C5D46" w:rsidRPr="00CC1ECE" w14:paraId="08467919" w14:textId="77777777" w:rsidTr="002014E0">
        <w:trPr>
          <w:trHeight w:val="54"/>
          <w:jc w:val="center"/>
        </w:trPr>
        <w:tc>
          <w:tcPr>
            <w:tcW w:w="426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2EF211E8" w14:textId="78105BE7" w:rsidR="008C5D46" w:rsidRPr="00CC1ECE" w:rsidRDefault="008C5D46"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Any of the above</w:t>
            </w:r>
          </w:p>
        </w:tc>
        <w:tc>
          <w:tcPr>
            <w:tcW w:w="1230" w:type="dxa"/>
            <w:tcBorders>
              <w:top w:val="single" w:sz="4" w:space="0" w:color="000000"/>
              <w:left w:val="single" w:sz="18" w:space="0" w:color="0070C0"/>
              <w:bottom w:val="single" w:sz="12" w:space="0" w:color="000000"/>
              <w:right w:val="single" w:sz="8" w:space="0" w:color="0070C0"/>
            </w:tcBorders>
            <w:shd w:val="clear" w:color="auto" w:fill="FF0000"/>
            <w:vAlign w:val="center"/>
          </w:tcPr>
          <w:p w14:paraId="17A5CC79" w14:textId="7CD7892F" w:rsidR="008C5D46" w:rsidRPr="00CC1ECE"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c>
          <w:tcPr>
            <w:tcW w:w="1230" w:type="dxa"/>
            <w:tcBorders>
              <w:top w:val="single" w:sz="4" w:space="0" w:color="000000"/>
              <w:left w:val="single" w:sz="8" w:space="0" w:color="0070C0"/>
              <w:bottom w:val="single" w:sz="12" w:space="0" w:color="000000"/>
              <w:right w:val="single" w:sz="8" w:space="0" w:color="0070C0"/>
            </w:tcBorders>
            <w:shd w:val="clear" w:color="auto" w:fill="C00000"/>
            <w:vAlign w:val="center"/>
          </w:tcPr>
          <w:p w14:paraId="360B5D3F" w14:textId="11AAA7B9" w:rsidR="008C5D46" w:rsidRPr="00CC1ECE"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63%</w:t>
            </w:r>
          </w:p>
        </w:tc>
        <w:tc>
          <w:tcPr>
            <w:tcW w:w="1230" w:type="dxa"/>
            <w:tcBorders>
              <w:top w:val="single" w:sz="4" w:space="0" w:color="000000"/>
              <w:left w:val="single" w:sz="8" w:space="0" w:color="0070C0"/>
              <w:bottom w:val="single" w:sz="12" w:space="0" w:color="000000"/>
              <w:right w:val="single" w:sz="8" w:space="0" w:color="0070C0"/>
            </w:tcBorders>
            <w:shd w:val="clear" w:color="auto" w:fill="C00000"/>
            <w:vAlign w:val="center"/>
          </w:tcPr>
          <w:p w14:paraId="6D050EDA" w14:textId="209023DD" w:rsidR="008C5D46" w:rsidRPr="00CC1ECE"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58%</w:t>
            </w:r>
          </w:p>
        </w:tc>
        <w:tc>
          <w:tcPr>
            <w:tcW w:w="1230" w:type="dxa"/>
            <w:tcBorders>
              <w:top w:val="single" w:sz="4" w:space="0" w:color="000000"/>
              <w:left w:val="single" w:sz="8" w:space="0" w:color="0070C0"/>
              <w:bottom w:val="single" w:sz="12" w:space="0" w:color="000000"/>
              <w:right w:val="single" w:sz="12" w:space="0" w:color="000000"/>
            </w:tcBorders>
            <w:shd w:val="clear" w:color="auto" w:fill="C00000"/>
            <w:vAlign w:val="center"/>
          </w:tcPr>
          <w:p w14:paraId="7617C0A5" w14:textId="7A55CD9D" w:rsidR="008C5D46" w:rsidRPr="00CC1ECE" w:rsidRDefault="008C5D46"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58%</w:t>
            </w:r>
          </w:p>
        </w:tc>
      </w:tr>
    </w:tbl>
    <w:p w14:paraId="12A07100" w14:textId="49501E59" w:rsidR="00CF3E3C" w:rsidRDefault="008C5D46" w:rsidP="008C5D46">
      <w:pPr>
        <w:tabs>
          <w:tab w:val="left" w:pos="90"/>
        </w:tabs>
        <w:spacing w:after="0" w:line="240" w:lineRule="auto"/>
        <w:contextualSpacing/>
        <w:mirrorIndents/>
        <w:rPr>
          <w:rFonts w:ascii="Verdana" w:hAnsi="Verdana"/>
          <w:sz w:val="20"/>
          <w:szCs w:val="20"/>
        </w:rPr>
      </w:pPr>
      <w:r>
        <w:rPr>
          <w:sz w:val="16"/>
          <w:szCs w:val="16"/>
        </w:rPr>
        <w:tab/>
        <w:t>Kaiser Family Foundation</w:t>
      </w:r>
      <w:r w:rsidR="00CF3E3C" w:rsidRPr="004A0F51">
        <w:rPr>
          <w:rFonts w:ascii="Verdana" w:hAnsi="Verdana"/>
          <w:sz w:val="16"/>
          <w:szCs w:val="16"/>
        </w:rPr>
        <w:t>, December 20</w:t>
      </w:r>
      <w:r w:rsidR="00CF3E3C">
        <w:rPr>
          <w:rFonts w:ascii="Verdana" w:hAnsi="Verdana"/>
          <w:sz w:val="16"/>
          <w:szCs w:val="16"/>
        </w:rPr>
        <w:t>21</w:t>
      </w:r>
    </w:p>
    <w:p w14:paraId="109E4494" w14:textId="22B992C5" w:rsidR="00CF3E3C" w:rsidRDefault="00CF3E3C" w:rsidP="00331B4F">
      <w:pPr>
        <w:spacing w:after="0" w:line="240" w:lineRule="auto"/>
        <w:contextualSpacing/>
        <w:mirrorIndents/>
        <w:rPr>
          <w:rFonts w:ascii="Verdana" w:hAnsi="Verdana"/>
          <w:sz w:val="20"/>
          <w:szCs w:val="20"/>
        </w:rPr>
      </w:pPr>
    </w:p>
    <w:p w14:paraId="44406177" w14:textId="33AE7740" w:rsidR="00CF3E3C" w:rsidRPr="002E4D76" w:rsidRDefault="002E4D76" w:rsidP="002E4D76">
      <w:pPr>
        <w:spacing w:after="0" w:line="240" w:lineRule="auto"/>
        <w:contextualSpacing/>
        <w:mirrorIndents/>
        <w:jc w:val="center"/>
        <w:rPr>
          <w:rFonts w:ascii="Verdana" w:hAnsi="Verdana"/>
          <w:b/>
          <w:bCs/>
          <w:color w:val="0070C0"/>
          <w:sz w:val="20"/>
          <w:szCs w:val="20"/>
        </w:rPr>
      </w:pPr>
      <w:r w:rsidRPr="002E4D76">
        <w:rPr>
          <w:rFonts w:ascii="Verdana" w:hAnsi="Verdana"/>
          <w:b/>
          <w:bCs/>
          <w:color w:val="0070C0"/>
          <w:sz w:val="20"/>
          <w:szCs w:val="20"/>
        </w:rPr>
        <w:t>The Challenge of Prescription Drugs Costs</w:t>
      </w:r>
    </w:p>
    <w:p w14:paraId="7DA93F1E" w14:textId="47219024" w:rsidR="00CF3E3C" w:rsidRDefault="00CF3E3C" w:rsidP="00331B4F">
      <w:pPr>
        <w:spacing w:after="0" w:line="240" w:lineRule="auto"/>
        <w:contextualSpacing/>
        <w:mirrorIndents/>
        <w:rPr>
          <w:rFonts w:ascii="Verdana" w:hAnsi="Verdana"/>
          <w:sz w:val="20"/>
          <w:szCs w:val="20"/>
        </w:rPr>
      </w:pPr>
    </w:p>
    <w:p w14:paraId="6DA39043" w14:textId="1705D542" w:rsidR="002E4D76" w:rsidRDefault="002E4D76" w:rsidP="00331B4F">
      <w:pPr>
        <w:spacing w:after="0" w:line="240" w:lineRule="auto"/>
        <w:contextualSpacing/>
        <w:mirrorIndents/>
        <w:rPr>
          <w:rFonts w:ascii="Verdana" w:hAnsi="Verdana"/>
          <w:sz w:val="20"/>
          <w:szCs w:val="20"/>
        </w:rPr>
      </w:pPr>
      <w:r>
        <w:rPr>
          <w:rFonts w:ascii="Verdana" w:hAnsi="Verdana"/>
          <w:sz w:val="20"/>
          <w:szCs w:val="20"/>
        </w:rPr>
        <w:t>Despite efforts in Washington, DC to overhaul the prescription drug industry, almost all Americans (94%), regardless of political leanings, agree prescription drugs cost too much and 84%</w:t>
      </w:r>
      <w:r w:rsidR="00752F90">
        <w:rPr>
          <w:rFonts w:ascii="Verdana" w:hAnsi="Verdana"/>
          <w:sz w:val="20"/>
          <w:szCs w:val="20"/>
        </w:rPr>
        <w:t xml:space="preserve"> anticipate higher costs through Q3 2022.</w:t>
      </w:r>
    </w:p>
    <w:p w14:paraId="3857C7BF" w14:textId="41803192" w:rsidR="00752F90" w:rsidRDefault="00752F90" w:rsidP="00331B4F">
      <w:pPr>
        <w:spacing w:after="0" w:line="240" w:lineRule="auto"/>
        <w:contextualSpacing/>
        <w:mirrorIndents/>
        <w:rPr>
          <w:rFonts w:ascii="Verdana" w:hAnsi="Verdana"/>
          <w:sz w:val="20"/>
          <w:szCs w:val="20"/>
        </w:rPr>
      </w:pPr>
    </w:p>
    <w:p w14:paraId="6DFA8601" w14:textId="79DA97A6" w:rsidR="00752F90" w:rsidRDefault="00752F90" w:rsidP="00331B4F">
      <w:pPr>
        <w:spacing w:after="0" w:line="240" w:lineRule="auto"/>
        <w:contextualSpacing/>
        <w:mirrorIndents/>
        <w:rPr>
          <w:rFonts w:ascii="Verdana" w:eastAsia="Times New Roman" w:hAnsi="Verdana"/>
          <w:sz w:val="20"/>
          <w:szCs w:val="20"/>
        </w:rPr>
      </w:pPr>
      <w:r>
        <w:rPr>
          <w:rFonts w:ascii="Verdana" w:hAnsi="Verdana"/>
          <w:sz w:val="20"/>
          <w:szCs w:val="20"/>
        </w:rPr>
        <w:t xml:space="preserve">The Kaiser Family Foundation survey cited above indicated 25% of respondents said they </w:t>
      </w:r>
      <w:r w:rsidR="006F540A">
        <w:rPr>
          <w:rFonts w:ascii="Verdana" w:hAnsi="Verdana"/>
          <w:sz w:val="20"/>
          <w:szCs w:val="20"/>
        </w:rPr>
        <w:t xml:space="preserve">had </w:t>
      </w:r>
      <w:r>
        <w:rPr>
          <w:rFonts w:ascii="Verdana" w:hAnsi="Verdana"/>
          <w:sz w:val="20"/>
          <w:szCs w:val="20"/>
        </w:rPr>
        <w:t>difficulty affording their prescriptions, with those 18</w:t>
      </w:r>
      <w:r>
        <w:rPr>
          <w:rFonts w:ascii="Verdana" w:eastAsia="Times New Roman" w:hAnsi="Verdana"/>
          <w:sz w:val="20"/>
          <w:szCs w:val="20"/>
        </w:rPr>
        <w:t>–49 at 31% compared to 20% for those 65 and older.</w:t>
      </w:r>
    </w:p>
    <w:p w14:paraId="5FA79B56" w14:textId="3BFF21BC" w:rsidR="00752F90" w:rsidRDefault="00752F90" w:rsidP="00331B4F">
      <w:pPr>
        <w:spacing w:after="0" w:line="240" w:lineRule="auto"/>
        <w:contextualSpacing/>
        <w:mirrorIndents/>
        <w:rPr>
          <w:rFonts w:ascii="Verdana" w:eastAsia="Times New Roman" w:hAnsi="Verdana"/>
          <w:sz w:val="20"/>
          <w:szCs w:val="20"/>
        </w:rPr>
      </w:pPr>
    </w:p>
    <w:p w14:paraId="45BE0DED" w14:textId="65679C7A" w:rsidR="00752F90" w:rsidRDefault="00752F90" w:rsidP="00331B4F">
      <w:pPr>
        <w:spacing w:after="0" w:line="240" w:lineRule="auto"/>
        <w:contextualSpacing/>
        <w:mirrorIndents/>
        <w:rPr>
          <w:rFonts w:ascii="Verdana" w:hAnsi="Verdana"/>
          <w:sz w:val="20"/>
          <w:szCs w:val="20"/>
        </w:rPr>
      </w:pPr>
      <w:r>
        <w:rPr>
          <w:rFonts w:ascii="Verdana" w:eastAsia="Times New Roman" w:hAnsi="Verdana"/>
          <w:sz w:val="20"/>
          <w:szCs w:val="20"/>
        </w:rPr>
        <w:t>Particularly troubling is the 29% who said they “did not take a prescription medicine as directed because of cost,</w:t>
      </w:r>
      <w:r w:rsidR="006F540A">
        <w:rPr>
          <w:rFonts w:ascii="Verdana" w:eastAsia="Times New Roman" w:hAnsi="Verdana"/>
          <w:sz w:val="20"/>
          <w:szCs w:val="20"/>
        </w:rPr>
        <w:t>”</w:t>
      </w:r>
      <w:r>
        <w:rPr>
          <w:rFonts w:ascii="Verdana" w:eastAsia="Times New Roman" w:hAnsi="Verdana"/>
          <w:sz w:val="20"/>
          <w:szCs w:val="20"/>
        </w:rPr>
        <w:t xml:space="preserve"> 22% t</w:t>
      </w:r>
      <w:r w:rsidR="0040165C">
        <w:rPr>
          <w:rFonts w:ascii="Verdana" w:eastAsia="Times New Roman" w:hAnsi="Verdana"/>
          <w:sz w:val="20"/>
          <w:szCs w:val="20"/>
        </w:rPr>
        <w:t>ook</w:t>
      </w:r>
      <w:r>
        <w:rPr>
          <w:rFonts w:ascii="Verdana" w:eastAsia="Times New Roman" w:hAnsi="Verdana"/>
          <w:sz w:val="20"/>
          <w:szCs w:val="20"/>
        </w:rPr>
        <w:t xml:space="preserve"> an OTA drug instead of filling a prescription, 16% </w:t>
      </w:r>
      <w:r w:rsidR="0040165C">
        <w:rPr>
          <w:rFonts w:ascii="Verdana" w:eastAsia="Times New Roman" w:hAnsi="Verdana"/>
          <w:sz w:val="20"/>
          <w:szCs w:val="20"/>
        </w:rPr>
        <w:t>did</w:t>
      </w:r>
      <w:r>
        <w:rPr>
          <w:rFonts w:ascii="Verdana" w:eastAsia="Times New Roman" w:hAnsi="Verdana"/>
          <w:sz w:val="20"/>
          <w:szCs w:val="20"/>
        </w:rPr>
        <w:t xml:space="preserve"> not fill a prescription and 13% cut pills in half o</w:t>
      </w:r>
      <w:r w:rsidR="006F540A">
        <w:rPr>
          <w:rFonts w:ascii="Verdana" w:eastAsia="Times New Roman" w:hAnsi="Verdana"/>
          <w:sz w:val="20"/>
          <w:szCs w:val="20"/>
        </w:rPr>
        <w:t>r</w:t>
      </w:r>
      <w:r>
        <w:rPr>
          <w:rFonts w:ascii="Verdana" w:eastAsia="Times New Roman" w:hAnsi="Verdana"/>
          <w:sz w:val="20"/>
          <w:szCs w:val="20"/>
        </w:rPr>
        <w:t xml:space="preserve"> skipp</w:t>
      </w:r>
      <w:r w:rsidR="0040165C">
        <w:rPr>
          <w:rFonts w:ascii="Verdana" w:eastAsia="Times New Roman" w:hAnsi="Verdana"/>
          <w:sz w:val="20"/>
          <w:szCs w:val="20"/>
        </w:rPr>
        <w:t>ed a</w:t>
      </w:r>
      <w:r>
        <w:rPr>
          <w:rFonts w:ascii="Verdana" w:eastAsia="Times New Roman" w:hAnsi="Verdana"/>
          <w:sz w:val="20"/>
          <w:szCs w:val="20"/>
        </w:rPr>
        <w:t xml:space="preserve"> scheduled dose.</w:t>
      </w:r>
    </w:p>
    <w:p w14:paraId="25BCE770" w14:textId="7EB7A542" w:rsidR="00CF3E3C" w:rsidRDefault="00CF3E3C" w:rsidP="00331B4F">
      <w:pPr>
        <w:spacing w:after="0" w:line="240" w:lineRule="auto"/>
        <w:contextualSpacing/>
        <w:mirrorIndents/>
        <w:rPr>
          <w:rFonts w:ascii="Verdana" w:hAnsi="Verdana"/>
          <w:sz w:val="20"/>
          <w:szCs w:val="20"/>
        </w:rPr>
      </w:pPr>
    </w:p>
    <w:p w14:paraId="1776B6E5" w14:textId="77777777" w:rsidR="00330B43" w:rsidRDefault="00330B43" w:rsidP="00330B43">
      <w:pPr>
        <w:pStyle w:val="Header"/>
        <w:contextualSpacing/>
        <w:jc w:val="center"/>
        <w:rPr>
          <w:rFonts w:ascii="Verdana" w:hAnsi="Verdana"/>
          <w:b/>
          <w:sz w:val="20"/>
          <w:szCs w:val="20"/>
        </w:rPr>
      </w:pPr>
      <w:r>
        <w:rPr>
          <w:rFonts w:ascii="Verdana" w:hAnsi="Verdana"/>
          <w:b/>
          <w:sz w:val="20"/>
          <w:szCs w:val="20"/>
        </w:rPr>
        <w:t xml:space="preserve">Americans’ Top Five Delayed Purchases To Afford To Pay </w:t>
      </w:r>
    </w:p>
    <w:p w14:paraId="2C5C5A80" w14:textId="40531EA0" w:rsidR="00330B43" w:rsidRPr="00E7004E" w:rsidRDefault="00330B43" w:rsidP="00330B43">
      <w:pPr>
        <w:pStyle w:val="Header"/>
        <w:contextualSpacing/>
        <w:jc w:val="center"/>
        <w:rPr>
          <w:rFonts w:ascii="Verdana" w:hAnsi="Verdana"/>
          <w:b/>
          <w:sz w:val="20"/>
          <w:szCs w:val="20"/>
        </w:rPr>
      </w:pPr>
      <w:r>
        <w:rPr>
          <w:rFonts w:ascii="Verdana" w:hAnsi="Verdana"/>
          <w:b/>
          <w:sz w:val="20"/>
          <w:szCs w:val="20"/>
        </w:rPr>
        <w:t>Their Medical Bills</w:t>
      </w:r>
      <w:r w:rsidRPr="00E7004E">
        <w:rPr>
          <w:rFonts w:ascii="Verdana" w:hAnsi="Verdana"/>
          <w:b/>
          <w:sz w:val="20"/>
          <w:szCs w:val="20"/>
        </w:rPr>
        <w:t xml:space="preserve">, </w:t>
      </w:r>
      <w:r>
        <w:rPr>
          <w:rFonts w:ascii="Verdana" w:hAnsi="Verdana"/>
          <w:b/>
          <w:sz w:val="20"/>
          <w:szCs w:val="20"/>
        </w:rPr>
        <w:t xml:space="preserve">September/October 2021ugust </w:t>
      </w:r>
      <w:r w:rsidRPr="00E7004E">
        <w:rPr>
          <w:rFonts w:ascii="Verdana" w:hAnsi="Verdana"/>
          <w:b/>
          <w:sz w:val="20"/>
          <w:szCs w:val="20"/>
        </w:rPr>
        <w:t>20</w:t>
      </w:r>
      <w:r>
        <w:rPr>
          <w:rFonts w:ascii="Verdana" w:hAnsi="Verdana"/>
          <w:b/>
          <w:sz w:val="20"/>
          <w:szCs w:val="20"/>
        </w:rPr>
        <w:t>21</w:t>
      </w:r>
    </w:p>
    <w:tbl>
      <w:tblPr>
        <w:tblW w:w="11489" w:type="dxa"/>
        <w:jc w:val="center"/>
        <w:tblBorders>
          <w:left w:val="single" w:sz="8" w:space="0" w:color="000000"/>
          <w:right w:val="single" w:sz="8" w:space="0" w:color="000000"/>
        </w:tblBorders>
        <w:tblLayout w:type="fixed"/>
        <w:tblLook w:val="0000" w:firstRow="0" w:lastRow="0" w:firstColumn="0" w:lastColumn="0" w:noHBand="0" w:noVBand="0"/>
      </w:tblPr>
      <w:tblGrid>
        <w:gridCol w:w="4347"/>
        <w:gridCol w:w="1267"/>
        <w:gridCol w:w="4608"/>
        <w:gridCol w:w="1267"/>
      </w:tblGrid>
      <w:tr w:rsidR="00330B43" w:rsidRPr="00E7004E" w14:paraId="65DBB4BD" w14:textId="77777777" w:rsidTr="00330B43">
        <w:trPr>
          <w:jc w:val="center"/>
        </w:trPr>
        <w:tc>
          <w:tcPr>
            <w:tcW w:w="4347" w:type="dxa"/>
            <w:tcBorders>
              <w:top w:val="single" w:sz="12" w:space="0" w:color="000000"/>
              <w:left w:val="single" w:sz="12" w:space="0" w:color="000000"/>
              <w:bottom w:val="single" w:sz="18" w:space="0" w:color="C0504D" w:themeColor="accent2"/>
              <w:right w:val="single" w:sz="8" w:space="0" w:color="0070C0"/>
            </w:tcBorders>
            <w:vAlign w:val="center"/>
          </w:tcPr>
          <w:p w14:paraId="6E08A163" w14:textId="5004DA8B" w:rsidR="00330B43" w:rsidRPr="00E7004E" w:rsidRDefault="00330B43"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Delayed Purchase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C243857" w14:textId="77777777" w:rsidR="00330B43" w:rsidRPr="00E7004E" w:rsidRDefault="00330B43"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608" w:type="dxa"/>
            <w:tcBorders>
              <w:top w:val="single" w:sz="12" w:space="0" w:color="000000"/>
              <w:left w:val="single" w:sz="18" w:space="0" w:color="0070C0"/>
              <w:bottom w:val="single" w:sz="18" w:space="0" w:color="C0504D" w:themeColor="accent2"/>
              <w:right w:val="single" w:sz="8" w:space="0" w:color="0070C0"/>
            </w:tcBorders>
            <w:vAlign w:val="center"/>
          </w:tcPr>
          <w:p w14:paraId="749258AA" w14:textId="13696624" w:rsidR="00330B43" w:rsidRPr="00E7004E" w:rsidRDefault="00330B43"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Delayed Purchase</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2D6063A6" w14:textId="77777777" w:rsidR="00330B43" w:rsidRPr="00E7004E" w:rsidRDefault="00330B43"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330B43" w:rsidRPr="00E7004E" w14:paraId="5F28ABC4" w14:textId="77777777" w:rsidTr="00330B43">
        <w:trPr>
          <w:trHeight w:val="243"/>
          <w:jc w:val="center"/>
        </w:trPr>
        <w:tc>
          <w:tcPr>
            <w:tcW w:w="4347" w:type="dxa"/>
            <w:tcBorders>
              <w:top w:val="single" w:sz="18" w:space="0" w:color="C0504D" w:themeColor="accent2"/>
              <w:left w:val="single" w:sz="12" w:space="0" w:color="000000"/>
              <w:bottom w:val="single" w:sz="4" w:space="0" w:color="auto"/>
              <w:right w:val="single" w:sz="8" w:space="0" w:color="0070C0"/>
            </w:tcBorders>
            <w:vAlign w:val="center"/>
          </w:tcPr>
          <w:p w14:paraId="38B1A3E8" w14:textId="598618FD" w:rsidR="00330B43" w:rsidRPr="00E7004E" w:rsidRDefault="00330B4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Vacation/Major household purchase</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D99594" w:themeFill="accent2" w:themeFillTint="99"/>
            <w:vAlign w:val="center"/>
          </w:tcPr>
          <w:p w14:paraId="11E9CEAE" w14:textId="7AC12CE0" w:rsidR="00330B43" w:rsidRPr="00E7004E" w:rsidRDefault="00330B4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w:t>
            </w:r>
          </w:p>
        </w:tc>
        <w:tc>
          <w:tcPr>
            <w:tcW w:w="4608"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51AAA30E" w14:textId="0B6C807D" w:rsidR="00330B43" w:rsidRPr="00E7004E" w:rsidRDefault="00330B4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Worked extra job/more hours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5B8B7" w:themeFill="accent2" w:themeFillTint="66"/>
            <w:vAlign w:val="center"/>
          </w:tcPr>
          <w:p w14:paraId="1A3E329F" w14:textId="3E52B1B6" w:rsidR="00330B43" w:rsidRPr="00E7004E" w:rsidRDefault="00330B4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w:t>
            </w:r>
          </w:p>
        </w:tc>
      </w:tr>
      <w:tr w:rsidR="00330B43" w:rsidRPr="00E7004E" w14:paraId="4F652FCF" w14:textId="77777777" w:rsidTr="00330B43">
        <w:trPr>
          <w:trHeight w:val="243"/>
          <w:jc w:val="center"/>
        </w:trPr>
        <w:tc>
          <w:tcPr>
            <w:tcW w:w="4347" w:type="dxa"/>
            <w:tcBorders>
              <w:top w:val="single" w:sz="4" w:space="0" w:color="auto"/>
              <w:left w:val="single" w:sz="12" w:space="0" w:color="000000"/>
              <w:bottom w:val="single" w:sz="4" w:space="0" w:color="000000"/>
              <w:right w:val="single" w:sz="8" w:space="0" w:color="0070C0"/>
            </w:tcBorders>
            <w:vAlign w:val="center"/>
          </w:tcPr>
          <w:p w14:paraId="3FA15BA3" w14:textId="39AB7BA6" w:rsidR="00330B43" w:rsidRPr="00E7004E" w:rsidRDefault="00330B4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Basic household items</w:t>
            </w:r>
          </w:p>
        </w:tc>
        <w:tc>
          <w:tcPr>
            <w:tcW w:w="1267"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2C45524F" w14:textId="79EF9BB5" w:rsidR="00330B43" w:rsidRPr="00E7004E" w:rsidRDefault="00330B4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c>
          <w:tcPr>
            <w:tcW w:w="460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A736F39" w14:textId="4415D280" w:rsidR="00330B43" w:rsidRPr="00E7004E" w:rsidRDefault="00330B4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Increased credit card debt</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397EC555" w14:textId="6DA1FE7D" w:rsidR="00330B43" w:rsidRPr="00E7004E" w:rsidRDefault="00330B4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w:t>
            </w:r>
          </w:p>
        </w:tc>
      </w:tr>
      <w:tr w:rsidR="00330B43" w:rsidRPr="00E7004E" w14:paraId="57A77E22" w14:textId="77777777" w:rsidTr="00330B43">
        <w:trPr>
          <w:trHeight w:val="243"/>
          <w:jc w:val="center"/>
        </w:trPr>
        <w:tc>
          <w:tcPr>
            <w:tcW w:w="4347"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77E8018C" w14:textId="20142B04" w:rsidR="00330B43" w:rsidRPr="00E7004E" w:rsidRDefault="00330B4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Used most or all savings</w:t>
            </w:r>
          </w:p>
        </w:tc>
        <w:tc>
          <w:tcPr>
            <w:tcW w:w="1267" w:type="dxa"/>
            <w:tcBorders>
              <w:top w:val="single" w:sz="4" w:space="0" w:color="000000"/>
              <w:left w:val="single" w:sz="8" w:space="0" w:color="0070C0"/>
              <w:bottom w:val="single" w:sz="12" w:space="0" w:color="000000"/>
              <w:right w:val="single" w:sz="18" w:space="0" w:color="0070C0"/>
            </w:tcBorders>
            <w:shd w:val="clear" w:color="auto" w:fill="E5B8B7" w:themeFill="accent2" w:themeFillTint="66"/>
            <w:vAlign w:val="center"/>
          </w:tcPr>
          <w:p w14:paraId="1A904089" w14:textId="46B39A3A" w:rsidR="00330B43" w:rsidRPr="00E7004E" w:rsidRDefault="00330B4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c>
          <w:tcPr>
            <w:tcW w:w="4608"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2B08982B" w14:textId="77777777" w:rsidR="00330B43" w:rsidRPr="00E7004E" w:rsidRDefault="00330B4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03C27FA5" w14:textId="77777777" w:rsidR="00330B43" w:rsidRPr="00E7004E" w:rsidRDefault="00330B4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664BD913" w14:textId="4F9ECA19" w:rsidR="00752F90" w:rsidRDefault="00330B43" w:rsidP="00331B4F">
      <w:pPr>
        <w:spacing w:after="0" w:line="240" w:lineRule="auto"/>
        <w:contextualSpacing/>
        <w:mirrorIndents/>
        <w:rPr>
          <w:rFonts w:ascii="Verdana" w:hAnsi="Verdana"/>
          <w:sz w:val="20"/>
          <w:szCs w:val="20"/>
        </w:rPr>
      </w:pPr>
      <w:r>
        <w:rPr>
          <w:rFonts w:ascii="Verdana" w:hAnsi="Verdana"/>
          <w:sz w:val="16"/>
          <w:szCs w:val="16"/>
        </w:rPr>
        <w:t>American Psychological Association/The Harris Poll</w:t>
      </w:r>
      <w:r w:rsidRPr="00E7004E">
        <w:rPr>
          <w:rFonts w:ascii="Verdana" w:hAnsi="Verdana"/>
          <w:sz w:val="16"/>
          <w:szCs w:val="16"/>
        </w:rPr>
        <w:t xml:space="preserve">, </w:t>
      </w:r>
      <w:r>
        <w:rPr>
          <w:rFonts w:ascii="Verdana" w:hAnsi="Verdana"/>
          <w:sz w:val="16"/>
          <w:szCs w:val="16"/>
        </w:rPr>
        <w:t>October 2021</w:t>
      </w:r>
    </w:p>
    <w:p w14:paraId="7DA1D020" w14:textId="77777777" w:rsidR="00331B4F" w:rsidRPr="00147175" w:rsidRDefault="00331B4F" w:rsidP="00147175">
      <w:pPr>
        <w:spacing w:after="0" w:line="240" w:lineRule="auto"/>
        <w:contextualSpacing/>
        <w:mirrorIndents/>
        <w:jc w:val="center"/>
        <w:rPr>
          <w:rFonts w:ascii="Verdana" w:hAnsi="Verdana"/>
          <w:b/>
          <w:bCs/>
          <w:color w:val="0070C0"/>
          <w:sz w:val="20"/>
          <w:szCs w:val="20"/>
        </w:rPr>
      </w:pPr>
      <w:r w:rsidRPr="00147175">
        <w:rPr>
          <w:rFonts w:ascii="Verdana" w:hAnsi="Verdana"/>
          <w:b/>
          <w:bCs/>
          <w:color w:val="0070C0"/>
          <w:sz w:val="20"/>
          <w:szCs w:val="20"/>
        </w:rPr>
        <w:lastRenderedPageBreak/>
        <w:t>Health Insurance Insights</w:t>
      </w:r>
    </w:p>
    <w:p w14:paraId="43BA63FF" w14:textId="5AB5D092" w:rsidR="00331B4F" w:rsidRDefault="00331B4F" w:rsidP="00331B4F">
      <w:pPr>
        <w:spacing w:after="0" w:line="240" w:lineRule="auto"/>
        <w:contextualSpacing/>
        <w:mirrorIndents/>
        <w:rPr>
          <w:rFonts w:ascii="Verdana" w:hAnsi="Verdana"/>
          <w:sz w:val="20"/>
          <w:szCs w:val="20"/>
        </w:rPr>
      </w:pPr>
    </w:p>
    <w:p w14:paraId="0C0F603C" w14:textId="13C65C91" w:rsidR="00967B01" w:rsidRDefault="00967B01" w:rsidP="00331B4F">
      <w:pPr>
        <w:spacing w:after="0" w:line="240" w:lineRule="auto"/>
        <w:contextualSpacing/>
        <w:mirrorIndents/>
        <w:rPr>
          <w:rFonts w:ascii="Verdana" w:hAnsi="Verdana"/>
          <w:sz w:val="20"/>
          <w:szCs w:val="20"/>
        </w:rPr>
      </w:pPr>
      <w:r>
        <w:rPr>
          <w:rFonts w:ascii="Verdana" w:hAnsi="Verdana"/>
          <w:sz w:val="20"/>
          <w:szCs w:val="20"/>
        </w:rPr>
        <w:t>The increase in healthcare payers’ spending during 2020 w</w:t>
      </w:r>
      <w:r w:rsidR="0040165C">
        <w:rPr>
          <w:rFonts w:ascii="Verdana" w:hAnsi="Verdana"/>
          <w:sz w:val="20"/>
          <w:szCs w:val="20"/>
        </w:rPr>
        <w:t>as</w:t>
      </w:r>
      <w:r>
        <w:rPr>
          <w:rFonts w:ascii="Verdana" w:hAnsi="Verdana"/>
          <w:sz w:val="20"/>
          <w:szCs w:val="20"/>
        </w:rPr>
        <w:t xml:space="preserve"> largely due to a 3.5% increase in Medicare spending and </w:t>
      </w:r>
      <w:r w:rsidR="0040165C">
        <w:rPr>
          <w:rFonts w:ascii="Verdana" w:hAnsi="Verdana"/>
          <w:sz w:val="20"/>
          <w:szCs w:val="20"/>
        </w:rPr>
        <w:t xml:space="preserve">a </w:t>
      </w:r>
      <w:r>
        <w:rPr>
          <w:rFonts w:ascii="Verdana" w:hAnsi="Verdana"/>
          <w:sz w:val="20"/>
          <w:szCs w:val="20"/>
        </w:rPr>
        <w:t>9.2% increase in Medicaid spending. Medicaid’s increase was more than three times 2019’s increase of 3.0%.</w:t>
      </w:r>
    </w:p>
    <w:p w14:paraId="47C97012" w14:textId="15DD31F7" w:rsidR="00967B01" w:rsidRDefault="00967B01" w:rsidP="00331B4F">
      <w:pPr>
        <w:spacing w:after="0" w:line="240" w:lineRule="auto"/>
        <w:contextualSpacing/>
        <w:mirrorIndents/>
        <w:rPr>
          <w:rFonts w:ascii="Verdana" w:hAnsi="Verdana"/>
          <w:sz w:val="20"/>
          <w:szCs w:val="20"/>
        </w:rPr>
      </w:pPr>
    </w:p>
    <w:p w14:paraId="61D298E2" w14:textId="26663066" w:rsidR="00967B01" w:rsidRPr="00331B4F" w:rsidRDefault="00967B01" w:rsidP="00331B4F">
      <w:pPr>
        <w:spacing w:after="0" w:line="240" w:lineRule="auto"/>
        <w:contextualSpacing/>
        <w:mirrorIndents/>
        <w:rPr>
          <w:rFonts w:ascii="Verdana" w:hAnsi="Verdana"/>
          <w:sz w:val="20"/>
          <w:szCs w:val="20"/>
        </w:rPr>
      </w:pPr>
      <w:r>
        <w:rPr>
          <w:rFonts w:ascii="Verdana" w:hAnsi="Verdana"/>
          <w:sz w:val="20"/>
          <w:szCs w:val="20"/>
        </w:rPr>
        <w:t xml:space="preserve">Because of delayed healthcare, closed businesses and employment disruptions, there were fewer employee enrollments </w:t>
      </w:r>
      <w:r w:rsidR="00A57BB7">
        <w:rPr>
          <w:rFonts w:ascii="Verdana" w:hAnsi="Verdana"/>
          <w:sz w:val="20"/>
          <w:szCs w:val="20"/>
        </w:rPr>
        <w:t>in</w:t>
      </w:r>
      <w:r>
        <w:rPr>
          <w:rFonts w:ascii="Verdana" w:hAnsi="Verdana"/>
          <w:sz w:val="20"/>
          <w:szCs w:val="20"/>
        </w:rPr>
        <w:t xml:space="preserve"> healthcare plans, which resulted in private health insurance spending decreasing 1.2% and out-of-pocket spending decreasing 3.7%.</w:t>
      </w:r>
    </w:p>
    <w:p w14:paraId="305D74EC" w14:textId="77777777" w:rsidR="00147175" w:rsidRDefault="00147175" w:rsidP="00331B4F">
      <w:pPr>
        <w:spacing w:after="0" w:line="240" w:lineRule="auto"/>
        <w:contextualSpacing/>
        <w:mirrorIndents/>
        <w:rPr>
          <w:rFonts w:ascii="Verdana" w:hAnsi="Verdana"/>
          <w:sz w:val="20"/>
          <w:szCs w:val="20"/>
        </w:rPr>
      </w:pPr>
    </w:p>
    <w:p w14:paraId="234B9C53" w14:textId="4D4892F0" w:rsidR="00147175" w:rsidRDefault="003F79CE" w:rsidP="00331B4F">
      <w:pPr>
        <w:spacing w:after="0" w:line="240" w:lineRule="auto"/>
        <w:contextualSpacing/>
        <w:mirrorIndents/>
        <w:rPr>
          <w:rFonts w:ascii="Verdana" w:hAnsi="Verdana"/>
          <w:sz w:val="20"/>
          <w:szCs w:val="20"/>
        </w:rPr>
      </w:pPr>
      <w:r>
        <w:rPr>
          <w:rFonts w:ascii="Verdana" w:hAnsi="Verdana"/>
          <w:sz w:val="20"/>
          <w:szCs w:val="20"/>
        </w:rPr>
        <w:t xml:space="preserve">As of 12/15/21, 13.6 million Americans had enrolled in healthcare insurance through the ACA program, </w:t>
      </w:r>
      <w:r w:rsidR="0040165C">
        <w:rPr>
          <w:rFonts w:ascii="Verdana" w:hAnsi="Verdana"/>
          <w:sz w:val="20"/>
          <w:szCs w:val="20"/>
        </w:rPr>
        <w:t xml:space="preserve">with </w:t>
      </w:r>
      <w:r>
        <w:rPr>
          <w:rFonts w:ascii="Verdana" w:hAnsi="Verdana"/>
          <w:sz w:val="20"/>
          <w:szCs w:val="20"/>
        </w:rPr>
        <w:t>9.7 million via the federal government’s Website and another 3.9 million enrolled or were automatically re-enrolled through State-based Marketplaces, all records.</w:t>
      </w:r>
    </w:p>
    <w:p w14:paraId="5D352433" w14:textId="5ABAB3A2" w:rsidR="003F79CE" w:rsidRDefault="003F79CE" w:rsidP="00331B4F">
      <w:pPr>
        <w:spacing w:after="0" w:line="240" w:lineRule="auto"/>
        <w:contextualSpacing/>
        <w:mirrorIndents/>
        <w:rPr>
          <w:rFonts w:ascii="Verdana" w:hAnsi="Verdana"/>
          <w:sz w:val="20"/>
          <w:szCs w:val="20"/>
        </w:rPr>
      </w:pPr>
    </w:p>
    <w:p w14:paraId="0588488D" w14:textId="77777777" w:rsidR="00DB487D" w:rsidRDefault="00DB487D" w:rsidP="00DB487D">
      <w:pPr>
        <w:spacing w:after="0" w:line="240" w:lineRule="auto"/>
        <w:contextualSpacing/>
        <w:mirrorIndents/>
        <w:jc w:val="center"/>
        <w:rPr>
          <w:b/>
          <w:bCs/>
          <w:sz w:val="20"/>
          <w:szCs w:val="20"/>
        </w:rPr>
      </w:pPr>
      <w:r>
        <w:rPr>
          <w:b/>
          <w:bCs/>
          <w:sz w:val="20"/>
          <w:szCs w:val="20"/>
        </w:rPr>
        <w:t xml:space="preserve">Adults 18+ Who Influence Business Services/Corporate Health </w:t>
      </w:r>
    </w:p>
    <w:p w14:paraId="553AFD84" w14:textId="5853ED43" w:rsidR="00DB487D" w:rsidRPr="005D1511" w:rsidRDefault="00DB487D" w:rsidP="00DB487D">
      <w:pPr>
        <w:spacing w:after="0" w:line="240" w:lineRule="auto"/>
        <w:contextualSpacing/>
        <w:mirrorIndents/>
        <w:jc w:val="center"/>
        <w:rPr>
          <w:b/>
          <w:bCs/>
          <w:sz w:val="20"/>
          <w:szCs w:val="20"/>
        </w:rPr>
      </w:pPr>
      <w:r>
        <w:rPr>
          <w:b/>
          <w:bCs/>
          <w:sz w:val="20"/>
          <w:szCs w:val="20"/>
        </w:rPr>
        <w:t>Care/Insurance, by Their Occupations, in Selected Markets</w:t>
      </w:r>
      <w:r w:rsidRPr="005D1511">
        <w:rPr>
          <w:b/>
          <w:bCs/>
          <w:sz w:val="20"/>
          <w:szCs w:val="20"/>
        </w:rPr>
        <w:t>, 202</w:t>
      </w:r>
      <w:r>
        <w:rPr>
          <w:b/>
          <w:bCs/>
          <w:sz w:val="20"/>
          <w:szCs w:val="20"/>
        </w:rPr>
        <w:t>1</w:t>
      </w:r>
    </w:p>
    <w:tbl>
      <w:tblPr>
        <w:tblW w:w="1134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433"/>
        <w:gridCol w:w="1387"/>
        <w:gridCol w:w="1382"/>
        <w:gridCol w:w="1382"/>
        <w:gridCol w:w="1382"/>
        <w:gridCol w:w="1382"/>
      </w:tblGrid>
      <w:tr w:rsidR="00DB487D" w:rsidRPr="005D1511" w14:paraId="414046D8" w14:textId="77777777" w:rsidTr="009777BD">
        <w:trPr>
          <w:jc w:val="center"/>
        </w:trPr>
        <w:tc>
          <w:tcPr>
            <w:tcW w:w="443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31C8B2A" w14:textId="77777777" w:rsidR="00DB487D" w:rsidRPr="004815C1" w:rsidRDefault="00DB487D"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Occupation</w:t>
            </w:r>
          </w:p>
        </w:tc>
        <w:tc>
          <w:tcPr>
            <w:tcW w:w="138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913BEC6" w14:textId="73000B61" w:rsidR="00DB487D" w:rsidRPr="004815C1" w:rsidRDefault="00DB487D"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Orlando</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58A76B6" w14:textId="5FC327C1" w:rsidR="00DB487D" w:rsidRPr="004815C1" w:rsidRDefault="00DB487D"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Detroit</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BF91A94" w14:textId="58F51866" w:rsidR="00DB487D" w:rsidRPr="004815C1" w:rsidRDefault="0021167A"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Des Moines, IA</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E7D8046" w14:textId="6AEE4AED" w:rsidR="00DB487D" w:rsidRPr="004815C1" w:rsidRDefault="0021167A"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Phoenix</w:t>
            </w:r>
          </w:p>
        </w:tc>
        <w:tc>
          <w:tcPr>
            <w:tcW w:w="1382"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0FAED579" w14:textId="526E8127" w:rsidR="00DB487D" w:rsidRPr="004815C1" w:rsidRDefault="00A01F43"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DB487D" w:rsidRPr="005D1511" w14:paraId="39E9D3AC" w14:textId="77777777" w:rsidTr="00EF140A">
        <w:tblPrEx>
          <w:tblBorders>
            <w:top w:val="none" w:sz="0" w:space="0" w:color="auto"/>
          </w:tblBorders>
        </w:tblPrEx>
        <w:trPr>
          <w:jc w:val="center"/>
        </w:trPr>
        <w:tc>
          <w:tcPr>
            <w:tcW w:w="443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59EA95AC" w14:textId="77777777" w:rsidR="00DB487D" w:rsidRPr="004815C1" w:rsidRDefault="00DB487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White-collar workers</w:t>
            </w:r>
          </w:p>
        </w:tc>
        <w:tc>
          <w:tcPr>
            <w:tcW w:w="1387" w:type="dxa"/>
            <w:tcBorders>
              <w:top w:val="single" w:sz="18" w:space="0" w:color="C0504D" w:themeColor="accent2"/>
              <w:left w:val="single" w:sz="18" w:space="0" w:color="0070C0"/>
              <w:bottom w:val="single" w:sz="4" w:space="0" w:color="auto"/>
              <w:right w:val="single" w:sz="8" w:space="0" w:color="0070C0"/>
            </w:tcBorders>
            <w:shd w:val="clear" w:color="auto" w:fill="92D050"/>
            <w:vAlign w:val="center"/>
          </w:tcPr>
          <w:p w14:paraId="177CD316" w14:textId="3361685B" w:rsidR="00DB487D" w:rsidRPr="00DB487D" w:rsidRDefault="00DB487D" w:rsidP="00DB487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78.0%</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2ABAA02D" w14:textId="6D0B939C" w:rsidR="00DB487D" w:rsidRPr="004815C1" w:rsidRDefault="00DB487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81.0%</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549FA621" w14:textId="04DFBD76" w:rsidR="00DB487D" w:rsidRPr="004815C1" w:rsidRDefault="0021167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66.6%</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0BB51A48" w14:textId="181CEC8D" w:rsidR="00DB487D" w:rsidRPr="004815C1"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84.9%</w:t>
            </w:r>
          </w:p>
        </w:tc>
        <w:tc>
          <w:tcPr>
            <w:tcW w:w="1382" w:type="dxa"/>
            <w:tcBorders>
              <w:top w:val="single" w:sz="18" w:space="0" w:color="C0504D" w:themeColor="accent2"/>
              <w:left w:val="single" w:sz="8" w:space="0" w:color="0070C0"/>
              <w:bottom w:val="single" w:sz="4" w:space="0" w:color="auto"/>
              <w:right w:val="single" w:sz="12" w:space="0" w:color="000000"/>
            </w:tcBorders>
            <w:shd w:val="clear" w:color="auto" w:fill="92D050"/>
            <w:vAlign w:val="center"/>
          </w:tcPr>
          <w:p w14:paraId="3DBDEAE9" w14:textId="66275D18" w:rsidR="00DB487D" w:rsidRPr="004815C1" w:rsidRDefault="00A01F43"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66.9%</w:t>
            </w:r>
          </w:p>
        </w:tc>
      </w:tr>
      <w:tr w:rsidR="00DB487D" w:rsidRPr="005D1511" w14:paraId="73249C0B" w14:textId="77777777" w:rsidTr="006427A5">
        <w:tblPrEx>
          <w:tblBorders>
            <w:top w:val="none" w:sz="0" w:space="0" w:color="auto"/>
          </w:tblBorders>
        </w:tblPrEx>
        <w:trPr>
          <w:jc w:val="center"/>
        </w:trPr>
        <w:tc>
          <w:tcPr>
            <w:tcW w:w="44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A6A3DF5" w14:textId="77777777" w:rsidR="00DB487D" w:rsidRPr="004815C1" w:rsidRDefault="00DB487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Professional/Technical</w:t>
            </w:r>
          </w:p>
        </w:tc>
        <w:tc>
          <w:tcPr>
            <w:tcW w:w="138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8D7BCFE" w14:textId="52821878" w:rsidR="00DB487D" w:rsidRPr="004815C1" w:rsidRDefault="00DB487D"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19.2%</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77A1FB5" w14:textId="66AE3CEE" w:rsidR="00DB487D" w:rsidRPr="004815C1" w:rsidRDefault="00DB487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39.5%</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31F4EE0" w14:textId="6A11D5B6" w:rsidR="00DB487D" w:rsidRPr="004815C1" w:rsidRDefault="0021167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321C556" w14:textId="0D00937D" w:rsidR="00DB487D" w:rsidRPr="004815C1"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30.2%</w:t>
            </w:r>
          </w:p>
        </w:tc>
        <w:tc>
          <w:tcPr>
            <w:tcW w:w="1382"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519C458A" w14:textId="1288E99C" w:rsidR="00DB487D" w:rsidRPr="004815C1"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35.2%</w:t>
            </w:r>
          </w:p>
        </w:tc>
      </w:tr>
      <w:tr w:rsidR="00E01FD2" w:rsidRPr="005D1511" w14:paraId="30D4EF7A" w14:textId="77777777" w:rsidTr="00E01FD2">
        <w:tblPrEx>
          <w:tblBorders>
            <w:top w:val="none" w:sz="0" w:space="0" w:color="auto"/>
          </w:tblBorders>
        </w:tblPrEx>
        <w:trPr>
          <w:jc w:val="center"/>
        </w:trPr>
        <w:tc>
          <w:tcPr>
            <w:tcW w:w="44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E8334D3" w14:textId="77777777" w:rsidR="00DB487D" w:rsidRPr="004815C1" w:rsidRDefault="00DB487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Proprietors/Managers</w:t>
            </w:r>
          </w:p>
        </w:tc>
        <w:tc>
          <w:tcPr>
            <w:tcW w:w="1387"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6A8E72F8" w14:textId="4947D8AE" w:rsidR="002100A0" w:rsidRPr="004815C1" w:rsidRDefault="002100A0" w:rsidP="002100A0">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42.9%</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5DD78A5" w14:textId="7A6B16DD" w:rsidR="00DB487D" w:rsidRPr="004815C1" w:rsidRDefault="00DB487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28.5%</w:t>
            </w:r>
          </w:p>
        </w:tc>
        <w:tc>
          <w:tcPr>
            <w:tcW w:w="1382" w:type="dxa"/>
            <w:tcBorders>
              <w:top w:val="single" w:sz="4" w:space="0" w:color="auto"/>
              <w:left w:val="single" w:sz="8" w:space="0" w:color="0070C0"/>
              <w:bottom w:val="single" w:sz="4" w:space="0" w:color="000000"/>
              <w:right w:val="single" w:sz="8" w:space="0" w:color="0070C0"/>
            </w:tcBorders>
            <w:shd w:val="clear" w:color="auto" w:fill="92D050"/>
            <w:vAlign w:val="center"/>
          </w:tcPr>
          <w:p w14:paraId="4C6A4901" w14:textId="5E83F6EB" w:rsidR="00DB487D" w:rsidRPr="004815C1" w:rsidRDefault="0021167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55.0%</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47F76F8" w14:textId="25314695" w:rsidR="00DB487D" w:rsidRPr="004815C1"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42.7%</w:t>
            </w:r>
          </w:p>
        </w:tc>
        <w:tc>
          <w:tcPr>
            <w:tcW w:w="1382"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4903C622" w14:textId="13C16F76" w:rsidR="00DB487D" w:rsidRPr="004815C1"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28.0%</w:t>
            </w:r>
          </w:p>
        </w:tc>
      </w:tr>
      <w:tr w:rsidR="00DB487D" w:rsidRPr="005D1511" w14:paraId="5880A44F" w14:textId="77777777" w:rsidTr="00E01FD2">
        <w:tblPrEx>
          <w:tblBorders>
            <w:top w:val="none" w:sz="0" w:space="0" w:color="auto"/>
          </w:tblBorders>
        </w:tblPrEx>
        <w:trPr>
          <w:jc w:val="center"/>
        </w:trPr>
        <w:tc>
          <w:tcPr>
            <w:tcW w:w="44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3F3EF16" w14:textId="77777777" w:rsidR="00DB487D" w:rsidRPr="004815C1" w:rsidRDefault="00DB487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Clerical/Sales</w:t>
            </w:r>
          </w:p>
        </w:tc>
        <w:tc>
          <w:tcPr>
            <w:tcW w:w="138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7028220A" w14:textId="7EFD2EC0" w:rsidR="00DB487D" w:rsidRPr="004815C1" w:rsidRDefault="002100A0"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15.9%</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EAECDFF" w14:textId="369F8C62" w:rsidR="00DB487D" w:rsidRPr="004815C1" w:rsidRDefault="00DB487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13.0%</w:t>
            </w:r>
          </w:p>
        </w:tc>
        <w:tc>
          <w:tcPr>
            <w:tcW w:w="1382"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23218CED" w14:textId="4E60BD56" w:rsidR="00DB487D" w:rsidRPr="004815C1" w:rsidRDefault="0021167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928190B" w14:textId="6BA2900D" w:rsidR="00DB487D" w:rsidRPr="004815C1"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382"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725596A1" w14:textId="56DFF0CA" w:rsidR="00DB487D" w:rsidRPr="004815C1"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3.7%</w:t>
            </w:r>
          </w:p>
        </w:tc>
      </w:tr>
      <w:tr w:rsidR="00DB487D" w:rsidRPr="005D1511" w14:paraId="31698BD1" w14:textId="77777777" w:rsidTr="00E01FD2">
        <w:tblPrEx>
          <w:tblBorders>
            <w:top w:val="none" w:sz="0" w:space="0" w:color="auto"/>
          </w:tblBorders>
        </w:tblPrEx>
        <w:trPr>
          <w:jc w:val="center"/>
        </w:trPr>
        <w:tc>
          <w:tcPr>
            <w:tcW w:w="44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84A9F56" w14:textId="3C1AD262" w:rsidR="00DB487D" w:rsidRDefault="00DB487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Bleu-collar workers</w:t>
            </w:r>
          </w:p>
        </w:tc>
        <w:tc>
          <w:tcPr>
            <w:tcW w:w="1387"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51CF7D62" w14:textId="4FFB4171" w:rsidR="00DB487D" w:rsidRDefault="002100A0"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1.0%</w:t>
            </w:r>
          </w:p>
        </w:tc>
        <w:tc>
          <w:tcPr>
            <w:tcW w:w="1382"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009FBF5" w14:textId="645760DA" w:rsidR="00DB487D" w:rsidRDefault="00DB487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6.5%</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A13BA4D" w14:textId="58766A03" w:rsidR="00DB487D" w:rsidRDefault="0021167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12.3%</w:t>
            </w:r>
          </w:p>
        </w:tc>
        <w:tc>
          <w:tcPr>
            <w:tcW w:w="1382"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21DEDCB6" w14:textId="567D2BD9" w:rsidR="00DB487D"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382"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7DC6098E" w14:textId="780B1C5D" w:rsidR="00DB487D"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r>
      <w:tr w:rsidR="00DB487D" w:rsidRPr="005D1511" w14:paraId="6449B48F" w14:textId="77777777" w:rsidTr="00E01FD2">
        <w:tblPrEx>
          <w:tblBorders>
            <w:top w:val="none" w:sz="0" w:space="0" w:color="auto"/>
          </w:tblBorders>
        </w:tblPrEx>
        <w:trPr>
          <w:jc w:val="center"/>
        </w:trPr>
        <w:tc>
          <w:tcPr>
            <w:tcW w:w="443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5A2C546C" w14:textId="77777777" w:rsidR="00DB487D" w:rsidRPr="004815C1" w:rsidRDefault="00DB487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Business owner/partner/corporate officer</w:t>
            </w:r>
          </w:p>
        </w:tc>
        <w:tc>
          <w:tcPr>
            <w:tcW w:w="1387"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71AF9863" w14:textId="3C21AB76" w:rsidR="00DB487D" w:rsidRPr="004815C1" w:rsidRDefault="002100A0"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29.8%</w:t>
            </w:r>
          </w:p>
        </w:tc>
        <w:tc>
          <w:tcPr>
            <w:tcW w:w="1382"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7875F00B" w14:textId="10EFCC80" w:rsidR="00DB487D" w:rsidRPr="004815C1" w:rsidRDefault="00DB487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24.7%</w:t>
            </w:r>
          </w:p>
        </w:tc>
        <w:tc>
          <w:tcPr>
            <w:tcW w:w="1382"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5F86CD5B" w14:textId="615D9FC8" w:rsidR="00DB487D" w:rsidRPr="004815C1" w:rsidRDefault="0021167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50.6%</w:t>
            </w:r>
          </w:p>
        </w:tc>
        <w:tc>
          <w:tcPr>
            <w:tcW w:w="1382"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51810389" w14:textId="6E68BDA9" w:rsidR="00DB487D" w:rsidRPr="004815C1"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24.8%</w:t>
            </w:r>
          </w:p>
        </w:tc>
        <w:tc>
          <w:tcPr>
            <w:tcW w:w="1382"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5D7172B0" w14:textId="62BF7090" w:rsidR="00DB487D" w:rsidRPr="004815C1" w:rsidRDefault="00A01F43"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38.3%</w:t>
            </w:r>
          </w:p>
        </w:tc>
      </w:tr>
    </w:tbl>
    <w:p w14:paraId="7AA0BDFE" w14:textId="77777777" w:rsidR="00DB487D" w:rsidRDefault="00DB487D" w:rsidP="00DB487D">
      <w:pPr>
        <w:spacing w:after="0" w:line="240" w:lineRule="auto"/>
        <w:ind w:hanging="990"/>
        <w:contextualSpacing/>
        <w:mirrorIndents/>
        <w:rPr>
          <w:rFonts w:ascii="Verdana" w:hAnsi="Verdana"/>
          <w:sz w:val="20"/>
          <w:szCs w:val="20"/>
        </w:rPr>
      </w:pPr>
      <w:r w:rsidRPr="005D1511">
        <w:rPr>
          <w:sz w:val="16"/>
          <w:szCs w:val="16"/>
        </w:rPr>
        <w:t xml:space="preserve">Based on The Media Audit’s </w:t>
      </w:r>
      <w:r>
        <w:rPr>
          <w:sz w:val="16"/>
          <w:szCs w:val="16"/>
        </w:rPr>
        <w:t>2021</w:t>
      </w:r>
      <w:r w:rsidRPr="005D1511">
        <w:rPr>
          <w:sz w:val="16"/>
          <w:szCs w:val="16"/>
        </w:rPr>
        <w:t xml:space="preserve"> </w:t>
      </w:r>
      <w:r>
        <w:rPr>
          <w:sz w:val="16"/>
          <w:szCs w:val="16"/>
        </w:rPr>
        <w:t>s</w:t>
      </w:r>
      <w:r w:rsidRPr="005D1511">
        <w:rPr>
          <w:sz w:val="16"/>
          <w:szCs w:val="16"/>
        </w:rPr>
        <w:t>urvey</w:t>
      </w:r>
      <w:r>
        <w:rPr>
          <w:sz w:val="16"/>
          <w:szCs w:val="16"/>
        </w:rPr>
        <w:t xml:space="preserve">s  </w:t>
      </w:r>
      <w:r>
        <w:rPr>
          <w:sz w:val="16"/>
          <w:szCs w:val="16"/>
        </w:rPr>
        <w:tab/>
      </w:r>
      <w:r>
        <w:rPr>
          <w:sz w:val="16"/>
          <w:szCs w:val="16"/>
        </w:rPr>
        <w:tab/>
      </w:r>
      <w:r>
        <w:rPr>
          <w:sz w:val="16"/>
          <w:szCs w:val="16"/>
        </w:rPr>
        <w:tab/>
      </w:r>
      <w:r>
        <w:rPr>
          <w:sz w:val="16"/>
          <w:szCs w:val="16"/>
        </w:rPr>
        <w:tab/>
      </w:r>
      <w:r>
        <w:rPr>
          <w:sz w:val="16"/>
          <w:szCs w:val="16"/>
        </w:rPr>
        <w:tab/>
        <w:t>*insufficient data</w:t>
      </w:r>
    </w:p>
    <w:p w14:paraId="478A3866" w14:textId="1CA28623" w:rsidR="003F79CE" w:rsidRDefault="003F79CE" w:rsidP="00331B4F">
      <w:pPr>
        <w:spacing w:after="0" w:line="240" w:lineRule="auto"/>
        <w:contextualSpacing/>
        <w:mirrorIndents/>
        <w:rPr>
          <w:rFonts w:ascii="Verdana" w:hAnsi="Verdana"/>
          <w:sz w:val="20"/>
          <w:szCs w:val="20"/>
        </w:rPr>
      </w:pPr>
    </w:p>
    <w:p w14:paraId="609AF797" w14:textId="0C5B3D4E" w:rsidR="00331B4F" w:rsidRPr="000B742D" w:rsidRDefault="00331B4F" w:rsidP="000B742D">
      <w:pPr>
        <w:spacing w:after="0" w:line="240" w:lineRule="auto"/>
        <w:contextualSpacing/>
        <w:mirrorIndents/>
        <w:jc w:val="center"/>
        <w:rPr>
          <w:rFonts w:ascii="Verdana" w:hAnsi="Verdana"/>
          <w:b/>
          <w:bCs/>
          <w:color w:val="0070C0"/>
          <w:sz w:val="20"/>
          <w:szCs w:val="20"/>
        </w:rPr>
      </w:pPr>
      <w:r w:rsidRPr="000B742D">
        <w:rPr>
          <w:rFonts w:ascii="Verdana" w:hAnsi="Verdana"/>
          <w:b/>
          <w:bCs/>
          <w:color w:val="0070C0"/>
          <w:sz w:val="20"/>
          <w:szCs w:val="20"/>
        </w:rPr>
        <w:t>Consumer Health Insurance Coverage</w:t>
      </w:r>
    </w:p>
    <w:p w14:paraId="34194069" w14:textId="439EA79B" w:rsidR="00331B4F" w:rsidRDefault="00331B4F" w:rsidP="00331B4F">
      <w:pPr>
        <w:spacing w:after="0" w:line="240" w:lineRule="auto"/>
        <w:contextualSpacing/>
        <w:mirrorIndents/>
        <w:rPr>
          <w:rFonts w:ascii="Verdana" w:hAnsi="Verdana"/>
          <w:sz w:val="20"/>
          <w:szCs w:val="20"/>
        </w:rPr>
      </w:pPr>
    </w:p>
    <w:p w14:paraId="3890BDCD" w14:textId="2BB78D4C" w:rsidR="000B742D" w:rsidRDefault="000B742D" w:rsidP="00331B4F">
      <w:pPr>
        <w:spacing w:after="0" w:line="240" w:lineRule="auto"/>
        <w:contextualSpacing/>
        <w:mirrorIndents/>
        <w:rPr>
          <w:rFonts w:ascii="Verdana" w:hAnsi="Verdana"/>
          <w:sz w:val="20"/>
          <w:szCs w:val="20"/>
        </w:rPr>
      </w:pPr>
      <w:r>
        <w:rPr>
          <w:rFonts w:ascii="Verdana" w:hAnsi="Verdana"/>
          <w:sz w:val="20"/>
          <w:szCs w:val="20"/>
        </w:rPr>
        <w:t xml:space="preserve">Based on data </w:t>
      </w:r>
      <w:r w:rsidR="000E4D77">
        <w:rPr>
          <w:rFonts w:ascii="Verdana" w:hAnsi="Verdana"/>
          <w:sz w:val="20"/>
          <w:szCs w:val="20"/>
        </w:rPr>
        <w:t>in</w:t>
      </w:r>
      <w:r>
        <w:rPr>
          <w:rFonts w:ascii="Verdana" w:hAnsi="Verdana"/>
          <w:sz w:val="20"/>
          <w:szCs w:val="20"/>
        </w:rPr>
        <w:t xml:space="preserve"> five representative 2021 consumer/market surveys from The Media Audit</w:t>
      </w:r>
      <w:r w:rsidR="000E4D77">
        <w:rPr>
          <w:rFonts w:ascii="Verdana" w:hAnsi="Verdana"/>
          <w:sz w:val="20"/>
          <w:szCs w:val="20"/>
        </w:rPr>
        <w:t>, adults 18+ with some type of health insurance coverage is very consistent across most demographics, averaging 86.1% and within a narrow range of 5.8 percentage points.</w:t>
      </w:r>
    </w:p>
    <w:p w14:paraId="3BB45FF8" w14:textId="11D29240" w:rsidR="000E4D77" w:rsidRDefault="000E4D77" w:rsidP="00331B4F">
      <w:pPr>
        <w:spacing w:after="0" w:line="240" w:lineRule="auto"/>
        <w:contextualSpacing/>
        <w:mirrorIndents/>
        <w:rPr>
          <w:rFonts w:ascii="Verdana" w:hAnsi="Verdana"/>
          <w:sz w:val="20"/>
          <w:szCs w:val="20"/>
        </w:rPr>
      </w:pPr>
    </w:p>
    <w:p w14:paraId="56415CF8" w14:textId="76AC1FEB" w:rsidR="000E4D77" w:rsidRDefault="000E4D77" w:rsidP="00331B4F">
      <w:pPr>
        <w:spacing w:after="0" w:line="240" w:lineRule="auto"/>
        <w:contextualSpacing/>
        <w:mirrorIndents/>
        <w:rPr>
          <w:rFonts w:ascii="Verdana" w:hAnsi="Verdana"/>
          <w:sz w:val="20"/>
          <w:szCs w:val="20"/>
        </w:rPr>
      </w:pPr>
      <w:r>
        <w:rPr>
          <w:rFonts w:ascii="Verdana" w:hAnsi="Verdana"/>
          <w:sz w:val="20"/>
          <w:szCs w:val="20"/>
        </w:rPr>
        <w:t>Slightly more women</w:t>
      </w:r>
      <w:r w:rsidR="00AA4186">
        <w:rPr>
          <w:rFonts w:ascii="Verdana" w:hAnsi="Verdana"/>
          <w:sz w:val="20"/>
          <w:szCs w:val="20"/>
        </w:rPr>
        <w:t xml:space="preserve"> (52.4% average)</w:t>
      </w:r>
      <w:r>
        <w:rPr>
          <w:rFonts w:ascii="Verdana" w:hAnsi="Verdana"/>
          <w:sz w:val="20"/>
          <w:szCs w:val="20"/>
        </w:rPr>
        <w:t xml:space="preserve"> than men </w:t>
      </w:r>
      <w:r w:rsidR="00AA4186">
        <w:rPr>
          <w:rFonts w:ascii="Verdana" w:hAnsi="Verdana"/>
          <w:sz w:val="20"/>
          <w:szCs w:val="20"/>
        </w:rPr>
        <w:t>(</w:t>
      </w:r>
      <w:r>
        <w:rPr>
          <w:rFonts w:ascii="Verdana" w:hAnsi="Verdana"/>
          <w:sz w:val="20"/>
          <w:szCs w:val="20"/>
        </w:rPr>
        <w:t>47.6%</w:t>
      </w:r>
      <w:r w:rsidR="00AA4186">
        <w:rPr>
          <w:rFonts w:ascii="Verdana" w:hAnsi="Verdana"/>
          <w:sz w:val="20"/>
          <w:szCs w:val="20"/>
        </w:rPr>
        <w:t xml:space="preserve"> average) have coverage</w:t>
      </w:r>
      <w:r>
        <w:rPr>
          <w:rFonts w:ascii="Verdana" w:hAnsi="Verdana"/>
          <w:sz w:val="20"/>
          <w:szCs w:val="20"/>
        </w:rPr>
        <w:t xml:space="preserve">. </w:t>
      </w:r>
      <w:r w:rsidR="00AA4186">
        <w:rPr>
          <w:rFonts w:ascii="Verdana" w:hAnsi="Verdana"/>
          <w:sz w:val="20"/>
          <w:szCs w:val="20"/>
        </w:rPr>
        <w:t>By age, m</w:t>
      </w:r>
      <w:r>
        <w:rPr>
          <w:rFonts w:ascii="Verdana" w:hAnsi="Verdana"/>
          <w:sz w:val="20"/>
          <w:szCs w:val="20"/>
        </w:rPr>
        <w:t>ost adults 18–24 are typically on their parents’ plans, those 25–64 are more likely to have employer-based coverage and those 65+ have Medica</w:t>
      </w:r>
      <w:r w:rsidR="00735854">
        <w:rPr>
          <w:rFonts w:ascii="Verdana" w:hAnsi="Verdana"/>
          <w:sz w:val="20"/>
          <w:szCs w:val="20"/>
        </w:rPr>
        <w:t>re</w:t>
      </w:r>
      <w:r>
        <w:rPr>
          <w:rFonts w:ascii="Verdana" w:hAnsi="Verdana"/>
          <w:sz w:val="20"/>
          <w:szCs w:val="20"/>
        </w:rPr>
        <w:t>/Medica</w:t>
      </w:r>
      <w:r w:rsidR="00735854">
        <w:rPr>
          <w:rFonts w:ascii="Verdana" w:hAnsi="Verdana"/>
          <w:sz w:val="20"/>
          <w:szCs w:val="20"/>
        </w:rPr>
        <w:t>id</w:t>
      </w:r>
      <w:r>
        <w:rPr>
          <w:rFonts w:ascii="Verdana" w:hAnsi="Verdana"/>
          <w:sz w:val="20"/>
          <w:szCs w:val="20"/>
        </w:rPr>
        <w:t>.</w:t>
      </w:r>
    </w:p>
    <w:p w14:paraId="3D2E86EE" w14:textId="3CFB3213" w:rsidR="000E4D77" w:rsidRDefault="000E4D77" w:rsidP="00331B4F">
      <w:pPr>
        <w:spacing w:after="0" w:line="240" w:lineRule="auto"/>
        <w:contextualSpacing/>
        <w:mirrorIndents/>
        <w:rPr>
          <w:rFonts w:ascii="Verdana" w:hAnsi="Verdana"/>
          <w:sz w:val="20"/>
          <w:szCs w:val="20"/>
        </w:rPr>
      </w:pPr>
    </w:p>
    <w:p w14:paraId="0BBCE609" w14:textId="7B216CDB" w:rsidR="000E4D77" w:rsidRPr="00331B4F" w:rsidRDefault="00960127" w:rsidP="00331B4F">
      <w:pPr>
        <w:spacing w:after="0" w:line="240" w:lineRule="auto"/>
        <w:contextualSpacing/>
        <w:mirrorIndents/>
        <w:rPr>
          <w:rFonts w:ascii="Verdana" w:hAnsi="Verdana"/>
          <w:sz w:val="20"/>
          <w:szCs w:val="20"/>
        </w:rPr>
      </w:pPr>
      <w:r>
        <w:rPr>
          <w:rFonts w:ascii="Verdana" w:hAnsi="Verdana"/>
          <w:sz w:val="20"/>
          <w:szCs w:val="20"/>
        </w:rPr>
        <w:t xml:space="preserve">The average of 23.0% </w:t>
      </w:r>
      <w:r w:rsidR="00735854">
        <w:rPr>
          <w:rFonts w:ascii="Verdana" w:hAnsi="Verdana"/>
          <w:sz w:val="20"/>
          <w:szCs w:val="20"/>
        </w:rPr>
        <w:t>for</w:t>
      </w:r>
      <w:r>
        <w:rPr>
          <w:rFonts w:ascii="Verdana" w:hAnsi="Verdana"/>
          <w:sz w:val="20"/>
          <w:szCs w:val="20"/>
        </w:rPr>
        <w:t xml:space="preserve"> household</w:t>
      </w:r>
      <w:r w:rsidR="00735854">
        <w:rPr>
          <w:rFonts w:ascii="Verdana" w:hAnsi="Verdana"/>
          <w:sz w:val="20"/>
          <w:szCs w:val="20"/>
        </w:rPr>
        <w:t>s with</w:t>
      </w:r>
      <w:r>
        <w:rPr>
          <w:rFonts w:ascii="Verdana" w:hAnsi="Verdana"/>
          <w:sz w:val="20"/>
          <w:szCs w:val="20"/>
        </w:rPr>
        <w:t xml:space="preserve"> incomes less than $35K have a mix of employer-based coverage, ACA program or Medicaid. Those with middle and above-average incomes have employer-based coverage and those with incomes of $150K+ are often self-insured.</w:t>
      </w:r>
    </w:p>
    <w:p w14:paraId="47C8CCD8" w14:textId="7E323EAB" w:rsidR="00331B4F" w:rsidRDefault="00331B4F" w:rsidP="00331B4F">
      <w:pPr>
        <w:spacing w:after="0" w:line="240" w:lineRule="auto"/>
        <w:contextualSpacing/>
        <w:mirrorIndents/>
        <w:rPr>
          <w:rFonts w:ascii="Verdana" w:hAnsi="Verdana"/>
          <w:sz w:val="20"/>
          <w:szCs w:val="20"/>
        </w:rPr>
      </w:pPr>
    </w:p>
    <w:p w14:paraId="22D9270B" w14:textId="77777777" w:rsidR="00C80D97" w:rsidRDefault="00E84080" w:rsidP="00C80D97">
      <w:pPr>
        <w:spacing w:after="0" w:line="240" w:lineRule="auto"/>
        <w:contextualSpacing/>
        <w:mirrorIndents/>
        <w:jc w:val="center"/>
        <w:rPr>
          <w:b/>
          <w:bCs/>
          <w:sz w:val="20"/>
          <w:szCs w:val="20"/>
        </w:rPr>
      </w:pPr>
      <w:r>
        <w:rPr>
          <w:b/>
          <w:bCs/>
          <w:sz w:val="20"/>
          <w:szCs w:val="20"/>
        </w:rPr>
        <w:t xml:space="preserve">Adults 18+ </w:t>
      </w:r>
      <w:r w:rsidR="00C80D97">
        <w:rPr>
          <w:b/>
          <w:bCs/>
          <w:sz w:val="20"/>
          <w:szCs w:val="20"/>
        </w:rPr>
        <w:t>With Some Type of</w:t>
      </w:r>
      <w:r>
        <w:rPr>
          <w:b/>
          <w:bCs/>
          <w:sz w:val="20"/>
          <w:szCs w:val="20"/>
        </w:rPr>
        <w:t xml:space="preserve"> Health Insurance</w:t>
      </w:r>
      <w:r w:rsidR="00C80D97">
        <w:rPr>
          <w:b/>
          <w:bCs/>
          <w:sz w:val="20"/>
          <w:szCs w:val="20"/>
        </w:rPr>
        <w:t xml:space="preserve"> Coverage</w:t>
      </w:r>
      <w:r>
        <w:rPr>
          <w:b/>
          <w:bCs/>
          <w:sz w:val="20"/>
          <w:szCs w:val="20"/>
        </w:rPr>
        <w:t xml:space="preserve">, </w:t>
      </w:r>
    </w:p>
    <w:p w14:paraId="413CE96C" w14:textId="3D3B3125" w:rsidR="00E84080" w:rsidRPr="005D1511" w:rsidRDefault="00E84080" w:rsidP="00C80D97">
      <w:pPr>
        <w:spacing w:after="0" w:line="240" w:lineRule="auto"/>
        <w:contextualSpacing/>
        <w:mirrorIndents/>
        <w:jc w:val="center"/>
        <w:rPr>
          <w:b/>
          <w:bCs/>
          <w:sz w:val="20"/>
          <w:szCs w:val="20"/>
        </w:rPr>
      </w:pPr>
      <w:r>
        <w:rPr>
          <w:b/>
          <w:bCs/>
          <w:sz w:val="20"/>
          <w:szCs w:val="20"/>
        </w:rPr>
        <w:t xml:space="preserve">by </w:t>
      </w:r>
      <w:r w:rsidR="00C80D97">
        <w:rPr>
          <w:b/>
          <w:bCs/>
          <w:sz w:val="20"/>
          <w:szCs w:val="20"/>
        </w:rPr>
        <w:t>t</w:t>
      </w:r>
      <w:r>
        <w:rPr>
          <w:b/>
          <w:bCs/>
          <w:sz w:val="20"/>
          <w:szCs w:val="20"/>
        </w:rPr>
        <w:t>he</w:t>
      </w:r>
      <w:r w:rsidR="00C80D97">
        <w:rPr>
          <w:b/>
          <w:bCs/>
          <w:sz w:val="20"/>
          <w:szCs w:val="20"/>
        </w:rPr>
        <w:t xml:space="preserve"> Type of Coverage</w:t>
      </w:r>
      <w:r>
        <w:rPr>
          <w:b/>
          <w:bCs/>
          <w:sz w:val="20"/>
          <w:szCs w:val="20"/>
        </w:rPr>
        <w:t>, in Selected Markets</w:t>
      </w:r>
      <w:r w:rsidRPr="005D1511">
        <w:rPr>
          <w:b/>
          <w:bCs/>
          <w:sz w:val="20"/>
          <w:szCs w:val="20"/>
        </w:rPr>
        <w:t>, 202</w:t>
      </w:r>
      <w:r>
        <w:rPr>
          <w:b/>
          <w:bCs/>
          <w:sz w:val="20"/>
          <w:szCs w:val="20"/>
        </w:rPr>
        <w:t>1</w:t>
      </w:r>
    </w:p>
    <w:tbl>
      <w:tblPr>
        <w:tblW w:w="1100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088"/>
        <w:gridCol w:w="1387"/>
        <w:gridCol w:w="1382"/>
        <w:gridCol w:w="1382"/>
        <w:gridCol w:w="1382"/>
        <w:gridCol w:w="1382"/>
      </w:tblGrid>
      <w:tr w:rsidR="00E84080" w:rsidRPr="005D1511" w14:paraId="50068CB3" w14:textId="77777777" w:rsidTr="00735854">
        <w:trPr>
          <w:jc w:val="center"/>
        </w:trPr>
        <w:tc>
          <w:tcPr>
            <w:tcW w:w="408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8D39904" w14:textId="076C72A0" w:rsidR="00E84080" w:rsidRPr="004815C1" w:rsidRDefault="00C80D97" w:rsidP="00735854">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Coverage</w:t>
            </w:r>
          </w:p>
        </w:tc>
        <w:tc>
          <w:tcPr>
            <w:tcW w:w="138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48A224EA" w14:textId="77777777" w:rsidR="00E84080" w:rsidRPr="004815C1" w:rsidRDefault="00E84080" w:rsidP="00735854">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Orlando</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F6F0585" w14:textId="77777777" w:rsidR="00E84080" w:rsidRPr="004815C1" w:rsidRDefault="00E84080" w:rsidP="00735854">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Detroit</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13370FF" w14:textId="77777777" w:rsidR="00E84080" w:rsidRPr="004815C1" w:rsidRDefault="00E84080" w:rsidP="00735854">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Des Moines, IA</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D82AA86" w14:textId="77777777" w:rsidR="00E84080" w:rsidRPr="004815C1" w:rsidRDefault="00E84080" w:rsidP="00735854">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Phoenix</w:t>
            </w:r>
          </w:p>
        </w:tc>
        <w:tc>
          <w:tcPr>
            <w:tcW w:w="1382"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8D49FE3" w14:textId="77777777" w:rsidR="00E84080" w:rsidRPr="004815C1" w:rsidRDefault="00E84080" w:rsidP="00735854">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E84080" w:rsidRPr="005D1511" w14:paraId="7CB8093A" w14:textId="77777777" w:rsidTr="00A5542E">
        <w:tblPrEx>
          <w:tblBorders>
            <w:top w:val="none" w:sz="0" w:space="0" w:color="auto"/>
          </w:tblBorders>
        </w:tblPrEx>
        <w:trPr>
          <w:jc w:val="center"/>
        </w:trPr>
        <w:tc>
          <w:tcPr>
            <w:tcW w:w="408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6508293" w14:textId="2E4980E0" w:rsidR="00E84080" w:rsidRPr="004815C1" w:rsidRDefault="00C80D97"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Health insurance company (employer)</w:t>
            </w:r>
          </w:p>
        </w:tc>
        <w:tc>
          <w:tcPr>
            <w:tcW w:w="1387" w:type="dxa"/>
            <w:tcBorders>
              <w:top w:val="single" w:sz="18" w:space="0" w:color="C0504D" w:themeColor="accent2"/>
              <w:left w:val="single" w:sz="18" w:space="0" w:color="0070C0"/>
              <w:bottom w:val="single" w:sz="4" w:space="0" w:color="auto"/>
              <w:right w:val="single" w:sz="8" w:space="0" w:color="0070C0"/>
            </w:tcBorders>
            <w:shd w:val="clear" w:color="auto" w:fill="00B050"/>
            <w:vAlign w:val="center"/>
          </w:tcPr>
          <w:p w14:paraId="79AE092E" w14:textId="4EAF69AB" w:rsidR="00E84080" w:rsidRPr="00DB487D"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50.2%</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24A32A5D" w14:textId="70663F33"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56.3%</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229D06FB" w14:textId="53A5FE5F"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55.5%</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7D2192D0" w14:textId="1AA372A9"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51.3%</w:t>
            </w:r>
          </w:p>
        </w:tc>
        <w:tc>
          <w:tcPr>
            <w:tcW w:w="1382" w:type="dxa"/>
            <w:tcBorders>
              <w:top w:val="single" w:sz="18" w:space="0" w:color="C0504D" w:themeColor="accent2"/>
              <w:left w:val="single" w:sz="8" w:space="0" w:color="0070C0"/>
              <w:bottom w:val="single" w:sz="4" w:space="0" w:color="auto"/>
              <w:right w:val="single" w:sz="12" w:space="0" w:color="000000"/>
            </w:tcBorders>
            <w:shd w:val="clear" w:color="auto" w:fill="00B050"/>
            <w:vAlign w:val="center"/>
          </w:tcPr>
          <w:p w14:paraId="0C0A2848" w14:textId="2EB0EEDC" w:rsidR="00E84080" w:rsidRPr="004815C1" w:rsidRDefault="00C80D97"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49.8%</w:t>
            </w:r>
          </w:p>
        </w:tc>
      </w:tr>
      <w:tr w:rsidR="00E84080" w:rsidRPr="005D1511" w14:paraId="67AC2EB7" w14:textId="77777777" w:rsidTr="00A5542E">
        <w:tblPrEx>
          <w:tblBorders>
            <w:top w:val="none" w:sz="0" w:space="0" w:color="auto"/>
          </w:tblBorders>
        </w:tblPrEx>
        <w:trPr>
          <w:jc w:val="center"/>
        </w:trPr>
        <w:tc>
          <w:tcPr>
            <w:tcW w:w="40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ACA1241" w14:textId="2949A9E8" w:rsidR="00E84080" w:rsidRPr="004815C1" w:rsidRDefault="00C80D97"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Medicare</w:t>
            </w:r>
          </w:p>
        </w:tc>
        <w:tc>
          <w:tcPr>
            <w:tcW w:w="1387"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452B2533" w14:textId="089FF39D" w:rsidR="00E84080" w:rsidRPr="004815C1" w:rsidRDefault="00C80D97"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39.1%</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33EEA59" w14:textId="54C80092"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33.5%</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FB1237C" w14:textId="07A57901"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29.8%</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9AB2D02" w14:textId="3DA7C91E"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36.1%</w:t>
            </w:r>
          </w:p>
        </w:tc>
        <w:tc>
          <w:tcPr>
            <w:tcW w:w="1382"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6EA5ADB" w14:textId="1F874537"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32.5%</w:t>
            </w:r>
          </w:p>
        </w:tc>
      </w:tr>
      <w:tr w:rsidR="00C80D97" w:rsidRPr="005D1511" w14:paraId="69C35D8C" w14:textId="77777777" w:rsidTr="00A5542E">
        <w:tblPrEx>
          <w:tblBorders>
            <w:top w:val="none" w:sz="0" w:space="0" w:color="auto"/>
          </w:tblBorders>
        </w:tblPrEx>
        <w:trPr>
          <w:jc w:val="center"/>
        </w:trPr>
        <w:tc>
          <w:tcPr>
            <w:tcW w:w="408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389144C" w14:textId="34C09F56" w:rsidR="00E84080" w:rsidRDefault="00C80D97"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Medicaid</w:t>
            </w:r>
          </w:p>
        </w:tc>
        <w:tc>
          <w:tcPr>
            <w:tcW w:w="138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4CDC7E13" w14:textId="60BF28CE" w:rsidR="00E84080" w:rsidRDefault="00C80D97"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1DD9045" w14:textId="504570D9" w:rsidR="00E84080"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19.0%</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BF47A16" w14:textId="0B04B535" w:rsidR="00E84080"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20.0%</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CFC81B9" w14:textId="64B63A7C" w:rsidR="00E84080"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14.9%</w:t>
            </w:r>
          </w:p>
        </w:tc>
        <w:tc>
          <w:tcPr>
            <w:tcW w:w="1382"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1E09670F" w14:textId="26711234" w:rsidR="00E84080"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17.3%</w:t>
            </w:r>
          </w:p>
        </w:tc>
      </w:tr>
      <w:tr w:rsidR="00E84080" w:rsidRPr="005D1511" w14:paraId="21B17804" w14:textId="77777777" w:rsidTr="00A5542E">
        <w:tblPrEx>
          <w:tblBorders>
            <w:top w:val="none" w:sz="0" w:space="0" w:color="auto"/>
          </w:tblBorders>
        </w:tblPrEx>
        <w:trPr>
          <w:jc w:val="center"/>
        </w:trPr>
        <w:tc>
          <w:tcPr>
            <w:tcW w:w="408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06E8BF6C" w14:textId="208B9108" w:rsidR="00E84080" w:rsidRPr="004815C1" w:rsidRDefault="00C80D97"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Other type</w:t>
            </w:r>
          </w:p>
        </w:tc>
        <w:tc>
          <w:tcPr>
            <w:tcW w:w="1387" w:type="dxa"/>
            <w:tcBorders>
              <w:top w:val="single" w:sz="4" w:space="0" w:color="000000"/>
              <w:left w:val="single" w:sz="18" w:space="0" w:color="0070C0"/>
              <w:bottom w:val="single" w:sz="12" w:space="0" w:color="auto"/>
              <w:right w:val="single" w:sz="8" w:space="0" w:color="0070C0"/>
            </w:tcBorders>
            <w:shd w:val="clear" w:color="auto" w:fill="EAF1DD" w:themeFill="accent3" w:themeFillTint="33"/>
            <w:vAlign w:val="center"/>
          </w:tcPr>
          <w:p w14:paraId="2A043381" w14:textId="73E7E15F"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6.9%</w:t>
            </w:r>
          </w:p>
        </w:tc>
        <w:tc>
          <w:tcPr>
            <w:tcW w:w="1382"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7E38A836" w14:textId="04D25732"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w:t>
            </w:r>
          </w:p>
        </w:tc>
        <w:tc>
          <w:tcPr>
            <w:tcW w:w="1382"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5E9A2357" w14:textId="61D27586"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5.8%</w:t>
            </w:r>
          </w:p>
        </w:tc>
        <w:tc>
          <w:tcPr>
            <w:tcW w:w="1382"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5A4AA708" w14:textId="2125D5A4"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5.2%</w:t>
            </w:r>
          </w:p>
        </w:tc>
        <w:tc>
          <w:tcPr>
            <w:tcW w:w="1382" w:type="dxa"/>
            <w:tcBorders>
              <w:top w:val="single" w:sz="4" w:space="0" w:color="000000"/>
              <w:left w:val="single" w:sz="8" w:space="0" w:color="0070C0"/>
              <w:bottom w:val="single" w:sz="12" w:space="0" w:color="auto"/>
              <w:right w:val="single" w:sz="12" w:space="0" w:color="000000"/>
            </w:tcBorders>
            <w:shd w:val="clear" w:color="auto" w:fill="EAF1DD" w:themeFill="accent3" w:themeFillTint="33"/>
            <w:vAlign w:val="center"/>
          </w:tcPr>
          <w:p w14:paraId="7CF6C35B" w14:textId="5B3960DD" w:rsidR="00E84080" w:rsidRPr="004815C1" w:rsidRDefault="00C80D9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7.7%</w:t>
            </w:r>
          </w:p>
        </w:tc>
      </w:tr>
    </w:tbl>
    <w:p w14:paraId="3055F1F8" w14:textId="704F7D85" w:rsidR="00E84080" w:rsidRDefault="00E84080" w:rsidP="00346020">
      <w:pPr>
        <w:spacing w:after="0" w:line="240" w:lineRule="auto"/>
        <w:ind w:hanging="810"/>
        <w:contextualSpacing/>
        <w:mirrorIndents/>
        <w:rPr>
          <w:rFonts w:ascii="Verdana" w:hAnsi="Verdana"/>
          <w:sz w:val="20"/>
          <w:szCs w:val="20"/>
        </w:rPr>
      </w:pPr>
      <w:r w:rsidRPr="005D1511">
        <w:rPr>
          <w:sz w:val="16"/>
          <w:szCs w:val="16"/>
        </w:rPr>
        <w:t xml:space="preserve">Based on The Media Audit’s </w:t>
      </w:r>
      <w:r>
        <w:rPr>
          <w:sz w:val="16"/>
          <w:szCs w:val="16"/>
        </w:rPr>
        <w:t>2021</w:t>
      </w:r>
      <w:r w:rsidRPr="005D1511">
        <w:rPr>
          <w:sz w:val="16"/>
          <w:szCs w:val="16"/>
        </w:rPr>
        <w:t xml:space="preserve"> </w:t>
      </w:r>
      <w:r>
        <w:rPr>
          <w:sz w:val="16"/>
          <w:szCs w:val="16"/>
        </w:rPr>
        <w:t>s</w:t>
      </w:r>
      <w:r w:rsidRPr="005D1511">
        <w:rPr>
          <w:sz w:val="16"/>
          <w:szCs w:val="16"/>
        </w:rPr>
        <w:t>urvey</w:t>
      </w:r>
      <w:r>
        <w:rPr>
          <w:sz w:val="16"/>
          <w:szCs w:val="16"/>
        </w:rPr>
        <w:t xml:space="preserve">s  </w:t>
      </w:r>
      <w:r>
        <w:rPr>
          <w:sz w:val="16"/>
          <w:szCs w:val="16"/>
        </w:rPr>
        <w:tab/>
      </w:r>
      <w:r>
        <w:rPr>
          <w:sz w:val="16"/>
          <w:szCs w:val="16"/>
        </w:rPr>
        <w:tab/>
      </w:r>
      <w:r>
        <w:rPr>
          <w:sz w:val="16"/>
          <w:szCs w:val="16"/>
        </w:rPr>
        <w:tab/>
      </w:r>
      <w:r>
        <w:rPr>
          <w:sz w:val="16"/>
          <w:szCs w:val="16"/>
        </w:rPr>
        <w:tab/>
      </w:r>
      <w:r>
        <w:rPr>
          <w:sz w:val="16"/>
          <w:szCs w:val="16"/>
        </w:rPr>
        <w:tab/>
      </w:r>
    </w:p>
    <w:p w14:paraId="7D6745FE" w14:textId="371C7748" w:rsidR="00331B4F" w:rsidRPr="000966C6" w:rsidRDefault="0037399A" w:rsidP="000966C6">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lastRenderedPageBreak/>
        <w:t xml:space="preserve">Industry </w:t>
      </w:r>
      <w:r w:rsidR="00331B4F" w:rsidRPr="000966C6">
        <w:rPr>
          <w:rFonts w:ascii="Verdana" w:hAnsi="Verdana"/>
          <w:b/>
          <w:bCs/>
          <w:color w:val="0070C0"/>
          <w:sz w:val="20"/>
          <w:szCs w:val="20"/>
        </w:rPr>
        <w:t>Challenges</w:t>
      </w:r>
    </w:p>
    <w:p w14:paraId="7DF52512" w14:textId="77777777" w:rsidR="00331B4F" w:rsidRPr="00331B4F" w:rsidRDefault="00331B4F" w:rsidP="00331B4F">
      <w:pPr>
        <w:spacing w:after="0" w:line="240" w:lineRule="auto"/>
        <w:contextualSpacing/>
        <w:mirrorIndents/>
        <w:rPr>
          <w:rFonts w:ascii="Verdana" w:hAnsi="Verdana"/>
          <w:sz w:val="20"/>
          <w:szCs w:val="20"/>
        </w:rPr>
      </w:pPr>
    </w:p>
    <w:p w14:paraId="4F88F5B2" w14:textId="77777777" w:rsidR="000966C6" w:rsidRDefault="000966C6" w:rsidP="000966C6">
      <w:pPr>
        <w:pStyle w:val="NoSpacing"/>
        <w:contextualSpacing/>
        <w:mirrorIndents/>
        <w:rPr>
          <w:rFonts w:ascii="Verdana" w:hAnsi="Verdana"/>
          <w:sz w:val="20"/>
          <w:szCs w:val="20"/>
        </w:rPr>
      </w:pPr>
      <w:r>
        <w:rPr>
          <w:rFonts w:ascii="Verdana" w:hAnsi="Verdana"/>
          <w:sz w:val="20"/>
          <w:szCs w:val="20"/>
        </w:rPr>
        <w:t>A primary challenge for physicians and the entire healthcare industry that takes effect 1/1/22 is the Consolidated Appropriations Act COVID-19 relief bill, which includes the “No Surprise Act,” requiring price transparency for various medical treatments and services.</w:t>
      </w:r>
    </w:p>
    <w:p w14:paraId="36E9ED0B" w14:textId="2ABA5EAA" w:rsidR="000966C6" w:rsidRDefault="000966C6" w:rsidP="00331B4F">
      <w:pPr>
        <w:spacing w:after="0" w:line="240" w:lineRule="auto"/>
        <w:contextualSpacing/>
        <w:mirrorIndents/>
        <w:rPr>
          <w:rFonts w:ascii="Verdana" w:hAnsi="Verdana"/>
          <w:sz w:val="20"/>
          <w:szCs w:val="20"/>
        </w:rPr>
      </w:pPr>
    </w:p>
    <w:p w14:paraId="4ACE5F4C" w14:textId="70255D65" w:rsidR="000966C6" w:rsidRDefault="0037399A" w:rsidP="00331B4F">
      <w:pPr>
        <w:spacing w:after="0" w:line="240" w:lineRule="auto"/>
        <w:contextualSpacing/>
        <w:mirrorIndents/>
        <w:rPr>
          <w:rFonts w:ascii="Verdana" w:hAnsi="Verdana"/>
          <w:sz w:val="20"/>
          <w:szCs w:val="20"/>
        </w:rPr>
      </w:pPr>
      <w:r>
        <w:rPr>
          <w:rFonts w:ascii="Verdana" w:hAnsi="Verdana"/>
          <w:sz w:val="20"/>
          <w:szCs w:val="20"/>
        </w:rPr>
        <w:t xml:space="preserve">The pandemic has been the primary cause </w:t>
      </w:r>
      <w:r w:rsidR="00735854">
        <w:rPr>
          <w:rFonts w:ascii="Verdana" w:hAnsi="Verdana"/>
          <w:sz w:val="20"/>
          <w:szCs w:val="20"/>
        </w:rPr>
        <w:t xml:space="preserve">of </w:t>
      </w:r>
      <w:r>
        <w:rPr>
          <w:rFonts w:ascii="Verdana" w:hAnsi="Verdana"/>
          <w:sz w:val="20"/>
          <w:szCs w:val="20"/>
        </w:rPr>
        <w:t>18% of healthcare workers quit</w:t>
      </w:r>
      <w:r w:rsidR="00735854">
        <w:rPr>
          <w:rFonts w:ascii="Verdana" w:hAnsi="Verdana"/>
          <w:sz w:val="20"/>
          <w:szCs w:val="20"/>
        </w:rPr>
        <w:t>ting</w:t>
      </w:r>
      <w:r>
        <w:rPr>
          <w:rFonts w:ascii="Verdana" w:hAnsi="Verdana"/>
          <w:sz w:val="20"/>
          <w:szCs w:val="20"/>
        </w:rPr>
        <w:t xml:space="preserve"> their jobs, 12%</w:t>
      </w:r>
      <w:r w:rsidR="00AA4186">
        <w:rPr>
          <w:rFonts w:ascii="Verdana" w:hAnsi="Verdana"/>
          <w:sz w:val="20"/>
          <w:szCs w:val="20"/>
        </w:rPr>
        <w:t xml:space="preserve"> being</w:t>
      </w:r>
      <w:r>
        <w:rPr>
          <w:rFonts w:ascii="Verdana" w:hAnsi="Verdana"/>
          <w:sz w:val="20"/>
          <w:szCs w:val="20"/>
        </w:rPr>
        <w:t xml:space="preserve"> laid off or be</w:t>
      </w:r>
      <w:r w:rsidR="00AA4186">
        <w:rPr>
          <w:rFonts w:ascii="Verdana" w:hAnsi="Verdana"/>
          <w:sz w:val="20"/>
          <w:szCs w:val="20"/>
        </w:rPr>
        <w:t>coming</w:t>
      </w:r>
      <w:r>
        <w:rPr>
          <w:rFonts w:ascii="Verdana" w:hAnsi="Verdana"/>
          <w:sz w:val="20"/>
          <w:szCs w:val="20"/>
        </w:rPr>
        <w:t xml:space="preserve"> unemployed</w:t>
      </w:r>
      <w:r w:rsidR="003734A1">
        <w:rPr>
          <w:rFonts w:ascii="Verdana" w:hAnsi="Verdana"/>
          <w:sz w:val="20"/>
          <w:szCs w:val="20"/>
        </w:rPr>
        <w:t xml:space="preserve"> and 19% considered leaving the healthcare industry, according to a September 2021 survey from Morning Consult.</w:t>
      </w:r>
    </w:p>
    <w:p w14:paraId="3BF78F84" w14:textId="77777777" w:rsidR="000966C6" w:rsidRDefault="000966C6" w:rsidP="00331B4F">
      <w:pPr>
        <w:spacing w:after="0" w:line="240" w:lineRule="auto"/>
        <w:contextualSpacing/>
        <w:mirrorIndents/>
        <w:rPr>
          <w:rFonts w:ascii="Verdana" w:hAnsi="Verdana"/>
          <w:sz w:val="20"/>
          <w:szCs w:val="20"/>
        </w:rPr>
      </w:pPr>
    </w:p>
    <w:p w14:paraId="59793A6F" w14:textId="0C24DD72" w:rsidR="000966C6" w:rsidRDefault="003734A1" w:rsidP="00331B4F">
      <w:pPr>
        <w:spacing w:after="0" w:line="240" w:lineRule="auto"/>
        <w:contextualSpacing/>
        <w:mirrorIndents/>
        <w:rPr>
          <w:rFonts w:ascii="Verdana" w:hAnsi="Verdana"/>
          <w:sz w:val="20"/>
          <w:szCs w:val="20"/>
        </w:rPr>
      </w:pPr>
      <w:r>
        <w:rPr>
          <w:rFonts w:ascii="Verdana" w:hAnsi="Verdana"/>
          <w:sz w:val="20"/>
          <w:szCs w:val="20"/>
        </w:rPr>
        <w:t>The labor shortage is expected to continue and will be a major revenue challenge for hospitals and other healthcare facilities as replacing lost workers will cost more. Inflation, supply-chain challenges and limited payer reimbursements are also increasing costs.</w:t>
      </w:r>
    </w:p>
    <w:p w14:paraId="5C45A683" w14:textId="77777777" w:rsidR="000966C6" w:rsidRDefault="000966C6" w:rsidP="00331B4F">
      <w:pPr>
        <w:spacing w:after="0" w:line="240" w:lineRule="auto"/>
        <w:contextualSpacing/>
        <w:mirrorIndents/>
        <w:rPr>
          <w:rFonts w:ascii="Verdana" w:hAnsi="Verdana"/>
          <w:sz w:val="20"/>
          <w:szCs w:val="20"/>
        </w:rPr>
      </w:pPr>
    </w:p>
    <w:p w14:paraId="51964CA8" w14:textId="722C0DC7" w:rsidR="003734A1" w:rsidRPr="00CC1ECE" w:rsidRDefault="003734A1" w:rsidP="003734A1">
      <w:pPr>
        <w:pStyle w:val="Header"/>
        <w:contextualSpacing/>
        <w:jc w:val="center"/>
        <w:rPr>
          <w:rFonts w:ascii="Verdana" w:hAnsi="Verdana"/>
          <w:b/>
          <w:sz w:val="20"/>
          <w:szCs w:val="20"/>
        </w:rPr>
      </w:pPr>
      <w:r>
        <w:rPr>
          <w:rFonts w:ascii="Verdana" w:hAnsi="Verdana"/>
          <w:b/>
          <w:sz w:val="20"/>
          <w:szCs w:val="20"/>
        </w:rPr>
        <w:t>Top Five Industries with the Largest Percentages of Job Openings</w:t>
      </w:r>
      <w:r w:rsidR="003B5E30">
        <w:rPr>
          <w:rFonts w:ascii="Verdana" w:hAnsi="Verdana"/>
          <w:b/>
          <w:sz w:val="20"/>
          <w:szCs w:val="20"/>
        </w:rPr>
        <w:t>, October 2021</w:t>
      </w:r>
    </w:p>
    <w:tbl>
      <w:tblPr>
        <w:tblW w:w="5677" w:type="dxa"/>
        <w:jc w:val="center"/>
        <w:tblBorders>
          <w:left w:val="single" w:sz="8" w:space="0" w:color="000000"/>
          <w:right w:val="single" w:sz="8" w:space="0" w:color="000000"/>
        </w:tblBorders>
        <w:tblLayout w:type="fixed"/>
        <w:tblLook w:val="0000" w:firstRow="0" w:lastRow="0" w:firstColumn="0" w:lastColumn="0" w:noHBand="0" w:noVBand="0"/>
      </w:tblPr>
      <w:tblGrid>
        <w:gridCol w:w="4410"/>
        <w:gridCol w:w="1267"/>
      </w:tblGrid>
      <w:tr w:rsidR="003B5E30" w:rsidRPr="00CC1ECE" w14:paraId="27A53DD1" w14:textId="77777777" w:rsidTr="00735854">
        <w:trPr>
          <w:jc w:val="center"/>
        </w:trPr>
        <w:tc>
          <w:tcPr>
            <w:tcW w:w="4410"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E07B801" w14:textId="61B76F01" w:rsidR="003B5E30" w:rsidRPr="00CC1ECE" w:rsidRDefault="003B5E30" w:rsidP="0073585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Industry</w:t>
            </w:r>
          </w:p>
        </w:tc>
        <w:tc>
          <w:tcPr>
            <w:tcW w:w="1267"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676EFB22" w14:textId="361494E0" w:rsidR="003B5E30" w:rsidRDefault="003B5E30" w:rsidP="0073585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3B5E30" w:rsidRPr="00CC1ECE" w14:paraId="5E8181A0" w14:textId="77777777" w:rsidTr="00735854">
        <w:trPr>
          <w:trHeight w:val="243"/>
          <w:jc w:val="center"/>
        </w:trPr>
        <w:tc>
          <w:tcPr>
            <w:tcW w:w="441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09413513" w14:textId="59323838" w:rsidR="003B5E30" w:rsidRPr="00CC1ECE" w:rsidRDefault="003B5E30"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Accommodation and food services</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FF0000"/>
            <w:vAlign w:val="center"/>
          </w:tcPr>
          <w:p w14:paraId="29207DA9" w14:textId="4713B91E" w:rsidR="003B5E30" w:rsidRPr="00CC1ECE" w:rsidRDefault="003B5E30" w:rsidP="0073585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10.7%</w:t>
            </w:r>
          </w:p>
        </w:tc>
      </w:tr>
      <w:tr w:rsidR="003B5E30" w:rsidRPr="00CC1ECE" w14:paraId="18965247" w14:textId="77777777" w:rsidTr="00735854">
        <w:trPr>
          <w:trHeight w:val="243"/>
          <w:jc w:val="center"/>
        </w:trPr>
        <w:tc>
          <w:tcPr>
            <w:tcW w:w="441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956D109" w14:textId="3B48D2F3" w:rsidR="003B5E30" w:rsidRPr="00CC1ECE" w:rsidRDefault="003B5E30"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Transportation, warehousing and utilities</w:t>
            </w:r>
          </w:p>
        </w:tc>
        <w:tc>
          <w:tcPr>
            <w:tcW w:w="1267"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524ABF36" w14:textId="3055F8EF" w:rsidR="003B5E30" w:rsidRPr="00CC1ECE" w:rsidRDefault="003B5E30" w:rsidP="0073585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8.6%</w:t>
            </w:r>
          </w:p>
        </w:tc>
      </w:tr>
      <w:tr w:rsidR="003B5E30" w:rsidRPr="00CC1ECE" w14:paraId="37D5EB84" w14:textId="77777777" w:rsidTr="00735854">
        <w:trPr>
          <w:trHeight w:val="243"/>
          <w:jc w:val="center"/>
        </w:trPr>
        <w:tc>
          <w:tcPr>
            <w:tcW w:w="441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CD41AF8" w14:textId="55AF3EE5" w:rsidR="003B5E30" w:rsidRPr="003B5E30" w:rsidRDefault="003B5E30"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b/>
                <w:bCs/>
                <w:sz w:val="20"/>
                <w:szCs w:val="20"/>
              </w:rPr>
            </w:pPr>
            <w:r w:rsidRPr="003B5E30">
              <w:rPr>
                <w:rFonts w:ascii="Verdana" w:eastAsia="Times New Roman" w:hAnsi="Verdana"/>
                <w:b/>
                <w:bCs/>
                <w:sz w:val="20"/>
                <w:szCs w:val="20"/>
              </w:rPr>
              <w:t>Healthcare and social assistance</w:t>
            </w:r>
          </w:p>
        </w:tc>
        <w:tc>
          <w:tcPr>
            <w:tcW w:w="1267"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001B714B" w14:textId="5439A0A0" w:rsidR="003B5E30" w:rsidRPr="00CC1ECE" w:rsidRDefault="003B5E30" w:rsidP="0073585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8.3%</w:t>
            </w:r>
          </w:p>
        </w:tc>
      </w:tr>
      <w:tr w:rsidR="003B5E30" w:rsidRPr="00CC1ECE" w14:paraId="61B459F0" w14:textId="77777777" w:rsidTr="00735854">
        <w:trPr>
          <w:trHeight w:val="243"/>
          <w:jc w:val="center"/>
        </w:trPr>
        <w:tc>
          <w:tcPr>
            <w:tcW w:w="441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7C67E1C" w14:textId="4C928789" w:rsidR="003B5E30" w:rsidRPr="00CC1ECE" w:rsidRDefault="003B5E30"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Nondurable goods manufacturing</w:t>
            </w:r>
          </w:p>
        </w:tc>
        <w:tc>
          <w:tcPr>
            <w:tcW w:w="1267"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24E0DE14" w14:textId="115C8A2C" w:rsidR="003B5E30" w:rsidRPr="00CC1ECE" w:rsidRDefault="003B5E30" w:rsidP="0073585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8.2%</w:t>
            </w:r>
          </w:p>
        </w:tc>
      </w:tr>
      <w:tr w:rsidR="003B5E30" w:rsidRPr="00CC1ECE" w14:paraId="23F563E9" w14:textId="77777777" w:rsidTr="00735854">
        <w:trPr>
          <w:trHeight w:val="243"/>
          <w:jc w:val="center"/>
        </w:trPr>
        <w:tc>
          <w:tcPr>
            <w:tcW w:w="441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59DF25EA" w14:textId="1B842601" w:rsidR="003B5E30" w:rsidRPr="00CC1ECE" w:rsidRDefault="003B5E30"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Professional and business services</w:t>
            </w:r>
          </w:p>
        </w:tc>
        <w:tc>
          <w:tcPr>
            <w:tcW w:w="1267" w:type="dxa"/>
            <w:tcBorders>
              <w:top w:val="single" w:sz="4" w:space="0" w:color="000000"/>
              <w:left w:val="single" w:sz="8" w:space="0" w:color="0070C0"/>
              <w:bottom w:val="single" w:sz="12" w:space="0" w:color="000000"/>
              <w:right w:val="single" w:sz="12" w:space="0" w:color="auto"/>
            </w:tcBorders>
            <w:shd w:val="clear" w:color="auto" w:fill="E5B8B7" w:themeFill="accent2" w:themeFillTint="66"/>
            <w:vAlign w:val="center"/>
          </w:tcPr>
          <w:p w14:paraId="5DE13685" w14:textId="00757451" w:rsidR="003B5E30" w:rsidRPr="00CC1ECE" w:rsidRDefault="003B5E30" w:rsidP="0073585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7.9%</w:t>
            </w:r>
          </w:p>
        </w:tc>
      </w:tr>
    </w:tbl>
    <w:p w14:paraId="044BE5E4" w14:textId="15629D13" w:rsidR="000966C6" w:rsidRDefault="003734A1" w:rsidP="003B5E30">
      <w:pPr>
        <w:tabs>
          <w:tab w:val="left" w:pos="1890"/>
        </w:tabs>
        <w:spacing w:after="0" w:line="240" w:lineRule="auto"/>
        <w:contextualSpacing/>
        <w:mirrorIndents/>
        <w:rPr>
          <w:rFonts w:ascii="Verdana" w:hAnsi="Verdana"/>
          <w:sz w:val="20"/>
          <w:szCs w:val="20"/>
        </w:rPr>
      </w:pPr>
      <w:r>
        <w:rPr>
          <w:rFonts w:ascii="Verdana" w:hAnsi="Verdana"/>
          <w:sz w:val="16"/>
          <w:szCs w:val="16"/>
        </w:rPr>
        <w:tab/>
        <w:t xml:space="preserve">Bureau of </w:t>
      </w:r>
      <w:r w:rsidR="003B5E30">
        <w:rPr>
          <w:rFonts w:ascii="Verdana" w:hAnsi="Verdana"/>
          <w:sz w:val="16"/>
          <w:szCs w:val="16"/>
        </w:rPr>
        <w:t>Labor Statistics</w:t>
      </w:r>
      <w:r w:rsidRPr="00CC1ECE">
        <w:rPr>
          <w:rFonts w:ascii="Verdana" w:hAnsi="Verdana"/>
          <w:sz w:val="16"/>
          <w:szCs w:val="16"/>
        </w:rPr>
        <w:t xml:space="preserve">, </w:t>
      </w:r>
      <w:r>
        <w:rPr>
          <w:rFonts w:ascii="Verdana" w:hAnsi="Verdana"/>
          <w:sz w:val="16"/>
          <w:szCs w:val="16"/>
        </w:rPr>
        <w:t>December 2021</w:t>
      </w:r>
    </w:p>
    <w:p w14:paraId="31B280E8" w14:textId="77777777" w:rsidR="000966C6" w:rsidRDefault="000966C6" w:rsidP="00331B4F">
      <w:pPr>
        <w:spacing w:after="0" w:line="240" w:lineRule="auto"/>
        <w:contextualSpacing/>
        <w:mirrorIndents/>
        <w:rPr>
          <w:rFonts w:ascii="Verdana" w:hAnsi="Verdana"/>
          <w:sz w:val="20"/>
          <w:szCs w:val="20"/>
        </w:rPr>
      </w:pPr>
    </w:p>
    <w:p w14:paraId="409C10DC" w14:textId="70C49E07" w:rsidR="00331B4F" w:rsidRPr="00080CA3" w:rsidRDefault="00331B4F" w:rsidP="00080CA3">
      <w:pPr>
        <w:spacing w:after="0" w:line="240" w:lineRule="auto"/>
        <w:contextualSpacing/>
        <w:mirrorIndents/>
        <w:jc w:val="center"/>
        <w:rPr>
          <w:rFonts w:ascii="Verdana" w:hAnsi="Verdana"/>
          <w:b/>
          <w:bCs/>
          <w:color w:val="0070C0"/>
          <w:sz w:val="20"/>
          <w:szCs w:val="20"/>
        </w:rPr>
      </w:pPr>
      <w:r w:rsidRPr="00080CA3">
        <w:rPr>
          <w:rFonts w:ascii="Verdana" w:hAnsi="Verdana"/>
          <w:b/>
          <w:bCs/>
          <w:color w:val="0070C0"/>
          <w:sz w:val="20"/>
          <w:szCs w:val="20"/>
        </w:rPr>
        <w:t>Healthcare</w:t>
      </w:r>
      <w:r w:rsidR="00735854">
        <w:rPr>
          <w:rFonts w:ascii="Verdana" w:hAnsi="Verdana"/>
          <w:b/>
          <w:bCs/>
          <w:color w:val="0070C0"/>
          <w:sz w:val="20"/>
          <w:szCs w:val="20"/>
        </w:rPr>
        <w:t xml:space="preserve"> Trends</w:t>
      </w:r>
      <w:r w:rsidRPr="00080CA3">
        <w:rPr>
          <w:rFonts w:ascii="Verdana" w:hAnsi="Verdana"/>
          <w:b/>
          <w:bCs/>
          <w:color w:val="0070C0"/>
          <w:sz w:val="20"/>
          <w:szCs w:val="20"/>
        </w:rPr>
        <w:t xml:space="preserve"> in the New Year</w:t>
      </w:r>
    </w:p>
    <w:p w14:paraId="6F7D6AF1" w14:textId="77777777" w:rsidR="00331B4F" w:rsidRPr="00331B4F" w:rsidRDefault="00331B4F" w:rsidP="00331B4F">
      <w:pPr>
        <w:pStyle w:val="NoSpacing"/>
        <w:contextualSpacing/>
        <w:mirrorIndents/>
        <w:rPr>
          <w:rFonts w:ascii="Verdana" w:hAnsi="Verdana"/>
          <w:sz w:val="20"/>
          <w:szCs w:val="20"/>
        </w:rPr>
      </w:pPr>
    </w:p>
    <w:p w14:paraId="23D2BAA2" w14:textId="1C3E98B5" w:rsidR="00F94CE8" w:rsidRDefault="00A50664" w:rsidP="00331B4F">
      <w:pPr>
        <w:pStyle w:val="NoSpacing"/>
        <w:contextualSpacing/>
        <w:mirrorIndents/>
        <w:rPr>
          <w:rFonts w:ascii="Verdana" w:hAnsi="Verdana"/>
          <w:sz w:val="20"/>
          <w:szCs w:val="20"/>
        </w:rPr>
      </w:pPr>
      <w:r>
        <w:rPr>
          <w:rFonts w:ascii="Verdana" w:hAnsi="Verdana"/>
          <w:sz w:val="20"/>
          <w:szCs w:val="20"/>
        </w:rPr>
        <w:t>According to a December 2021 Fierce Healthcare article, investments in and expansion of retail healthcare is a major 2022 trend</w:t>
      </w:r>
      <w:r w:rsidR="00735854">
        <w:rPr>
          <w:rFonts w:ascii="Verdana" w:hAnsi="Verdana"/>
          <w:sz w:val="20"/>
          <w:szCs w:val="20"/>
        </w:rPr>
        <w:t xml:space="preserve">. </w:t>
      </w:r>
      <w:r>
        <w:rPr>
          <w:rFonts w:ascii="Verdana" w:hAnsi="Verdana"/>
          <w:sz w:val="20"/>
          <w:szCs w:val="20"/>
        </w:rPr>
        <w:t xml:space="preserve">Walmart, Amazon, CVS and Walgreens will offer more “primary care” and other consumer healthcare services. </w:t>
      </w:r>
    </w:p>
    <w:p w14:paraId="11CE7415" w14:textId="384802F3" w:rsidR="00A50664" w:rsidRDefault="00A50664" w:rsidP="00331B4F">
      <w:pPr>
        <w:pStyle w:val="NoSpacing"/>
        <w:contextualSpacing/>
        <w:mirrorIndents/>
        <w:rPr>
          <w:rFonts w:ascii="Verdana" w:hAnsi="Verdana"/>
          <w:sz w:val="20"/>
          <w:szCs w:val="20"/>
        </w:rPr>
      </w:pPr>
    </w:p>
    <w:p w14:paraId="3DA5FC65" w14:textId="486858A3" w:rsidR="00A50664" w:rsidRDefault="00A50664" w:rsidP="00331B4F">
      <w:pPr>
        <w:pStyle w:val="NoSpacing"/>
        <w:contextualSpacing/>
        <w:mirrorIndents/>
        <w:rPr>
          <w:rFonts w:ascii="Verdana" w:hAnsi="Verdana"/>
          <w:sz w:val="20"/>
          <w:szCs w:val="20"/>
        </w:rPr>
      </w:pPr>
      <w:r>
        <w:rPr>
          <w:rFonts w:ascii="Verdana" w:hAnsi="Verdana"/>
          <w:sz w:val="20"/>
          <w:szCs w:val="20"/>
        </w:rPr>
        <w:t>The pandemic accelerated home-based care, including the significant increase in the use of telehealth. This trend is expected to continue into 2022 and beyond, but to serve all consumers equitably, access to the Internet and digital tools</w:t>
      </w:r>
      <w:r w:rsidR="0019764B">
        <w:rPr>
          <w:rFonts w:ascii="Verdana" w:hAnsi="Verdana"/>
          <w:sz w:val="20"/>
          <w:szCs w:val="20"/>
        </w:rPr>
        <w:t xml:space="preserve"> must become widespread.</w:t>
      </w:r>
    </w:p>
    <w:p w14:paraId="661D3217" w14:textId="09178423" w:rsidR="0019764B" w:rsidRDefault="0019764B" w:rsidP="00331B4F">
      <w:pPr>
        <w:pStyle w:val="NoSpacing"/>
        <w:contextualSpacing/>
        <w:mirrorIndents/>
        <w:rPr>
          <w:rFonts w:ascii="Verdana" w:hAnsi="Verdana"/>
          <w:sz w:val="20"/>
          <w:szCs w:val="20"/>
        </w:rPr>
      </w:pPr>
    </w:p>
    <w:p w14:paraId="6634D5C7" w14:textId="14E99C11" w:rsidR="0019764B" w:rsidRDefault="00E844EB" w:rsidP="00331B4F">
      <w:pPr>
        <w:pStyle w:val="NoSpacing"/>
        <w:contextualSpacing/>
        <w:mirrorIndents/>
        <w:rPr>
          <w:rFonts w:ascii="Verdana" w:hAnsi="Verdana"/>
          <w:sz w:val="20"/>
          <w:szCs w:val="20"/>
        </w:rPr>
      </w:pPr>
      <w:r>
        <w:rPr>
          <w:rFonts w:ascii="Verdana" w:hAnsi="Verdana"/>
          <w:sz w:val="20"/>
          <w:szCs w:val="20"/>
        </w:rPr>
        <w:t>According to the NCR Health report cited on page 2, telehealth usage increased from 7.8% during 2018 to 26.9% during 2020; however, The Physicians Foundation survey found 70% of physicians said</w:t>
      </w:r>
      <w:r w:rsidR="003E634C">
        <w:rPr>
          <w:rFonts w:ascii="Verdana" w:hAnsi="Verdana"/>
          <w:sz w:val="20"/>
          <w:szCs w:val="20"/>
        </w:rPr>
        <w:t>,</w:t>
      </w:r>
      <w:r>
        <w:rPr>
          <w:rFonts w:ascii="Verdana" w:hAnsi="Verdana"/>
          <w:sz w:val="20"/>
          <w:szCs w:val="20"/>
        </w:rPr>
        <w:t xml:space="preserve"> “</w:t>
      </w:r>
      <w:r w:rsidR="003E634C">
        <w:rPr>
          <w:rFonts w:ascii="Verdana" w:hAnsi="Verdana"/>
          <w:sz w:val="20"/>
          <w:szCs w:val="20"/>
        </w:rPr>
        <w:t>U</w:t>
      </w:r>
      <w:r>
        <w:rPr>
          <w:rFonts w:ascii="Verdana" w:hAnsi="Verdana"/>
          <w:sz w:val="20"/>
          <w:szCs w:val="20"/>
        </w:rPr>
        <w:t>se of telehealth will be a regular part of my practice.”</w:t>
      </w:r>
    </w:p>
    <w:p w14:paraId="217FE1B2" w14:textId="6114F47E" w:rsidR="000966C6" w:rsidRDefault="000966C6" w:rsidP="00331B4F">
      <w:pPr>
        <w:pStyle w:val="NoSpacing"/>
        <w:contextualSpacing/>
        <w:mirrorIndents/>
        <w:rPr>
          <w:rFonts w:ascii="Verdana" w:hAnsi="Verdana"/>
          <w:sz w:val="20"/>
          <w:szCs w:val="20"/>
        </w:rPr>
      </w:pPr>
    </w:p>
    <w:p w14:paraId="571C72F0" w14:textId="106E5436" w:rsidR="003E634C" w:rsidRPr="00CC1ECE" w:rsidRDefault="003E634C" w:rsidP="003E634C">
      <w:pPr>
        <w:pStyle w:val="Header"/>
        <w:contextualSpacing/>
        <w:jc w:val="center"/>
        <w:rPr>
          <w:rFonts w:ascii="Verdana" w:hAnsi="Verdana"/>
          <w:b/>
          <w:sz w:val="20"/>
          <w:szCs w:val="20"/>
        </w:rPr>
      </w:pPr>
      <w:r>
        <w:rPr>
          <w:rFonts w:ascii="Verdana" w:hAnsi="Verdana"/>
          <w:b/>
          <w:sz w:val="20"/>
          <w:szCs w:val="20"/>
        </w:rPr>
        <w:t>Top-Funded Digital Health Investments</w:t>
      </w:r>
      <w:r w:rsidR="00807D2B">
        <w:rPr>
          <w:rFonts w:ascii="Verdana" w:hAnsi="Verdana"/>
          <w:b/>
          <w:sz w:val="20"/>
          <w:szCs w:val="20"/>
        </w:rPr>
        <w:t>, by Type</w:t>
      </w:r>
      <w:r>
        <w:rPr>
          <w:rFonts w:ascii="Verdana" w:hAnsi="Verdana"/>
          <w:b/>
          <w:sz w:val="20"/>
          <w:szCs w:val="20"/>
        </w:rPr>
        <w:t xml:space="preserve">, </w:t>
      </w:r>
      <w:r w:rsidR="00807D2B">
        <w:rPr>
          <w:rFonts w:ascii="Verdana" w:hAnsi="Verdana"/>
          <w:b/>
          <w:sz w:val="20"/>
          <w:szCs w:val="20"/>
        </w:rPr>
        <w:t xml:space="preserve">2018–Q1–Q3 </w:t>
      </w:r>
      <w:r>
        <w:rPr>
          <w:rFonts w:ascii="Verdana" w:hAnsi="Verdana"/>
          <w:b/>
          <w:sz w:val="20"/>
          <w:szCs w:val="20"/>
        </w:rPr>
        <w:t>2021</w:t>
      </w:r>
    </w:p>
    <w:tbl>
      <w:tblPr>
        <w:tblW w:w="8205" w:type="dxa"/>
        <w:jc w:val="center"/>
        <w:tblBorders>
          <w:left w:val="single" w:sz="8" w:space="0" w:color="000000"/>
          <w:right w:val="single" w:sz="8" w:space="0" w:color="000000"/>
        </w:tblBorders>
        <w:tblLayout w:type="fixed"/>
        <w:tblLook w:val="0000" w:firstRow="0" w:lastRow="0" w:firstColumn="0" w:lastColumn="0" w:noHBand="0" w:noVBand="0"/>
      </w:tblPr>
      <w:tblGrid>
        <w:gridCol w:w="3285"/>
        <w:gridCol w:w="1230"/>
        <w:gridCol w:w="1230"/>
        <w:gridCol w:w="1230"/>
        <w:gridCol w:w="1230"/>
      </w:tblGrid>
      <w:tr w:rsidR="003E634C" w:rsidRPr="00CC1ECE" w14:paraId="3E690585" w14:textId="77777777" w:rsidTr="00C46D46">
        <w:trPr>
          <w:jc w:val="center"/>
        </w:trPr>
        <w:tc>
          <w:tcPr>
            <w:tcW w:w="3285" w:type="dxa"/>
            <w:tcBorders>
              <w:top w:val="single" w:sz="12" w:space="0" w:color="000000"/>
              <w:left w:val="single" w:sz="12" w:space="0" w:color="000000"/>
              <w:bottom w:val="single" w:sz="18" w:space="0" w:color="C0504D" w:themeColor="accent2"/>
              <w:right w:val="single" w:sz="18" w:space="0" w:color="0070C0"/>
            </w:tcBorders>
            <w:vAlign w:val="center"/>
          </w:tcPr>
          <w:p w14:paraId="797249A2" w14:textId="5E0F2FD7" w:rsidR="003E634C" w:rsidRPr="00CC1ECE" w:rsidRDefault="00807D2B"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Type</w:t>
            </w:r>
          </w:p>
        </w:tc>
        <w:tc>
          <w:tcPr>
            <w:tcW w:w="1230" w:type="dxa"/>
            <w:tcBorders>
              <w:top w:val="single" w:sz="12" w:space="0" w:color="000000"/>
              <w:left w:val="single" w:sz="18" w:space="0" w:color="0070C0"/>
              <w:bottom w:val="single" w:sz="18" w:space="0" w:color="C0504D" w:themeColor="accent2"/>
              <w:right w:val="single" w:sz="8" w:space="0" w:color="0070C0"/>
            </w:tcBorders>
            <w:vAlign w:val="center"/>
          </w:tcPr>
          <w:p w14:paraId="307FD3FF" w14:textId="3C223016" w:rsidR="003E634C" w:rsidRPr="00CC1ECE" w:rsidRDefault="00807D2B"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2018</w:t>
            </w:r>
          </w:p>
        </w:tc>
        <w:tc>
          <w:tcPr>
            <w:tcW w:w="1230" w:type="dxa"/>
            <w:tcBorders>
              <w:top w:val="single" w:sz="12" w:space="0" w:color="000000"/>
              <w:left w:val="single" w:sz="8" w:space="0" w:color="0070C0"/>
              <w:bottom w:val="single" w:sz="18" w:space="0" w:color="C0504D" w:themeColor="accent2"/>
              <w:right w:val="single" w:sz="8" w:space="0" w:color="0070C0"/>
            </w:tcBorders>
            <w:vAlign w:val="center"/>
          </w:tcPr>
          <w:p w14:paraId="32F4B920" w14:textId="0E86B135" w:rsidR="003E634C" w:rsidRPr="00CC1ECE" w:rsidRDefault="00807D2B"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2019</w:t>
            </w:r>
          </w:p>
        </w:tc>
        <w:tc>
          <w:tcPr>
            <w:tcW w:w="1230" w:type="dxa"/>
            <w:tcBorders>
              <w:top w:val="single" w:sz="12" w:space="0" w:color="000000"/>
              <w:left w:val="single" w:sz="8" w:space="0" w:color="0070C0"/>
              <w:bottom w:val="single" w:sz="18" w:space="0" w:color="C0504D" w:themeColor="accent2"/>
              <w:right w:val="single" w:sz="8" w:space="0" w:color="0070C0"/>
            </w:tcBorders>
            <w:vAlign w:val="center"/>
          </w:tcPr>
          <w:p w14:paraId="716ED225" w14:textId="593C4693" w:rsidR="003E634C" w:rsidRPr="00CC1ECE" w:rsidRDefault="00807D2B"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2020</w:t>
            </w:r>
          </w:p>
        </w:tc>
        <w:tc>
          <w:tcPr>
            <w:tcW w:w="1230" w:type="dxa"/>
            <w:tcBorders>
              <w:top w:val="single" w:sz="12" w:space="0" w:color="000000"/>
              <w:left w:val="single" w:sz="8" w:space="0" w:color="0070C0"/>
              <w:bottom w:val="single" w:sz="18" w:space="0" w:color="C0504D" w:themeColor="accent2"/>
              <w:right w:val="single" w:sz="12" w:space="0" w:color="000000"/>
            </w:tcBorders>
            <w:vAlign w:val="center"/>
          </w:tcPr>
          <w:p w14:paraId="4380C742" w14:textId="46687F40" w:rsidR="003E634C" w:rsidRPr="00CC1ECE" w:rsidRDefault="00807D2B"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Q1</w:t>
            </w:r>
            <w:r>
              <w:rPr>
                <w:rFonts w:ascii="Verdana" w:hAnsi="Verdana"/>
                <w:sz w:val="20"/>
                <w:szCs w:val="20"/>
              </w:rPr>
              <w:t>–Q3 2021</w:t>
            </w:r>
          </w:p>
        </w:tc>
      </w:tr>
      <w:tr w:rsidR="003E634C" w:rsidRPr="00CC1ECE" w14:paraId="1442ADDD" w14:textId="77777777" w:rsidTr="00C46D46">
        <w:trPr>
          <w:trHeight w:val="243"/>
          <w:jc w:val="center"/>
        </w:trPr>
        <w:tc>
          <w:tcPr>
            <w:tcW w:w="328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5E059149" w14:textId="1855388D" w:rsidR="003E634C" w:rsidRPr="00CC1ECE" w:rsidRDefault="00807D2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Research &amp; development</w:t>
            </w:r>
          </w:p>
        </w:tc>
        <w:tc>
          <w:tcPr>
            <w:tcW w:w="1230"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16A392C9" w14:textId="495B326B" w:rsidR="003E634C" w:rsidRPr="00CC1ECE"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 B</w:t>
            </w:r>
          </w:p>
        </w:tc>
        <w:tc>
          <w:tcPr>
            <w:tcW w:w="1230" w:type="dxa"/>
            <w:tcBorders>
              <w:top w:val="single" w:sz="18" w:space="0" w:color="C0504D" w:themeColor="accent2"/>
              <w:left w:val="single" w:sz="8" w:space="0" w:color="0070C0"/>
              <w:bottom w:val="single" w:sz="4" w:space="0" w:color="000000"/>
              <w:right w:val="single" w:sz="8" w:space="0" w:color="0070C0"/>
            </w:tcBorders>
            <w:shd w:val="clear" w:color="auto" w:fill="E5B8B7" w:themeFill="accent2" w:themeFillTint="66"/>
            <w:vAlign w:val="center"/>
          </w:tcPr>
          <w:p w14:paraId="1C42E6C3" w14:textId="5079EB15" w:rsidR="003E634C" w:rsidRPr="00CC1ECE"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$711 M</w:t>
            </w:r>
          </w:p>
        </w:tc>
        <w:tc>
          <w:tcPr>
            <w:tcW w:w="1230" w:type="dxa"/>
            <w:tcBorders>
              <w:top w:val="single" w:sz="18" w:space="0" w:color="C0504D" w:themeColor="accent2"/>
              <w:left w:val="single" w:sz="8" w:space="0" w:color="0070C0"/>
              <w:bottom w:val="single" w:sz="4" w:space="0" w:color="000000"/>
              <w:right w:val="single" w:sz="8" w:space="0" w:color="0070C0"/>
            </w:tcBorders>
            <w:shd w:val="clear" w:color="auto" w:fill="C2D69B" w:themeFill="accent3" w:themeFillTint="99"/>
            <w:vAlign w:val="center"/>
          </w:tcPr>
          <w:p w14:paraId="4D9B9417" w14:textId="3FB72234" w:rsidR="003E634C" w:rsidRPr="00CC1ECE"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 B</w:t>
            </w:r>
          </w:p>
        </w:tc>
        <w:tc>
          <w:tcPr>
            <w:tcW w:w="1230" w:type="dxa"/>
            <w:tcBorders>
              <w:top w:val="single" w:sz="18" w:space="0" w:color="C0504D" w:themeColor="accent2"/>
              <w:left w:val="single" w:sz="8" w:space="0" w:color="0070C0"/>
              <w:bottom w:val="single" w:sz="4" w:space="0" w:color="000000"/>
              <w:right w:val="single" w:sz="12" w:space="0" w:color="000000"/>
            </w:tcBorders>
            <w:shd w:val="clear" w:color="auto" w:fill="00B050"/>
            <w:vAlign w:val="center"/>
          </w:tcPr>
          <w:p w14:paraId="648D1A9C" w14:textId="61C738D7" w:rsidR="003E634C" w:rsidRPr="00CC1ECE"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 B</w:t>
            </w:r>
          </w:p>
        </w:tc>
      </w:tr>
      <w:tr w:rsidR="003E634C" w:rsidRPr="00CC1ECE" w14:paraId="5A91A799" w14:textId="77777777" w:rsidTr="00C46D46">
        <w:trPr>
          <w:trHeight w:val="243"/>
          <w:jc w:val="center"/>
        </w:trPr>
        <w:tc>
          <w:tcPr>
            <w:tcW w:w="328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D14ACEF" w14:textId="6697A929" w:rsidR="003E634C" w:rsidRDefault="00807D2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On-demand healthcare</w:t>
            </w:r>
          </w:p>
        </w:tc>
        <w:tc>
          <w:tcPr>
            <w:tcW w:w="1230" w:type="dxa"/>
            <w:tcBorders>
              <w:top w:val="single" w:sz="4" w:space="0" w:color="auto"/>
              <w:left w:val="single" w:sz="18" w:space="0" w:color="0070C0"/>
              <w:bottom w:val="single" w:sz="4" w:space="0" w:color="000000"/>
              <w:right w:val="single" w:sz="8" w:space="0" w:color="0070C0"/>
            </w:tcBorders>
            <w:shd w:val="clear" w:color="auto" w:fill="auto"/>
            <w:vAlign w:val="center"/>
          </w:tcPr>
          <w:p w14:paraId="7D3B28C2" w14:textId="5C1A4188"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 B</w:t>
            </w:r>
          </w:p>
        </w:tc>
        <w:tc>
          <w:tcPr>
            <w:tcW w:w="1230"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619795CF" w14:textId="464866EE"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 B</w:t>
            </w:r>
          </w:p>
        </w:tc>
        <w:tc>
          <w:tcPr>
            <w:tcW w:w="123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0F5AFF71" w14:textId="7045DA9F"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 B</w:t>
            </w:r>
          </w:p>
        </w:tc>
        <w:tc>
          <w:tcPr>
            <w:tcW w:w="1230"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31065257" w14:textId="1204C1E7"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 B</w:t>
            </w:r>
          </w:p>
        </w:tc>
      </w:tr>
      <w:tr w:rsidR="003E634C" w:rsidRPr="00CC1ECE" w14:paraId="7F4F532B" w14:textId="77777777" w:rsidTr="00C46D46">
        <w:trPr>
          <w:trHeight w:val="243"/>
          <w:jc w:val="center"/>
        </w:trPr>
        <w:tc>
          <w:tcPr>
            <w:tcW w:w="328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3E571DA" w14:textId="2A9EDA51" w:rsidR="003E634C" w:rsidRDefault="00807D2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Treatment of disease</w:t>
            </w:r>
          </w:p>
        </w:tc>
        <w:tc>
          <w:tcPr>
            <w:tcW w:w="1230" w:type="dxa"/>
            <w:tcBorders>
              <w:top w:val="single" w:sz="4" w:space="0" w:color="auto"/>
              <w:left w:val="single" w:sz="18" w:space="0" w:color="0070C0"/>
              <w:bottom w:val="single" w:sz="4" w:space="0" w:color="000000"/>
              <w:right w:val="single" w:sz="8" w:space="0" w:color="0070C0"/>
            </w:tcBorders>
            <w:shd w:val="clear" w:color="auto" w:fill="auto"/>
            <w:vAlign w:val="center"/>
          </w:tcPr>
          <w:p w14:paraId="544D8718" w14:textId="0C2AEDF5"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$773 M</w:t>
            </w:r>
          </w:p>
        </w:tc>
        <w:tc>
          <w:tcPr>
            <w:tcW w:w="123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3D4487D3" w14:textId="0BD85342"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$903 M</w:t>
            </w:r>
          </w:p>
        </w:tc>
        <w:tc>
          <w:tcPr>
            <w:tcW w:w="123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091B76E8" w14:textId="388D2A16"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 B</w:t>
            </w:r>
          </w:p>
        </w:tc>
        <w:tc>
          <w:tcPr>
            <w:tcW w:w="1230"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7DAD602B" w14:textId="205689BE"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 B</w:t>
            </w:r>
          </w:p>
        </w:tc>
      </w:tr>
      <w:tr w:rsidR="00807D2B" w:rsidRPr="00CC1ECE" w14:paraId="7D18B103" w14:textId="77777777" w:rsidTr="00C46D46">
        <w:trPr>
          <w:trHeight w:val="243"/>
          <w:jc w:val="center"/>
        </w:trPr>
        <w:tc>
          <w:tcPr>
            <w:tcW w:w="328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E84FFE0" w14:textId="0B9E1E18" w:rsidR="00807D2B" w:rsidRDefault="00807D2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Fitness &amp; wellness</w:t>
            </w:r>
          </w:p>
        </w:tc>
        <w:tc>
          <w:tcPr>
            <w:tcW w:w="1230" w:type="dxa"/>
            <w:tcBorders>
              <w:top w:val="single" w:sz="4" w:space="0" w:color="auto"/>
              <w:left w:val="single" w:sz="18" w:space="0" w:color="0070C0"/>
              <w:bottom w:val="single" w:sz="4" w:space="0" w:color="000000"/>
              <w:right w:val="single" w:sz="8" w:space="0" w:color="0070C0"/>
            </w:tcBorders>
            <w:shd w:val="clear" w:color="auto" w:fill="auto"/>
            <w:vAlign w:val="center"/>
          </w:tcPr>
          <w:p w14:paraId="3F5907C5" w14:textId="573E077D" w:rsidR="00807D2B"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 B</w:t>
            </w:r>
          </w:p>
        </w:tc>
        <w:tc>
          <w:tcPr>
            <w:tcW w:w="1230" w:type="dxa"/>
            <w:tcBorders>
              <w:top w:val="single" w:sz="4" w:space="0" w:color="000000"/>
              <w:left w:val="single" w:sz="8" w:space="0" w:color="0070C0"/>
              <w:bottom w:val="single" w:sz="4" w:space="0" w:color="000000"/>
              <w:right w:val="single" w:sz="8" w:space="0" w:color="0070C0"/>
            </w:tcBorders>
            <w:shd w:val="clear" w:color="auto" w:fill="F2F2F2" w:themeFill="background1" w:themeFillShade="F2"/>
            <w:vAlign w:val="center"/>
          </w:tcPr>
          <w:p w14:paraId="558BF0C6" w14:textId="7FB68FB5" w:rsidR="00807D2B"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 B</w:t>
            </w:r>
          </w:p>
        </w:tc>
        <w:tc>
          <w:tcPr>
            <w:tcW w:w="123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74A0BE75" w14:textId="65EE1F21" w:rsidR="00807D2B"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 B</w:t>
            </w:r>
          </w:p>
        </w:tc>
        <w:tc>
          <w:tcPr>
            <w:tcW w:w="1230"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55B7893C" w14:textId="651C32F9" w:rsidR="00807D2B"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 B</w:t>
            </w:r>
          </w:p>
        </w:tc>
      </w:tr>
      <w:tr w:rsidR="003E634C" w:rsidRPr="00CC1ECE" w14:paraId="2A2912E9" w14:textId="77777777" w:rsidTr="00C46D46">
        <w:trPr>
          <w:trHeight w:val="243"/>
          <w:jc w:val="center"/>
        </w:trPr>
        <w:tc>
          <w:tcPr>
            <w:tcW w:w="328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1369B13" w14:textId="536DBC11" w:rsidR="003E634C" w:rsidRDefault="00807D2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Non-clinical workflow</w:t>
            </w:r>
          </w:p>
        </w:tc>
        <w:tc>
          <w:tcPr>
            <w:tcW w:w="1230" w:type="dxa"/>
            <w:tcBorders>
              <w:top w:val="single" w:sz="4" w:space="0" w:color="auto"/>
              <w:left w:val="single" w:sz="18" w:space="0" w:color="0070C0"/>
              <w:bottom w:val="single" w:sz="4" w:space="0" w:color="000000"/>
              <w:right w:val="single" w:sz="8" w:space="0" w:color="0070C0"/>
            </w:tcBorders>
            <w:shd w:val="clear" w:color="auto" w:fill="auto"/>
            <w:vAlign w:val="center"/>
          </w:tcPr>
          <w:p w14:paraId="46E7E485" w14:textId="674801AF"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$548 M</w:t>
            </w:r>
          </w:p>
        </w:tc>
        <w:tc>
          <w:tcPr>
            <w:tcW w:w="123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49369A22" w14:textId="335CE45E"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$640 M</w:t>
            </w:r>
          </w:p>
        </w:tc>
        <w:tc>
          <w:tcPr>
            <w:tcW w:w="123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4EC3DFB2" w14:textId="617F9B62"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 B</w:t>
            </w:r>
          </w:p>
        </w:tc>
        <w:tc>
          <w:tcPr>
            <w:tcW w:w="1230"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4B69853B" w14:textId="71EE4492" w:rsidR="003E634C"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 B</w:t>
            </w:r>
          </w:p>
        </w:tc>
      </w:tr>
      <w:tr w:rsidR="003E634C" w:rsidRPr="00CC1ECE" w14:paraId="4E09C35F" w14:textId="77777777" w:rsidTr="00C46D46">
        <w:trPr>
          <w:trHeight w:val="54"/>
          <w:jc w:val="center"/>
        </w:trPr>
        <w:tc>
          <w:tcPr>
            <w:tcW w:w="328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4C72C65" w14:textId="0E525442" w:rsidR="003E634C" w:rsidRPr="00CC1ECE" w:rsidRDefault="00807D2B"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Consumer health information</w:t>
            </w:r>
          </w:p>
        </w:tc>
        <w:tc>
          <w:tcPr>
            <w:tcW w:w="1230"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67FED78F" w14:textId="4067E280" w:rsidR="003E634C" w:rsidRPr="00CC1ECE"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 B</w:t>
            </w:r>
          </w:p>
        </w:tc>
        <w:tc>
          <w:tcPr>
            <w:tcW w:w="1230"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36A083FB" w14:textId="2414EABE" w:rsidR="003E634C" w:rsidRPr="00CC1ECE"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$506 M</w:t>
            </w:r>
          </w:p>
        </w:tc>
        <w:tc>
          <w:tcPr>
            <w:tcW w:w="1230"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46F417C3" w14:textId="5352A22F" w:rsidR="003E634C" w:rsidRPr="00CC1ECE"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 B</w:t>
            </w:r>
          </w:p>
        </w:tc>
        <w:tc>
          <w:tcPr>
            <w:tcW w:w="1230" w:type="dxa"/>
            <w:tcBorders>
              <w:top w:val="single" w:sz="4" w:space="0" w:color="000000"/>
              <w:left w:val="single" w:sz="8" w:space="0" w:color="0070C0"/>
              <w:bottom w:val="single" w:sz="12" w:space="0" w:color="000000"/>
              <w:right w:val="single" w:sz="12" w:space="0" w:color="000000"/>
            </w:tcBorders>
            <w:shd w:val="clear" w:color="auto" w:fill="00B050"/>
            <w:vAlign w:val="center"/>
          </w:tcPr>
          <w:p w14:paraId="1D407D0B" w14:textId="38FA5420" w:rsidR="003E634C" w:rsidRPr="00CC1ECE" w:rsidRDefault="00807D2B"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 B</w:t>
            </w:r>
          </w:p>
        </w:tc>
      </w:tr>
    </w:tbl>
    <w:p w14:paraId="6798EC13" w14:textId="2BDD1309" w:rsidR="003E634C" w:rsidRDefault="003E634C" w:rsidP="00C46D46">
      <w:pPr>
        <w:tabs>
          <w:tab w:val="left" w:pos="630"/>
        </w:tabs>
        <w:spacing w:after="0" w:line="240" w:lineRule="auto"/>
        <w:contextualSpacing/>
        <w:mirrorIndents/>
        <w:rPr>
          <w:rFonts w:ascii="Verdana" w:hAnsi="Verdana"/>
          <w:sz w:val="20"/>
          <w:szCs w:val="20"/>
        </w:rPr>
      </w:pPr>
      <w:r>
        <w:rPr>
          <w:sz w:val="16"/>
          <w:szCs w:val="16"/>
        </w:rPr>
        <w:tab/>
      </w:r>
      <w:r w:rsidR="00B96917">
        <w:rPr>
          <w:sz w:val="16"/>
          <w:szCs w:val="16"/>
        </w:rPr>
        <w:t>Rock Health</w:t>
      </w:r>
      <w:r w:rsidRPr="004A0F51">
        <w:rPr>
          <w:rFonts w:ascii="Verdana" w:hAnsi="Verdana"/>
          <w:sz w:val="16"/>
          <w:szCs w:val="16"/>
        </w:rPr>
        <w:t xml:space="preserve">, </w:t>
      </w:r>
      <w:r w:rsidR="00B96917">
        <w:rPr>
          <w:rFonts w:ascii="Verdana" w:hAnsi="Verdana"/>
          <w:sz w:val="16"/>
          <w:szCs w:val="16"/>
        </w:rPr>
        <w:t>October</w:t>
      </w:r>
      <w:r w:rsidRPr="004A0F51">
        <w:rPr>
          <w:rFonts w:ascii="Verdana" w:hAnsi="Verdana"/>
          <w:sz w:val="16"/>
          <w:szCs w:val="16"/>
        </w:rPr>
        <w:t xml:space="preserve"> 20</w:t>
      </w:r>
      <w:r>
        <w:rPr>
          <w:rFonts w:ascii="Verdana" w:hAnsi="Verdana"/>
          <w:sz w:val="16"/>
          <w:szCs w:val="16"/>
        </w:rPr>
        <w:t>21</w:t>
      </w:r>
      <w:r w:rsidR="00B96917">
        <w:rPr>
          <w:rFonts w:ascii="Verdana" w:hAnsi="Verdana"/>
          <w:sz w:val="16"/>
          <w:szCs w:val="16"/>
        </w:rPr>
        <w:tab/>
      </w:r>
      <w:r w:rsidR="00B96917">
        <w:rPr>
          <w:rFonts w:ascii="Verdana" w:hAnsi="Verdana"/>
          <w:sz w:val="16"/>
          <w:szCs w:val="16"/>
        </w:rPr>
        <w:tab/>
      </w:r>
      <w:r w:rsidR="00B96917">
        <w:rPr>
          <w:rFonts w:ascii="Verdana" w:hAnsi="Verdana"/>
          <w:sz w:val="16"/>
          <w:szCs w:val="16"/>
        </w:rPr>
        <w:tab/>
        <w:t xml:space="preserve">color represents change from </w:t>
      </w:r>
      <w:r w:rsidR="0040165C">
        <w:rPr>
          <w:rFonts w:ascii="Verdana" w:hAnsi="Verdana"/>
          <w:sz w:val="16"/>
          <w:szCs w:val="16"/>
        </w:rPr>
        <w:t xml:space="preserve">the </w:t>
      </w:r>
      <w:r w:rsidR="00B96917">
        <w:rPr>
          <w:rFonts w:ascii="Verdana" w:hAnsi="Verdana"/>
          <w:sz w:val="16"/>
          <w:szCs w:val="16"/>
        </w:rPr>
        <w:t>previous period</w:t>
      </w:r>
    </w:p>
    <w:p w14:paraId="7BF46813" w14:textId="6A49AD17" w:rsidR="003E634C" w:rsidRDefault="003E634C" w:rsidP="00331B4F">
      <w:pPr>
        <w:pStyle w:val="NoSpacing"/>
        <w:contextualSpacing/>
        <w:mirrorIndents/>
        <w:rPr>
          <w:rFonts w:ascii="Verdana" w:hAnsi="Verdana"/>
          <w:sz w:val="20"/>
          <w:szCs w:val="20"/>
        </w:rPr>
      </w:pPr>
    </w:p>
    <w:p w14:paraId="278245DD" w14:textId="4BBF0873" w:rsidR="003E634C" w:rsidRDefault="003E634C" w:rsidP="00331B4F">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3E4B20C3" w:rsidR="00F94CE8" w:rsidRDefault="00A7061A" w:rsidP="00F94CE8">
      <w:pPr>
        <w:pStyle w:val="NoSpacing"/>
        <w:contextualSpacing/>
        <w:rPr>
          <w:sz w:val="20"/>
          <w:szCs w:val="20"/>
        </w:rPr>
      </w:pPr>
      <w:r>
        <w:rPr>
          <w:sz w:val="20"/>
          <w:szCs w:val="20"/>
        </w:rPr>
        <w:t xml:space="preserve">Hospitals were </w:t>
      </w:r>
      <w:r w:rsidR="00332BD1">
        <w:rPr>
          <w:sz w:val="20"/>
          <w:szCs w:val="20"/>
        </w:rPr>
        <w:t xml:space="preserve">on </w:t>
      </w:r>
      <w:r>
        <w:rPr>
          <w:sz w:val="20"/>
          <w:szCs w:val="20"/>
        </w:rPr>
        <w:t>the frontline of the pandemic and new data and trends from Kaufman, Hall &amp; Associates’ November 2021 National Hospital Flash Report reveal how the pandemic affected hospital finances and operations.</w:t>
      </w:r>
    </w:p>
    <w:p w14:paraId="1FE816B6" w14:textId="25BBFF3D" w:rsidR="00A7061A" w:rsidRDefault="00A7061A" w:rsidP="00F94CE8">
      <w:pPr>
        <w:pStyle w:val="NoSpacing"/>
        <w:contextualSpacing/>
        <w:rPr>
          <w:sz w:val="20"/>
          <w:szCs w:val="20"/>
        </w:rPr>
      </w:pPr>
    </w:p>
    <w:p w14:paraId="383B86B3" w14:textId="6334A4AA" w:rsidR="00A7061A" w:rsidRDefault="00A7061A" w:rsidP="00A7061A">
      <w:pPr>
        <w:pStyle w:val="NoSpacing"/>
        <w:numPr>
          <w:ilvl w:val="0"/>
          <w:numId w:val="2"/>
        </w:numPr>
        <w:contextualSpacing/>
        <w:rPr>
          <w:sz w:val="20"/>
          <w:szCs w:val="20"/>
        </w:rPr>
      </w:pPr>
      <w:r>
        <w:rPr>
          <w:sz w:val="20"/>
          <w:szCs w:val="20"/>
        </w:rPr>
        <w:t>Hospital expenses have increased substantially as volumes have decreased compared to the pre-pandemic period, which resulted in a decrease in hospital margins during October 2021. The emergence of the Omicron variant could extend the trend of low or declining margins into 2022.</w:t>
      </w:r>
    </w:p>
    <w:p w14:paraId="759E0710" w14:textId="77777777" w:rsidR="00332BD1" w:rsidRDefault="00332BD1" w:rsidP="00332BD1">
      <w:pPr>
        <w:pStyle w:val="NoSpacing"/>
        <w:contextualSpacing/>
        <w:rPr>
          <w:sz w:val="20"/>
          <w:szCs w:val="20"/>
        </w:rPr>
      </w:pPr>
    </w:p>
    <w:p w14:paraId="72A9D893" w14:textId="4A81F3F0" w:rsidR="00F94CE8" w:rsidRDefault="00A171BA" w:rsidP="00A171BA">
      <w:pPr>
        <w:pStyle w:val="NoSpacing"/>
        <w:numPr>
          <w:ilvl w:val="0"/>
          <w:numId w:val="2"/>
        </w:numPr>
        <w:contextualSpacing/>
        <w:rPr>
          <w:sz w:val="20"/>
          <w:szCs w:val="20"/>
        </w:rPr>
      </w:pPr>
      <w:r>
        <w:rPr>
          <w:sz w:val="20"/>
          <w:szCs w:val="20"/>
        </w:rPr>
        <w:t>As indicated on page 6, hospitals’ labor costs have increased, however, non-labor expenses, including drugs</w:t>
      </w:r>
      <w:r w:rsidR="0040165C">
        <w:rPr>
          <w:sz w:val="20"/>
          <w:szCs w:val="20"/>
        </w:rPr>
        <w:t>,</w:t>
      </w:r>
      <w:r>
        <w:rPr>
          <w:sz w:val="20"/>
          <w:szCs w:val="20"/>
        </w:rPr>
        <w:t xml:space="preserve"> decreased during October 2021.</w:t>
      </w:r>
    </w:p>
    <w:p w14:paraId="7678133A" w14:textId="77777777" w:rsidR="00332BD1" w:rsidRDefault="00332BD1" w:rsidP="00332BD1">
      <w:pPr>
        <w:pStyle w:val="NoSpacing"/>
        <w:contextualSpacing/>
        <w:rPr>
          <w:sz w:val="20"/>
          <w:szCs w:val="20"/>
        </w:rPr>
      </w:pPr>
    </w:p>
    <w:p w14:paraId="70C572AA" w14:textId="53573A1C" w:rsidR="00A171BA" w:rsidRDefault="00A171BA" w:rsidP="00A171BA">
      <w:pPr>
        <w:pStyle w:val="NoSpacing"/>
        <w:numPr>
          <w:ilvl w:val="0"/>
          <w:numId w:val="2"/>
        </w:numPr>
        <w:contextualSpacing/>
        <w:rPr>
          <w:sz w:val="20"/>
          <w:szCs w:val="20"/>
        </w:rPr>
      </w:pPr>
      <w:r>
        <w:rPr>
          <w:sz w:val="20"/>
          <w:szCs w:val="20"/>
        </w:rPr>
        <w:t>Many hospitals have had (and continue) to limit services not related to COVID-19 treatment and care, but Kaufman, Hall concludes the October</w:t>
      </w:r>
      <w:r w:rsidR="00DD354D">
        <w:rPr>
          <w:sz w:val="20"/>
          <w:szCs w:val="20"/>
        </w:rPr>
        <w:t xml:space="preserve"> 2021</w:t>
      </w:r>
      <w:r>
        <w:rPr>
          <w:sz w:val="20"/>
          <w:szCs w:val="20"/>
        </w:rPr>
        <w:t xml:space="preserve"> increase in operating room minutes indicates more elective procedures are occurring.</w:t>
      </w:r>
    </w:p>
    <w:p w14:paraId="78E679E8" w14:textId="77777777" w:rsidR="00F94CE8" w:rsidRDefault="00F94CE8" w:rsidP="00F94CE8">
      <w:pPr>
        <w:pStyle w:val="NoSpacing"/>
        <w:contextualSpacing/>
        <w:rPr>
          <w:sz w:val="20"/>
          <w:szCs w:val="20"/>
        </w:rPr>
      </w:pPr>
    </w:p>
    <w:p w14:paraId="02FA14B0" w14:textId="48954809" w:rsidR="00A171BA" w:rsidRPr="00CC1ECE" w:rsidRDefault="00A171BA" w:rsidP="00A171BA">
      <w:pPr>
        <w:pStyle w:val="Header"/>
        <w:contextualSpacing/>
        <w:jc w:val="center"/>
        <w:rPr>
          <w:rFonts w:ascii="Verdana" w:hAnsi="Verdana"/>
          <w:b/>
          <w:sz w:val="20"/>
          <w:szCs w:val="20"/>
        </w:rPr>
      </w:pPr>
      <w:r>
        <w:rPr>
          <w:rFonts w:ascii="Verdana" w:hAnsi="Verdana"/>
          <w:b/>
          <w:sz w:val="20"/>
          <w:szCs w:val="20"/>
        </w:rPr>
        <w:t xml:space="preserve">National Hospital Results and Comparisons, </w:t>
      </w:r>
      <w:r w:rsidR="00D406D8">
        <w:rPr>
          <w:rFonts w:ascii="Verdana" w:hAnsi="Verdana"/>
          <w:b/>
          <w:sz w:val="20"/>
          <w:szCs w:val="20"/>
        </w:rPr>
        <w:t xml:space="preserve">Through </w:t>
      </w:r>
      <w:r>
        <w:rPr>
          <w:rFonts w:ascii="Verdana" w:hAnsi="Verdana"/>
          <w:b/>
          <w:sz w:val="20"/>
          <w:szCs w:val="20"/>
        </w:rPr>
        <w:t>October 2021</w:t>
      </w:r>
    </w:p>
    <w:tbl>
      <w:tblPr>
        <w:tblW w:w="6975" w:type="dxa"/>
        <w:jc w:val="center"/>
        <w:tblBorders>
          <w:left w:val="single" w:sz="8" w:space="0" w:color="000000"/>
          <w:right w:val="single" w:sz="8" w:space="0" w:color="000000"/>
        </w:tblBorders>
        <w:tblLayout w:type="fixed"/>
        <w:tblLook w:val="0000" w:firstRow="0" w:lastRow="0" w:firstColumn="0" w:lastColumn="0" w:noHBand="0" w:noVBand="0"/>
      </w:tblPr>
      <w:tblGrid>
        <w:gridCol w:w="3285"/>
        <w:gridCol w:w="1230"/>
        <w:gridCol w:w="1230"/>
        <w:gridCol w:w="1230"/>
      </w:tblGrid>
      <w:tr w:rsidR="00D406D8" w:rsidRPr="00CC1ECE" w14:paraId="7FB1FA2C" w14:textId="77777777" w:rsidTr="00D406D8">
        <w:trPr>
          <w:jc w:val="center"/>
        </w:trPr>
        <w:tc>
          <w:tcPr>
            <w:tcW w:w="3285" w:type="dxa"/>
            <w:tcBorders>
              <w:top w:val="single" w:sz="12" w:space="0" w:color="000000"/>
              <w:left w:val="single" w:sz="12" w:space="0" w:color="000000"/>
              <w:bottom w:val="single" w:sz="18" w:space="0" w:color="C0504D" w:themeColor="accent2"/>
              <w:right w:val="single" w:sz="18" w:space="0" w:color="0070C0"/>
            </w:tcBorders>
            <w:vAlign w:val="center"/>
          </w:tcPr>
          <w:p w14:paraId="4EF84DF9" w14:textId="659ABB56" w:rsidR="00D406D8" w:rsidRPr="00CC1ECE" w:rsidRDefault="00D406D8"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Metric</w:t>
            </w:r>
          </w:p>
        </w:tc>
        <w:tc>
          <w:tcPr>
            <w:tcW w:w="1230" w:type="dxa"/>
            <w:tcBorders>
              <w:top w:val="single" w:sz="12" w:space="0" w:color="000000"/>
              <w:left w:val="single" w:sz="18" w:space="0" w:color="0070C0"/>
              <w:bottom w:val="single" w:sz="18" w:space="0" w:color="C0504D" w:themeColor="accent2"/>
              <w:right w:val="single" w:sz="8" w:space="0" w:color="0070C0"/>
            </w:tcBorders>
            <w:vAlign w:val="center"/>
          </w:tcPr>
          <w:p w14:paraId="26D41F7B" w14:textId="57137E36" w:rsidR="00D406D8" w:rsidRPr="00CC1ECE" w:rsidRDefault="00D406D8"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 To Date</w:t>
            </w:r>
          </w:p>
        </w:tc>
        <w:tc>
          <w:tcPr>
            <w:tcW w:w="1230" w:type="dxa"/>
            <w:tcBorders>
              <w:top w:val="single" w:sz="12" w:space="0" w:color="000000"/>
              <w:left w:val="single" w:sz="8" w:space="0" w:color="0070C0"/>
              <w:bottom w:val="single" w:sz="18" w:space="0" w:color="C0504D" w:themeColor="accent2"/>
              <w:right w:val="single" w:sz="8" w:space="0" w:color="0070C0"/>
            </w:tcBorders>
            <w:vAlign w:val="center"/>
          </w:tcPr>
          <w:p w14:paraId="32C869E2" w14:textId="520C49A7" w:rsidR="00D406D8" w:rsidRPr="00CC1ECE" w:rsidRDefault="00D406D8"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w:t>
            </w:r>
          </w:p>
        </w:tc>
        <w:tc>
          <w:tcPr>
            <w:tcW w:w="1230" w:type="dxa"/>
            <w:tcBorders>
              <w:top w:val="single" w:sz="12" w:space="0" w:color="000000"/>
              <w:left w:val="single" w:sz="8" w:space="0" w:color="0070C0"/>
              <w:bottom w:val="single" w:sz="18" w:space="0" w:color="C0504D" w:themeColor="accent2"/>
              <w:right w:val="single" w:sz="12" w:space="0" w:color="000000"/>
            </w:tcBorders>
            <w:vAlign w:val="center"/>
          </w:tcPr>
          <w:p w14:paraId="11C64E2E" w14:textId="19C88A9E" w:rsidR="00D406D8" w:rsidRPr="00CC1ECE" w:rsidRDefault="00D406D8"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 YOY Change</w:t>
            </w:r>
          </w:p>
        </w:tc>
      </w:tr>
      <w:tr w:rsidR="00D406D8" w:rsidRPr="00CC1ECE" w14:paraId="2EE6F242" w14:textId="77777777" w:rsidTr="00F40F04">
        <w:trPr>
          <w:trHeight w:val="243"/>
          <w:jc w:val="center"/>
        </w:trPr>
        <w:tc>
          <w:tcPr>
            <w:tcW w:w="328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69D7646A" w14:textId="3ED1788C" w:rsidR="00D406D8" w:rsidRPr="00CC1ECE" w:rsidRDefault="00D406D8"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Discharges</w:t>
            </w:r>
          </w:p>
        </w:tc>
        <w:tc>
          <w:tcPr>
            <w:tcW w:w="1230"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07342F39" w14:textId="78315894" w:rsidR="00D406D8" w:rsidRPr="00CC1ECE"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p>
        </w:tc>
        <w:tc>
          <w:tcPr>
            <w:tcW w:w="1230"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780442B8" w14:textId="4A0F8534" w:rsidR="00D406D8" w:rsidRPr="00CC1ECE"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w:t>
            </w:r>
          </w:p>
        </w:tc>
        <w:tc>
          <w:tcPr>
            <w:tcW w:w="1230" w:type="dxa"/>
            <w:tcBorders>
              <w:top w:val="single" w:sz="18" w:space="0" w:color="C0504D" w:themeColor="accent2"/>
              <w:left w:val="single" w:sz="8" w:space="0" w:color="0070C0"/>
              <w:bottom w:val="single" w:sz="4" w:space="0" w:color="000000"/>
              <w:right w:val="single" w:sz="12" w:space="0" w:color="000000"/>
            </w:tcBorders>
            <w:shd w:val="clear" w:color="auto" w:fill="F2DBDB" w:themeFill="accent2" w:themeFillTint="33"/>
            <w:vAlign w:val="center"/>
          </w:tcPr>
          <w:p w14:paraId="1B2328F5" w14:textId="5D301D66" w:rsidR="00D406D8" w:rsidRPr="00CC1ECE"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w:t>
            </w:r>
          </w:p>
        </w:tc>
      </w:tr>
      <w:tr w:rsidR="00D406D8" w:rsidRPr="00CC1ECE" w14:paraId="78A60632" w14:textId="77777777" w:rsidTr="00F40F04">
        <w:trPr>
          <w:trHeight w:val="243"/>
          <w:jc w:val="center"/>
        </w:trPr>
        <w:tc>
          <w:tcPr>
            <w:tcW w:w="328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CE88ABE" w14:textId="0E31E0F6" w:rsidR="00D406D8" w:rsidRDefault="00D406D8"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Patient days</w:t>
            </w:r>
          </w:p>
        </w:tc>
        <w:tc>
          <w:tcPr>
            <w:tcW w:w="1230"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01F80C7" w14:textId="78B28E59" w:rsidR="00D406D8"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+9.7%</w:t>
            </w:r>
          </w:p>
        </w:tc>
        <w:tc>
          <w:tcPr>
            <w:tcW w:w="1230"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439C1F8B" w14:textId="07BA2AB9" w:rsidR="00D406D8"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+6.0%</w:t>
            </w:r>
          </w:p>
        </w:tc>
        <w:tc>
          <w:tcPr>
            <w:tcW w:w="1230"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130CFEF" w14:textId="10965C0F" w:rsidR="00D406D8"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+0.4%</w:t>
            </w:r>
          </w:p>
        </w:tc>
      </w:tr>
      <w:tr w:rsidR="00D406D8" w:rsidRPr="00CC1ECE" w14:paraId="348F55DD" w14:textId="77777777" w:rsidTr="00F40F04">
        <w:trPr>
          <w:trHeight w:val="243"/>
          <w:jc w:val="center"/>
        </w:trPr>
        <w:tc>
          <w:tcPr>
            <w:tcW w:w="328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8AF94D8" w14:textId="5D5E8F22" w:rsidR="00D406D8" w:rsidRDefault="00D406D8"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Average length of stay</w:t>
            </w:r>
          </w:p>
        </w:tc>
        <w:tc>
          <w:tcPr>
            <w:tcW w:w="1230"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62EE0FCA" w14:textId="7D0ECDF9" w:rsidR="00D406D8"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w:t>
            </w:r>
          </w:p>
        </w:tc>
        <w:tc>
          <w:tcPr>
            <w:tcW w:w="1230"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61E092BF" w14:textId="173CD08A" w:rsidR="00D406D8"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+4.8%</w:t>
            </w:r>
          </w:p>
        </w:tc>
        <w:tc>
          <w:tcPr>
            <w:tcW w:w="1230"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F6A8578" w14:textId="5C374717" w:rsidR="00D406D8"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+7.1%</w:t>
            </w:r>
          </w:p>
        </w:tc>
      </w:tr>
      <w:tr w:rsidR="00D406D8" w:rsidRPr="00CC1ECE" w14:paraId="7AECB8C6" w14:textId="77777777" w:rsidTr="00F40F04">
        <w:trPr>
          <w:trHeight w:val="243"/>
          <w:jc w:val="center"/>
        </w:trPr>
        <w:tc>
          <w:tcPr>
            <w:tcW w:w="328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448AE78" w14:textId="720CD15E" w:rsidR="00D406D8" w:rsidRDefault="00D406D8"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Emergency department visits</w:t>
            </w:r>
          </w:p>
        </w:tc>
        <w:tc>
          <w:tcPr>
            <w:tcW w:w="1230"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4359E046" w14:textId="31079329" w:rsidR="00D406D8"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+9.7%</w:t>
            </w:r>
          </w:p>
        </w:tc>
        <w:tc>
          <w:tcPr>
            <w:tcW w:w="1230"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69FDBD7C" w14:textId="78245C9F" w:rsidR="00D406D8"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+12.5%</w:t>
            </w:r>
          </w:p>
        </w:tc>
        <w:tc>
          <w:tcPr>
            <w:tcW w:w="1230"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34A6B7FA" w14:textId="6A99F381" w:rsidR="00D406D8"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-9.4%</w:t>
            </w:r>
          </w:p>
        </w:tc>
      </w:tr>
      <w:tr w:rsidR="00D406D8" w:rsidRPr="00CC1ECE" w14:paraId="01AB194B" w14:textId="77777777" w:rsidTr="00F40F04">
        <w:trPr>
          <w:trHeight w:val="54"/>
          <w:jc w:val="center"/>
        </w:trPr>
        <w:tc>
          <w:tcPr>
            <w:tcW w:w="328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54C6628C" w14:textId="1DCFB005" w:rsidR="00D406D8" w:rsidRPr="00CC1ECE" w:rsidRDefault="00D406D8"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Operating room minutes</w:t>
            </w:r>
          </w:p>
        </w:tc>
        <w:tc>
          <w:tcPr>
            <w:tcW w:w="1230" w:type="dxa"/>
            <w:tcBorders>
              <w:top w:val="single" w:sz="4" w:space="0" w:color="000000"/>
              <w:left w:val="single" w:sz="18" w:space="0" w:color="0070C0"/>
              <w:bottom w:val="single" w:sz="12" w:space="0" w:color="000000"/>
              <w:right w:val="single" w:sz="8" w:space="0" w:color="0070C0"/>
            </w:tcBorders>
            <w:shd w:val="clear" w:color="auto" w:fill="D6E3BC" w:themeFill="accent3" w:themeFillTint="66"/>
            <w:vAlign w:val="center"/>
          </w:tcPr>
          <w:p w14:paraId="59BF6C26" w14:textId="02CDE5F1" w:rsidR="00D406D8" w:rsidRPr="00CC1ECE"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+9.2%</w:t>
            </w:r>
          </w:p>
        </w:tc>
        <w:tc>
          <w:tcPr>
            <w:tcW w:w="1230"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1FA4DF19" w14:textId="7EE60168" w:rsidR="00D406D8" w:rsidRPr="00CC1ECE"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-6.1%</w:t>
            </w:r>
          </w:p>
        </w:tc>
        <w:tc>
          <w:tcPr>
            <w:tcW w:w="1230" w:type="dxa"/>
            <w:tcBorders>
              <w:top w:val="single" w:sz="4" w:space="0" w:color="000000"/>
              <w:left w:val="single" w:sz="8" w:space="0" w:color="0070C0"/>
              <w:bottom w:val="single" w:sz="12" w:space="0" w:color="000000"/>
              <w:right w:val="single" w:sz="12" w:space="0" w:color="000000"/>
            </w:tcBorders>
            <w:shd w:val="clear" w:color="auto" w:fill="F2DBDB" w:themeFill="accent2" w:themeFillTint="33"/>
            <w:vAlign w:val="center"/>
          </w:tcPr>
          <w:p w14:paraId="56CC9633" w14:textId="3078C3EE" w:rsidR="00D406D8" w:rsidRPr="00CC1ECE" w:rsidRDefault="00D406D8"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w:t>
            </w:r>
          </w:p>
        </w:tc>
      </w:tr>
    </w:tbl>
    <w:p w14:paraId="3CDFB8E2" w14:textId="489BC28C" w:rsidR="00F94CE8" w:rsidRPr="00F40F04" w:rsidRDefault="00A171BA" w:rsidP="00D406D8">
      <w:pPr>
        <w:pStyle w:val="NoSpacing"/>
        <w:tabs>
          <w:tab w:val="left" w:pos="1170"/>
        </w:tabs>
        <w:contextualSpacing/>
        <w:rPr>
          <w:rFonts w:ascii="Verdana" w:hAnsi="Verdana"/>
          <w:sz w:val="16"/>
          <w:szCs w:val="16"/>
        </w:rPr>
      </w:pPr>
      <w:r>
        <w:rPr>
          <w:sz w:val="16"/>
          <w:szCs w:val="16"/>
        </w:rPr>
        <w:tab/>
      </w:r>
      <w:r w:rsidR="00D406D8">
        <w:rPr>
          <w:sz w:val="16"/>
          <w:szCs w:val="16"/>
        </w:rPr>
        <w:t>Kaufman, Hall &amp; Associates</w:t>
      </w:r>
      <w:r w:rsidRPr="004A0F51">
        <w:rPr>
          <w:rFonts w:ascii="Verdana" w:hAnsi="Verdana"/>
          <w:sz w:val="16"/>
          <w:szCs w:val="16"/>
        </w:rPr>
        <w:t xml:space="preserve">, </w:t>
      </w:r>
      <w:r w:rsidR="00D406D8">
        <w:rPr>
          <w:rFonts w:ascii="Verdana" w:hAnsi="Verdana"/>
          <w:sz w:val="16"/>
          <w:szCs w:val="16"/>
        </w:rPr>
        <w:t>November</w:t>
      </w:r>
      <w:r w:rsidRPr="004A0F51">
        <w:rPr>
          <w:rFonts w:ascii="Verdana" w:hAnsi="Verdana"/>
          <w:sz w:val="16"/>
          <w:szCs w:val="16"/>
        </w:rPr>
        <w:t xml:space="preserve"> 20</w:t>
      </w:r>
      <w:r>
        <w:rPr>
          <w:rFonts w:ascii="Verdana" w:hAnsi="Verdana"/>
          <w:sz w:val="16"/>
          <w:szCs w:val="16"/>
        </w:rPr>
        <w:t>21</w:t>
      </w:r>
      <w:r>
        <w:rPr>
          <w:rFonts w:ascii="Verdana" w:hAnsi="Verdana"/>
          <w:sz w:val="16"/>
          <w:szCs w:val="16"/>
        </w:rPr>
        <w:tab/>
      </w: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23956397" w14:textId="351A5AB1" w:rsidR="003E7149" w:rsidRDefault="003E7149" w:rsidP="00F94CE8">
      <w:pPr>
        <w:pStyle w:val="NoSpacing"/>
        <w:contextualSpacing/>
        <w:rPr>
          <w:sz w:val="20"/>
          <w:szCs w:val="20"/>
        </w:rPr>
      </w:pPr>
    </w:p>
    <w:p w14:paraId="4F16130A" w14:textId="1CE53F33" w:rsidR="003E7149" w:rsidRDefault="003E7149" w:rsidP="00F94CE8">
      <w:pPr>
        <w:pStyle w:val="NoSpacing"/>
        <w:contextualSpacing/>
        <w:rPr>
          <w:sz w:val="20"/>
          <w:szCs w:val="20"/>
        </w:rPr>
      </w:pPr>
    </w:p>
    <w:p w14:paraId="18AFB285" w14:textId="77777777" w:rsidR="003E7149" w:rsidRDefault="003E7149"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247F594C" w:rsidR="00F94CE8" w:rsidRPr="003E7149" w:rsidRDefault="00F94CE8" w:rsidP="00F94CE8">
      <w:pPr>
        <w:spacing w:after="0" w:line="240" w:lineRule="auto"/>
        <w:rPr>
          <w:rFonts w:ascii="Verdana" w:hAnsi="Verdana"/>
          <w:sz w:val="16"/>
          <w:szCs w:val="16"/>
        </w:rPr>
      </w:pPr>
      <w:r w:rsidRPr="003E7149">
        <w:rPr>
          <w:rFonts w:ascii="Verdana" w:hAnsi="Verdana"/>
          <w:i/>
          <w:sz w:val="16"/>
          <w:szCs w:val="16"/>
        </w:rPr>
        <w:t>Sources:</w:t>
      </w:r>
      <w:r w:rsidRPr="003E7149">
        <w:rPr>
          <w:rFonts w:ascii="Verdana" w:hAnsi="Verdana"/>
          <w:sz w:val="16"/>
          <w:szCs w:val="16"/>
        </w:rPr>
        <w:t xml:space="preserve"> </w:t>
      </w:r>
      <w:r w:rsidR="001C5AD2" w:rsidRPr="003E7149">
        <w:rPr>
          <w:sz w:val="16"/>
          <w:szCs w:val="16"/>
        </w:rPr>
        <w:t xml:space="preserve">The Commonwealth Fund </w:t>
      </w:r>
      <w:r w:rsidRPr="003E7149">
        <w:rPr>
          <w:rFonts w:ascii="Verdana" w:hAnsi="Verdana"/>
          <w:sz w:val="16"/>
          <w:szCs w:val="16"/>
        </w:rPr>
        <w:t xml:space="preserve">Website, </w:t>
      </w:r>
      <w:r w:rsidR="00923C8D" w:rsidRPr="003E7149">
        <w:rPr>
          <w:rFonts w:ascii="Verdana" w:hAnsi="Verdana"/>
          <w:sz w:val="16"/>
          <w:szCs w:val="16"/>
        </w:rPr>
        <w:t>1</w:t>
      </w:r>
      <w:r w:rsidR="00DA1474" w:rsidRPr="003E7149">
        <w:rPr>
          <w:rFonts w:ascii="Verdana" w:hAnsi="Verdana"/>
          <w:sz w:val="16"/>
          <w:szCs w:val="16"/>
        </w:rPr>
        <w:t>2</w:t>
      </w:r>
      <w:r w:rsidR="00306D88" w:rsidRPr="003E7149">
        <w:rPr>
          <w:rFonts w:ascii="Verdana" w:hAnsi="Verdana"/>
          <w:sz w:val="16"/>
          <w:szCs w:val="16"/>
        </w:rPr>
        <w:t>/</w:t>
      </w:r>
      <w:r w:rsidR="00AE6B2A" w:rsidRPr="003E7149">
        <w:rPr>
          <w:rFonts w:ascii="Verdana" w:hAnsi="Verdana"/>
          <w:sz w:val="16"/>
          <w:szCs w:val="16"/>
        </w:rPr>
        <w:t>2</w:t>
      </w:r>
      <w:r w:rsidR="00D37649" w:rsidRPr="003E7149">
        <w:rPr>
          <w:rFonts w:ascii="Verdana" w:hAnsi="Verdana"/>
          <w:sz w:val="16"/>
          <w:szCs w:val="16"/>
        </w:rPr>
        <w:t>1</w:t>
      </w:r>
      <w:r w:rsidRPr="003E7149">
        <w:rPr>
          <w:rFonts w:ascii="Verdana" w:hAnsi="Verdana"/>
          <w:sz w:val="16"/>
          <w:szCs w:val="16"/>
        </w:rPr>
        <w:t xml:space="preserve">; </w:t>
      </w:r>
      <w:r w:rsidR="001C5AD2" w:rsidRPr="003E7149">
        <w:rPr>
          <w:sz w:val="16"/>
          <w:szCs w:val="16"/>
        </w:rPr>
        <w:t xml:space="preserve">Centers for Medicare &amp; Medicaid Services </w:t>
      </w:r>
      <w:r w:rsidRPr="003E7149">
        <w:rPr>
          <w:rFonts w:ascii="Verdana" w:hAnsi="Verdana"/>
          <w:sz w:val="16"/>
          <w:szCs w:val="16"/>
        </w:rPr>
        <w:t xml:space="preserve">Website, </w:t>
      </w:r>
      <w:r w:rsidR="00923C8D" w:rsidRPr="003E7149">
        <w:rPr>
          <w:rFonts w:ascii="Verdana" w:hAnsi="Verdana"/>
          <w:sz w:val="16"/>
          <w:szCs w:val="16"/>
        </w:rPr>
        <w:t>1</w:t>
      </w:r>
      <w:r w:rsidR="00DA1474" w:rsidRPr="003E7149">
        <w:rPr>
          <w:rFonts w:ascii="Verdana" w:hAnsi="Verdana"/>
          <w:sz w:val="16"/>
          <w:szCs w:val="16"/>
        </w:rPr>
        <w:t>2</w:t>
      </w:r>
      <w:r w:rsidR="004E421A" w:rsidRPr="003E7149">
        <w:rPr>
          <w:rFonts w:ascii="Verdana" w:hAnsi="Verdana"/>
          <w:sz w:val="16"/>
          <w:szCs w:val="16"/>
        </w:rPr>
        <w:t>/</w:t>
      </w:r>
      <w:r w:rsidR="00AE6B2A" w:rsidRPr="003E7149">
        <w:rPr>
          <w:rFonts w:ascii="Verdana" w:hAnsi="Verdana"/>
          <w:sz w:val="16"/>
          <w:szCs w:val="16"/>
        </w:rPr>
        <w:t>2</w:t>
      </w:r>
      <w:r w:rsidR="00D37649" w:rsidRPr="003E7149">
        <w:rPr>
          <w:rFonts w:ascii="Verdana" w:hAnsi="Verdana"/>
          <w:sz w:val="16"/>
          <w:szCs w:val="16"/>
        </w:rPr>
        <w:t>1</w:t>
      </w:r>
      <w:r w:rsidRPr="003E7149">
        <w:rPr>
          <w:rFonts w:ascii="Verdana" w:hAnsi="Verdana"/>
          <w:sz w:val="16"/>
          <w:szCs w:val="16"/>
        </w:rPr>
        <w:t xml:space="preserve">; </w:t>
      </w:r>
      <w:r w:rsidR="001C5AD2" w:rsidRPr="003E7149">
        <w:rPr>
          <w:sz w:val="16"/>
          <w:szCs w:val="16"/>
        </w:rPr>
        <w:t>Gallup</w:t>
      </w:r>
      <w:r w:rsidR="001C5AD2" w:rsidRPr="003E7149">
        <w:rPr>
          <w:rFonts w:ascii="Verdana" w:hAnsi="Verdana"/>
          <w:sz w:val="16"/>
          <w:szCs w:val="16"/>
        </w:rPr>
        <w:t xml:space="preserve"> </w:t>
      </w:r>
      <w:r w:rsidRPr="003E7149">
        <w:rPr>
          <w:rFonts w:ascii="Verdana" w:hAnsi="Verdana"/>
          <w:sz w:val="16"/>
          <w:szCs w:val="16"/>
        </w:rPr>
        <w:t>Website</w:t>
      </w:r>
      <w:r w:rsidR="00A00453" w:rsidRPr="003E7149">
        <w:rPr>
          <w:rFonts w:ascii="Verdana" w:hAnsi="Verdana"/>
          <w:sz w:val="16"/>
          <w:szCs w:val="16"/>
        </w:rPr>
        <w:t xml:space="preserve">, </w:t>
      </w:r>
      <w:r w:rsidR="00923C8D" w:rsidRPr="003E7149">
        <w:rPr>
          <w:rFonts w:ascii="Verdana" w:hAnsi="Verdana"/>
          <w:sz w:val="16"/>
          <w:szCs w:val="16"/>
        </w:rPr>
        <w:t>1</w:t>
      </w:r>
      <w:r w:rsidR="00DA1474" w:rsidRPr="003E7149">
        <w:rPr>
          <w:rFonts w:ascii="Verdana" w:hAnsi="Verdana"/>
          <w:sz w:val="16"/>
          <w:szCs w:val="16"/>
        </w:rPr>
        <w:t>2</w:t>
      </w:r>
      <w:r w:rsidR="00306D88" w:rsidRPr="003E7149">
        <w:rPr>
          <w:rFonts w:ascii="Verdana" w:hAnsi="Verdana"/>
          <w:sz w:val="16"/>
          <w:szCs w:val="16"/>
        </w:rPr>
        <w:t>/</w:t>
      </w:r>
      <w:r w:rsidR="00AE6B2A" w:rsidRPr="003E7149">
        <w:rPr>
          <w:rFonts w:ascii="Verdana" w:hAnsi="Verdana"/>
          <w:sz w:val="16"/>
          <w:szCs w:val="16"/>
        </w:rPr>
        <w:t>2</w:t>
      </w:r>
      <w:r w:rsidR="00D37649" w:rsidRPr="003E7149">
        <w:rPr>
          <w:rFonts w:ascii="Verdana" w:hAnsi="Verdana"/>
          <w:sz w:val="16"/>
          <w:szCs w:val="16"/>
        </w:rPr>
        <w:t>1</w:t>
      </w:r>
      <w:r w:rsidR="003E7149">
        <w:rPr>
          <w:rFonts w:ascii="Verdana" w:hAnsi="Verdana"/>
          <w:sz w:val="16"/>
          <w:szCs w:val="16"/>
        </w:rPr>
        <w:t>;</w:t>
      </w:r>
      <w:r w:rsidR="001C5AD2" w:rsidRPr="003E7149">
        <w:rPr>
          <w:rFonts w:ascii="Verdana" w:hAnsi="Verdana"/>
          <w:sz w:val="16"/>
          <w:szCs w:val="16"/>
        </w:rPr>
        <w:t xml:space="preserve"> </w:t>
      </w:r>
      <w:r w:rsidR="001C5AD2" w:rsidRPr="003E7149">
        <w:rPr>
          <w:sz w:val="16"/>
          <w:szCs w:val="16"/>
        </w:rPr>
        <w:t>NBC News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Kaiser Family Foundation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NCR Health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The Physicians Foundation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Centers for Disease Control and Prevention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American Psychological Association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The Cleveland Clinic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The Media Audit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American Medical Association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Morning Consult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Health Leaders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Bureau of Labor Statistics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Fierce Health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Rock Health Website</w:t>
      </w:r>
      <w:r w:rsidR="003E7149" w:rsidRPr="003E7149">
        <w:rPr>
          <w:rFonts w:ascii="Verdana" w:hAnsi="Verdana"/>
          <w:sz w:val="16"/>
          <w:szCs w:val="16"/>
        </w:rPr>
        <w:t>, 12/21</w:t>
      </w:r>
      <w:r w:rsidR="003E7149">
        <w:rPr>
          <w:rFonts w:ascii="Verdana" w:hAnsi="Verdana"/>
          <w:sz w:val="16"/>
          <w:szCs w:val="16"/>
        </w:rPr>
        <w:t>;</w:t>
      </w:r>
      <w:r w:rsidR="001C5AD2" w:rsidRPr="003E7149">
        <w:rPr>
          <w:sz w:val="16"/>
          <w:szCs w:val="16"/>
        </w:rPr>
        <w:t xml:space="preserve"> </w:t>
      </w:r>
      <w:r w:rsidR="003E7149" w:rsidRPr="003E7149">
        <w:rPr>
          <w:sz w:val="16"/>
          <w:szCs w:val="16"/>
        </w:rPr>
        <w:t>Kaufman, Hall &amp; Associates Website</w:t>
      </w:r>
      <w:r w:rsidR="003E7149">
        <w:rPr>
          <w:sz w:val="16"/>
          <w:szCs w:val="16"/>
        </w:rPr>
        <w:t>, 12/21.</w:t>
      </w:r>
    </w:p>
    <w:p w14:paraId="7EF64BA4" w14:textId="77777777" w:rsidR="00F94CE8" w:rsidRPr="00690E6A" w:rsidRDefault="00F94CE8" w:rsidP="00F94CE8">
      <w:pPr>
        <w:spacing w:after="0" w:line="240" w:lineRule="auto"/>
        <w:rPr>
          <w:rFonts w:ascii="Verdana" w:hAnsi="Verdana"/>
          <w:sz w:val="16"/>
        </w:rPr>
      </w:pPr>
    </w:p>
    <w:p w14:paraId="49C0D793" w14:textId="1DEE2B5B"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DA1474">
        <w:rPr>
          <w:rFonts w:ascii="Verdana" w:hAnsi="Verdana"/>
          <w:sz w:val="16"/>
        </w:rPr>
        <w:t>Dec</w:t>
      </w:r>
      <w:r w:rsidR="009A3728">
        <w:rPr>
          <w:rFonts w:ascii="Verdana" w:hAnsi="Verdana"/>
          <w:sz w:val="16"/>
        </w:rPr>
        <w:t>em</w:t>
      </w:r>
      <w:r w:rsidR="001A05E7">
        <w:rPr>
          <w:rFonts w:ascii="Verdana" w:hAnsi="Verdana"/>
          <w:sz w:val="16"/>
        </w:rPr>
        <w:t>ber</w:t>
      </w:r>
      <w:r w:rsidR="00D37649">
        <w:rPr>
          <w:rFonts w:ascii="Verdana" w:hAnsi="Verdana"/>
          <w:sz w:val="16"/>
        </w:rPr>
        <w:t xml:space="preserve"> 2021</w:t>
      </w:r>
    </w:p>
    <w:p w14:paraId="061B0C21" w14:textId="77777777" w:rsidR="00F94CE8" w:rsidRDefault="00F94CE8" w:rsidP="00F94CE8">
      <w:pPr>
        <w:pStyle w:val="NoSpacing"/>
        <w:contextualSpacing/>
        <w:rPr>
          <w:sz w:val="20"/>
          <w:szCs w:val="20"/>
        </w:rPr>
      </w:pPr>
    </w:p>
    <w:p w14:paraId="56AD0CC7" w14:textId="0D404BCA"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D37649">
        <w:rPr>
          <w:sz w:val="16"/>
          <w:szCs w:val="16"/>
        </w:rPr>
        <w:t>1</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25DF" w14:textId="77777777" w:rsidR="00885084" w:rsidRDefault="00885084" w:rsidP="00260DE9">
      <w:pPr>
        <w:spacing w:after="0" w:line="240" w:lineRule="auto"/>
      </w:pPr>
      <w:r>
        <w:separator/>
      </w:r>
    </w:p>
  </w:endnote>
  <w:endnote w:type="continuationSeparator" w:id="0">
    <w:p w14:paraId="6EBBD321" w14:textId="77777777" w:rsidR="00885084" w:rsidRDefault="00885084"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D7EC" w14:textId="77777777" w:rsidR="00885084" w:rsidRDefault="00885084" w:rsidP="00260DE9">
      <w:pPr>
        <w:spacing w:after="0" w:line="240" w:lineRule="auto"/>
      </w:pPr>
      <w:r>
        <w:separator/>
      </w:r>
    </w:p>
  </w:footnote>
  <w:footnote w:type="continuationSeparator" w:id="0">
    <w:p w14:paraId="5674E873" w14:textId="77777777" w:rsidR="00885084" w:rsidRDefault="00885084"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AA6EF6"/>
    <w:multiLevelType w:val="hybridMultilevel"/>
    <w:tmpl w:val="550E8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7D6"/>
    <w:rsid w:val="0007198D"/>
    <w:rsid w:val="00074B14"/>
    <w:rsid w:val="00080CA3"/>
    <w:rsid w:val="000830D7"/>
    <w:rsid w:val="000846BC"/>
    <w:rsid w:val="000966C6"/>
    <w:rsid w:val="000B742D"/>
    <w:rsid w:val="000C4B96"/>
    <w:rsid w:val="000C7821"/>
    <w:rsid w:val="000D2F3A"/>
    <w:rsid w:val="000D7C07"/>
    <w:rsid w:val="000E41FD"/>
    <w:rsid w:val="000E4D77"/>
    <w:rsid w:val="000E697B"/>
    <w:rsid w:val="000F71DC"/>
    <w:rsid w:val="001104A6"/>
    <w:rsid w:val="00112A85"/>
    <w:rsid w:val="0012010F"/>
    <w:rsid w:val="00132BF2"/>
    <w:rsid w:val="00142DEE"/>
    <w:rsid w:val="00147175"/>
    <w:rsid w:val="001531C2"/>
    <w:rsid w:val="00154344"/>
    <w:rsid w:val="00160474"/>
    <w:rsid w:val="00161442"/>
    <w:rsid w:val="0016492E"/>
    <w:rsid w:val="00177D0F"/>
    <w:rsid w:val="001919C2"/>
    <w:rsid w:val="0019764B"/>
    <w:rsid w:val="001A05E7"/>
    <w:rsid w:val="001B64B0"/>
    <w:rsid w:val="001C5AD2"/>
    <w:rsid w:val="001E09F0"/>
    <w:rsid w:val="001F5DFA"/>
    <w:rsid w:val="002014E0"/>
    <w:rsid w:val="002100A0"/>
    <w:rsid w:val="0021167A"/>
    <w:rsid w:val="00221853"/>
    <w:rsid w:val="00241CD6"/>
    <w:rsid w:val="00260DE9"/>
    <w:rsid w:val="00294474"/>
    <w:rsid w:val="002A4A73"/>
    <w:rsid w:val="002A6286"/>
    <w:rsid w:val="002A639A"/>
    <w:rsid w:val="002B0BCF"/>
    <w:rsid w:val="002B3E1A"/>
    <w:rsid w:val="002B428E"/>
    <w:rsid w:val="002D2331"/>
    <w:rsid w:val="002E1F38"/>
    <w:rsid w:val="002E4D76"/>
    <w:rsid w:val="002E6C2D"/>
    <w:rsid w:val="002F0AEE"/>
    <w:rsid w:val="00306D88"/>
    <w:rsid w:val="00327C87"/>
    <w:rsid w:val="00330B43"/>
    <w:rsid w:val="00331B4F"/>
    <w:rsid w:val="00332BD1"/>
    <w:rsid w:val="00344FBB"/>
    <w:rsid w:val="00346020"/>
    <w:rsid w:val="003476D9"/>
    <w:rsid w:val="003630CD"/>
    <w:rsid w:val="003734A1"/>
    <w:rsid w:val="0037399A"/>
    <w:rsid w:val="0038459A"/>
    <w:rsid w:val="003A54AB"/>
    <w:rsid w:val="003B417B"/>
    <w:rsid w:val="003B5E30"/>
    <w:rsid w:val="003C15ED"/>
    <w:rsid w:val="003D6958"/>
    <w:rsid w:val="003E2E9B"/>
    <w:rsid w:val="003E634C"/>
    <w:rsid w:val="003E7149"/>
    <w:rsid w:val="003F0FE1"/>
    <w:rsid w:val="003F79CE"/>
    <w:rsid w:val="00400606"/>
    <w:rsid w:val="0040165C"/>
    <w:rsid w:val="00412473"/>
    <w:rsid w:val="004217CF"/>
    <w:rsid w:val="00422A36"/>
    <w:rsid w:val="00424E79"/>
    <w:rsid w:val="00432903"/>
    <w:rsid w:val="0045212B"/>
    <w:rsid w:val="0046193A"/>
    <w:rsid w:val="0048482F"/>
    <w:rsid w:val="00493426"/>
    <w:rsid w:val="004938FA"/>
    <w:rsid w:val="00494CA5"/>
    <w:rsid w:val="004D4671"/>
    <w:rsid w:val="004E421A"/>
    <w:rsid w:val="004F7F58"/>
    <w:rsid w:val="0050254D"/>
    <w:rsid w:val="00512415"/>
    <w:rsid w:val="00520014"/>
    <w:rsid w:val="0053701F"/>
    <w:rsid w:val="00557151"/>
    <w:rsid w:val="0056258A"/>
    <w:rsid w:val="0057012D"/>
    <w:rsid w:val="00571D6A"/>
    <w:rsid w:val="00592462"/>
    <w:rsid w:val="00593E6B"/>
    <w:rsid w:val="00596832"/>
    <w:rsid w:val="005B77A3"/>
    <w:rsid w:val="005C3BA5"/>
    <w:rsid w:val="00600CFD"/>
    <w:rsid w:val="00601F2D"/>
    <w:rsid w:val="0062362E"/>
    <w:rsid w:val="00635FF3"/>
    <w:rsid w:val="00637CB9"/>
    <w:rsid w:val="006427A5"/>
    <w:rsid w:val="00646228"/>
    <w:rsid w:val="006557DC"/>
    <w:rsid w:val="00657B52"/>
    <w:rsid w:val="0067102D"/>
    <w:rsid w:val="0068770F"/>
    <w:rsid w:val="0069436D"/>
    <w:rsid w:val="006A21B8"/>
    <w:rsid w:val="006B2BFC"/>
    <w:rsid w:val="006B3A10"/>
    <w:rsid w:val="006D1053"/>
    <w:rsid w:val="006D2B9C"/>
    <w:rsid w:val="006E6275"/>
    <w:rsid w:val="006F540A"/>
    <w:rsid w:val="00702E11"/>
    <w:rsid w:val="00707104"/>
    <w:rsid w:val="007112CF"/>
    <w:rsid w:val="007139CE"/>
    <w:rsid w:val="007257B5"/>
    <w:rsid w:val="00735854"/>
    <w:rsid w:val="00752F90"/>
    <w:rsid w:val="007629D3"/>
    <w:rsid w:val="007651A4"/>
    <w:rsid w:val="007862CF"/>
    <w:rsid w:val="007863E9"/>
    <w:rsid w:val="00793BD0"/>
    <w:rsid w:val="00795247"/>
    <w:rsid w:val="007B1AAB"/>
    <w:rsid w:val="007B6E29"/>
    <w:rsid w:val="007D3185"/>
    <w:rsid w:val="00807D2B"/>
    <w:rsid w:val="0082749D"/>
    <w:rsid w:val="00875007"/>
    <w:rsid w:val="0088350D"/>
    <w:rsid w:val="0088505B"/>
    <w:rsid w:val="00885084"/>
    <w:rsid w:val="0089324F"/>
    <w:rsid w:val="008A2886"/>
    <w:rsid w:val="008C5D46"/>
    <w:rsid w:val="0090353D"/>
    <w:rsid w:val="009229BB"/>
    <w:rsid w:val="00923C8D"/>
    <w:rsid w:val="00931A86"/>
    <w:rsid w:val="009419F0"/>
    <w:rsid w:val="00960127"/>
    <w:rsid w:val="00967B01"/>
    <w:rsid w:val="0097289D"/>
    <w:rsid w:val="0097480E"/>
    <w:rsid w:val="00984DF0"/>
    <w:rsid w:val="009930E1"/>
    <w:rsid w:val="0099377F"/>
    <w:rsid w:val="009A3728"/>
    <w:rsid w:val="009A3EBE"/>
    <w:rsid w:val="009A4526"/>
    <w:rsid w:val="009A6479"/>
    <w:rsid w:val="009B3145"/>
    <w:rsid w:val="009C6A17"/>
    <w:rsid w:val="009D29C4"/>
    <w:rsid w:val="009D320B"/>
    <w:rsid w:val="009D64D7"/>
    <w:rsid w:val="009F3C8C"/>
    <w:rsid w:val="00A00453"/>
    <w:rsid w:val="00A01F43"/>
    <w:rsid w:val="00A031C1"/>
    <w:rsid w:val="00A12BB9"/>
    <w:rsid w:val="00A171BA"/>
    <w:rsid w:val="00A30B01"/>
    <w:rsid w:val="00A50664"/>
    <w:rsid w:val="00A5542E"/>
    <w:rsid w:val="00A55AAE"/>
    <w:rsid w:val="00A55AB4"/>
    <w:rsid w:val="00A57BB7"/>
    <w:rsid w:val="00A61F9B"/>
    <w:rsid w:val="00A63312"/>
    <w:rsid w:val="00A64C7A"/>
    <w:rsid w:val="00A7061A"/>
    <w:rsid w:val="00A71026"/>
    <w:rsid w:val="00A820F9"/>
    <w:rsid w:val="00AA4186"/>
    <w:rsid w:val="00AB01D8"/>
    <w:rsid w:val="00AD58F1"/>
    <w:rsid w:val="00AE087E"/>
    <w:rsid w:val="00AE1F72"/>
    <w:rsid w:val="00AE6B2A"/>
    <w:rsid w:val="00AE71B7"/>
    <w:rsid w:val="00B12A59"/>
    <w:rsid w:val="00B3162F"/>
    <w:rsid w:val="00B33B46"/>
    <w:rsid w:val="00B36286"/>
    <w:rsid w:val="00B36421"/>
    <w:rsid w:val="00B4203D"/>
    <w:rsid w:val="00B62A1E"/>
    <w:rsid w:val="00B6421F"/>
    <w:rsid w:val="00B707FD"/>
    <w:rsid w:val="00B74B31"/>
    <w:rsid w:val="00B96917"/>
    <w:rsid w:val="00BC0DB8"/>
    <w:rsid w:val="00BC2144"/>
    <w:rsid w:val="00BE41E2"/>
    <w:rsid w:val="00BE4BEC"/>
    <w:rsid w:val="00BE6652"/>
    <w:rsid w:val="00C11931"/>
    <w:rsid w:val="00C147E3"/>
    <w:rsid w:val="00C20878"/>
    <w:rsid w:val="00C21D13"/>
    <w:rsid w:val="00C412D4"/>
    <w:rsid w:val="00C46D46"/>
    <w:rsid w:val="00C54007"/>
    <w:rsid w:val="00C56E73"/>
    <w:rsid w:val="00C65128"/>
    <w:rsid w:val="00C77B54"/>
    <w:rsid w:val="00C80D97"/>
    <w:rsid w:val="00C8622D"/>
    <w:rsid w:val="00CB4A3C"/>
    <w:rsid w:val="00CE3B31"/>
    <w:rsid w:val="00CE7889"/>
    <w:rsid w:val="00CF3E3C"/>
    <w:rsid w:val="00D0003E"/>
    <w:rsid w:val="00D16971"/>
    <w:rsid w:val="00D17DB0"/>
    <w:rsid w:val="00D22D2A"/>
    <w:rsid w:val="00D22E81"/>
    <w:rsid w:val="00D26223"/>
    <w:rsid w:val="00D36584"/>
    <w:rsid w:val="00D37649"/>
    <w:rsid w:val="00D406D8"/>
    <w:rsid w:val="00D81A22"/>
    <w:rsid w:val="00D8342E"/>
    <w:rsid w:val="00D93E11"/>
    <w:rsid w:val="00DA1474"/>
    <w:rsid w:val="00DB487D"/>
    <w:rsid w:val="00DC4F7C"/>
    <w:rsid w:val="00DD354D"/>
    <w:rsid w:val="00DD5A41"/>
    <w:rsid w:val="00DE0FDD"/>
    <w:rsid w:val="00E01FD2"/>
    <w:rsid w:val="00E20F93"/>
    <w:rsid w:val="00E21202"/>
    <w:rsid w:val="00E31C88"/>
    <w:rsid w:val="00E45F8D"/>
    <w:rsid w:val="00E46948"/>
    <w:rsid w:val="00E5246A"/>
    <w:rsid w:val="00E80C14"/>
    <w:rsid w:val="00E84080"/>
    <w:rsid w:val="00E844EB"/>
    <w:rsid w:val="00EC75A8"/>
    <w:rsid w:val="00ED42A4"/>
    <w:rsid w:val="00EF140A"/>
    <w:rsid w:val="00EF6801"/>
    <w:rsid w:val="00EF6AB9"/>
    <w:rsid w:val="00F056FA"/>
    <w:rsid w:val="00F2704A"/>
    <w:rsid w:val="00F40F04"/>
    <w:rsid w:val="00F66DCE"/>
    <w:rsid w:val="00F66EA8"/>
    <w:rsid w:val="00F70E29"/>
    <w:rsid w:val="00F94CE8"/>
    <w:rsid w:val="00FA495C"/>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2022-01-02T16:21:00Z</dcterms:created>
  <dcterms:modified xsi:type="dcterms:W3CDTF">2022-01-02T16:21:00Z</dcterms:modified>
</cp:coreProperties>
</file>