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34805312" w:rsidR="00F94CE8" w:rsidRPr="00B5730B" w:rsidRDefault="00B5730B" w:rsidP="00C11931">
      <w:pPr>
        <w:pStyle w:val="NoSpacing"/>
        <w:contextualSpacing/>
        <w:mirrorIndents/>
        <w:rPr>
          <w:rFonts w:ascii="Verdana" w:hAnsi="Verdana"/>
          <w:b/>
          <w:bCs/>
          <w:color w:val="FF0000"/>
          <w:sz w:val="20"/>
          <w:szCs w:val="20"/>
        </w:rPr>
      </w:pPr>
      <w:r w:rsidRPr="00B5730B">
        <w:rPr>
          <w:rFonts w:ascii="Verdana" w:hAnsi="Verdana"/>
          <w:b/>
          <w:bCs/>
          <w:color w:val="FF0000"/>
          <w:sz w:val="20"/>
          <w:szCs w:val="20"/>
        </w:rPr>
        <w:t>Optical Products &amp; Services 2022</w:t>
      </w:r>
    </w:p>
    <w:p w14:paraId="11DB62D2" w14:textId="77777777" w:rsidR="00F94CE8" w:rsidRPr="00940985" w:rsidRDefault="00F94CE8" w:rsidP="00940985">
      <w:pPr>
        <w:pStyle w:val="NoSpacing"/>
        <w:contextualSpacing/>
        <w:mirrorIndents/>
        <w:rPr>
          <w:rFonts w:ascii="Verdana" w:hAnsi="Verdana"/>
          <w:sz w:val="20"/>
          <w:szCs w:val="20"/>
        </w:rPr>
      </w:pPr>
    </w:p>
    <w:p w14:paraId="1A269DF2" w14:textId="77777777" w:rsidR="00940985" w:rsidRPr="00940985" w:rsidRDefault="00940985" w:rsidP="00940985">
      <w:pPr>
        <w:spacing w:after="0" w:line="240" w:lineRule="auto"/>
        <w:contextualSpacing/>
        <w:mirrorIndents/>
        <w:jc w:val="center"/>
        <w:rPr>
          <w:rFonts w:ascii="Verdana" w:hAnsi="Verdana"/>
          <w:b/>
          <w:bCs/>
          <w:color w:val="0070C0"/>
          <w:sz w:val="20"/>
          <w:szCs w:val="20"/>
        </w:rPr>
      </w:pPr>
      <w:r w:rsidRPr="00940985">
        <w:rPr>
          <w:rFonts w:ascii="Verdana" w:hAnsi="Verdana"/>
          <w:b/>
          <w:bCs/>
          <w:color w:val="0070C0"/>
          <w:sz w:val="20"/>
          <w:szCs w:val="20"/>
        </w:rPr>
        <w:t>Optical Market Revenues Rebound and More</w:t>
      </w:r>
    </w:p>
    <w:p w14:paraId="56861645" w14:textId="77777777" w:rsidR="00940985" w:rsidRPr="00940985" w:rsidRDefault="00940985" w:rsidP="00940985">
      <w:pPr>
        <w:spacing w:after="0" w:line="240" w:lineRule="auto"/>
        <w:contextualSpacing/>
        <w:mirrorIndents/>
        <w:rPr>
          <w:rFonts w:ascii="Verdana" w:hAnsi="Verdana"/>
          <w:sz w:val="20"/>
          <w:szCs w:val="20"/>
        </w:rPr>
      </w:pPr>
    </w:p>
    <w:p w14:paraId="4537AA55" w14:textId="30088E77" w:rsidR="00940985" w:rsidRDefault="00940985" w:rsidP="00940985">
      <w:pPr>
        <w:spacing w:after="0" w:line="240" w:lineRule="auto"/>
        <w:contextualSpacing/>
        <w:mirrorIndents/>
        <w:rPr>
          <w:rFonts w:ascii="Verdana" w:hAnsi="Verdana"/>
          <w:sz w:val="20"/>
          <w:szCs w:val="20"/>
        </w:rPr>
      </w:pPr>
      <w:r>
        <w:rPr>
          <w:rFonts w:ascii="Verdana" w:hAnsi="Verdana"/>
          <w:sz w:val="20"/>
          <w:szCs w:val="20"/>
        </w:rPr>
        <w:t xml:space="preserve">According to The Vision Council’s Q3 2021 VisionWatch report, total </w:t>
      </w:r>
      <w:r w:rsidR="004E6B1D">
        <w:rPr>
          <w:rFonts w:ascii="Verdana" w:hAnsi="Verdana"/>
          <w:sz w:val="20"/>
          <w:szCs w:val="20"/>
        </w:rPr>
        <w:t xml:space="preserve">eyewear sales for the 12 months ending September 2021 were $46.45 billion, a 24.0% increase from the same 2020 period and a 6.3% increase from the same 2019 period. </w:t>
      </w:r>
    </w:p>
    <w:p w14:paraId="2239D9F5" w14:textId="206B48FF" w:rsidR="004E6B1D" w:rsidRDefault="004E6B1D" w:rsidP="00940985">
      <w:pPr>
        <w:spacing w:after="0" w:line="240" w:lineRule="auto"/>
        <w:contextualSpacing/>
        <w:mirrorIndents/>
        <w:rPr>
          <w:rFonts w:ascii="Verdana" w:hAnsi="Verdana"/>
          <w:sz w:val="20"/>
          <w:szCs w:val="20"/>
        </w:rPr>
      </w:pPr>
    </w:p>
    <w:p w14:paraId="4EDC32EE" w14:textId="69544CB2" w:rsidR="004E6B1D" w:rsidRDefault="004E6B1D" w:rsidP="00940985">
      <w:pPr>
        <w:spacing w:after="0" w:line="240" w:lineRule="auto"/>
        <w:contextualSpacing/>
        <w:mirrorIndents/>
        <w:rPr>
          <w:rFonts w:ascii="Verdana" w:hAnsi="Verdana"/>
          <w:sz w:val="20"/>
          <w:szCs w:val="20"/>
        </w:rPr>
      </w:pPr>
      <w:r>
        <w:rPr>
          <w:rFonts w:ascii="Verdana" w:hAnsi="Verdana"/>
          <w:sz w:val="20"/>
          <w:szCs w:val="20"/>
        </w:rPr>
        <w:t>Although Q3 2021 was before the</w:t>
      </w:r>
      <w:r w:rsidR="009729D9">
        <w:rPr>
          <w:rFonts w:ascii="Verdana" w:hAnsi="Verdana"/>
          <w:sz w:val="20"/>
          <w:szCs w:val="20"/>
        </w:rPr>
        <w:t xml:space="preserve"> </w:t>
      </w:r>
      <w:r>
        <w:rPr>
          <w:rFonts w:ascii="Verdana" w:hAnsi="Verdana"/>
          <w:sz w:val="20"/>
          <w:szCs w:val="20"/>
        </w:rPr>
        <w:t>surge of the Omicron COVID-19 variant, the report indicates a complete recovery for the industry. For the third quarter alone, total sales increased 15.8% from Q3 2020 and increased 4.7% from Q3 2019.</w:t>
      </w:r>
    </w:p>
    <w:p w14:paraId="53A32380" w14:textId="3495C855" w:rsidR="004E6B1D" w:rsidRDefault="004E6B1D" w:rsidP="00940985">
      <w:pPr>
        <w:spacing w:after="0" w:line="240" w:lineRule="auto"/>
        <w:contextualSpacing/>
        <w:mirrorIndents/>
        <w:rPr>
          <w:rFonts w:ascii="Verdana" w:hAnsi="Verdana"/>
          <w:sz w:val="20"/>
          <w:szCs w:val="20"/>
        </w:rPr>
      </w:pPr>
    </w:p>
    <w:p w14:paraId="71332EC1" w14:textId="7014D3A6" w:rsidR="004E6B1D" w:rsidRDefault="004E6B1D" w:rsidP="00940985">
      <w:pPr>
        <w:spacing w:after="0" w:line="240" w:lineRule="auto"/>
        <w:contextualSpacing/>
        <w:mirrorIndents/>
        <w:rPr>
          <w:rFonts w:ascii="Verdana" w:hAnsi="Verdana"/>
          <w:sz w:val="20"/>
          <w:szCs w:val="20"/>
        </w:rPr>
      </w:pPr>
      <w:r>
        <w:rPr>
          <w:rFonts w:ascii="Verdana" w:hAnsi="Verdana"/>
          <w:sz w:val="20"/>
          <w:szCs w:val="20"/>
        </w:rPr>
        <w:t>Unsurprisingly, the pandemic drove many more consumers to purchase eyewear online. The VisionWatch report shows a 26.3% increase during the 12 months ending September 2021</w:t>
      </w:r>
      <w:r w:rsidR="00BD39B3">
        <w:rPr>
          <w:rFonts w:ascii="Verdana" w:hAnsi="Verdana"/>
          <w:sz w:val="20"/>
          <w:szCs w:val="20"/>
        </w:rPr>
        <w:t xml:space="preserve"> to a total of $4 billion and frames and lenses accounted for almost half at $1.93 billion.</w:t>
      </w:r>
    </w:p>
    <w:p w14:paraId="6A0875AC" w14:textId="619736C0" w:rsidR="00BD39B3" w:rsidRDefault="00BD39B3" w:rsidP="00940985">
      <w:pPr>
        <w:spacing w:after="0" w:line="240" w:lineRule="auto"/>
        <w:contextualSpacing/>
        <w:mirrorIndents/>
        <w:rPr>
          <w:rFonts w:ascii="Verdana" w:hAnsi="Verdana"/>
          <w:sz w:val="20"/>
          <w:szCs w:val="20"/>
        </w:rPr>
      </w:pPr>
    </w:p>
    <w:p w14:paraId="76E07B31" w14:textId="6D0B9E1D" w:rsidR="00E43FD6" w:rsidRPr="00546CF6" w:rsidRDefault="00E43FD6" w:rsidP="00E43FD6">
      <w:pPr>
        <w:pStyle w:val="Header"/>
        <w:contextualSpacing/>
        <w:jc w:val="center"/>
        <w:rPr>
          <w:rFonts w:ascii="Verdana" w:hAnsi="Verdana"/>
          <w:b/>
          <w:bCs/>
          <w:sz w:val="20"/>
          <w:szCs w:val="20"/>
        </w:rPr>
      </w:pPr>
      <w:r>
        <w:rPr>
          <w:b/>
          <w:sz w:val="20"/>
          <w:szCs w:val="20"/>
        </w:rPr>
        <w:t>Comparison of Annual Eyewear Sales by Product Category</w:t>
      </w:r>
      <w:r>
        <w:rPr>
          <w:rFonts w:ascii="Verdana" w:hAnsi="Verdana"/>
          <w:b/>
          <w:bCs/>
          <w:sz w:val="20"/>
          <w:szCs w:val="20"/>
        </w:rPr>
        <w:t>, October 2021</w:t>
      </w:r>
    </w:p>
    <w:tbl>
      <w:tblPr>
        <w:tblW w:w="9388" w:type="dxa"/>
        <w:jc w:val="center"/>
        <w:tblBorders>
          <w:left w:val="single" w:sz="8" w:space="0" w:color="000000"/>
          <w:right w:val="single" w:sz="8" w:space="0" w:color="000000"/>
        </w:tblBorders>
        <w:tblLayout w:type="fixed"/>
        <w:tblLook w:val="0000" w:firstRow="0" w:lastRow="0" w:firstColumn="0" w:lastColumn="0" w:noHBand="0" w:noVBand="0"/>
      </w:tblPr>
      <w:tblGrid>
        <w:gridCol w:w="2160"/>
        <w:gridCol w:w="1267"/>
        <w:gridCol w:w="1267"/>
        <w:gridCol w:w="2160"/>
        <w:gridCol w:w="1267"/>
        <w:gridCol w:w="1267"/>
      </w:tblGrid>
      <w:tr w:rsidR="00E43FD6" w:rsidRPr="00B5343D" w14:paraId="361DBC74" w14:textId="77777777" w:rsidTr="009729D9">
        <w:trPr>
          <w:jc w:val="center"/>
        </w:trPr>
        <w:tc>
          <w:tcPr>
            <w:tcW w:w="2160" w:type="dxa"/>
            <w:tcBorders>
              <w:top w:val="single" w:sz="12" w:space="0" w:color="000000"/>
              <w:left w:val="single" w:sz="12" w:space="0" w:color="000000"/>
              <w:bottom w:val="single" w:sz="18" w:space="0" w:color="C0504D" w:themeColor="accent2"/>
              <w:right w:val="single" w:sz="12" w:space="0" w:color="0070C0"/>
            </w:tcBorders>
            <w:vAlign w:val="center"/>
          </w:tcPr>
          <w:p w14:paraId="1CE309A1" w14:textId="6E3B7C7B" w:rsidR="00E43FD6" w:rsidRPr="00B5343D" w:rsidRDefault="00E43FD6" w:rsidP="009729D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Category</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3769D34E" w14:textId="71BDA6FC" w:rsidR="00E43FD6" w:rsidRPr="00B5343D" w:rsidRDefault="00E43FD6" w:rsidP="009729D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Total*</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72A60392" w14:textId="38B225A7" w:rsidR="00E43FD6" w:rsidRPr="00B5343D" w:rsidRDefault="00E43FD6" w:rsidP="009729D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YOY Change</w:t>
            </w:r>
            <w:r w:rsidR="008E04E3" w:rsidRPr="008E04E3">
              <w:rPr>
                <w:rFonts w:ascii="Verdana" w:hAnsi="Verdana"/>
                <w:sz w:val="20"/>
                <w:szCs w:val="20"/>
              </w:rPr>
              <w:t>†</w:t>
            </w:r>
          </w:p>
        </w:tc>
        <w:tc>
          <w:tcPr>
            <w:tcW w:w="2160" w:type="dxa"/>
            <w:tcBorders>
              <w:top w:val="single" w:sz="12" w:space="0" w:color="000000"/>
              <w:left w:val="single" w:sz="18" w:space="0" w:color="0070C0"/>
              <w:bottom w:val="single" w:sz="18" w:space="0" w:color="C0504D" w:themeColor="accent2"/>
              <w:right w:val="single" w:sz="12" w:space="0" w:color="0070C0"/>
            </w:tcBorders>
            <w:vAlign w:val="center"/>
          </w:tcPr>
          <w:p w14:paraId="65E3F17F" w14:textId="614046B1" w:rsidR="00E43FD6" w:rsidRPr="00B5343D" w:rsidRDefault="00E43FD6" w:rsidP="009729D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Category</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0C8C7DF2" w14:textId="13BBF37B" w:rsidR="00E43FD6" w:rsidRPr="00B5343D" w:rsidRDefault="00E43FD6" w:rsidP="009729D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Total*</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4B9BE144" w14:textId="38FC36E0" w:rsidR="00E43FD6" w:rsidRPr="00B5343D" w:rsidRDefault="00E43FD6" w:rsidP="009729D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YOY Change</w:t>
            </w:r>
            <w:r w:rsidR="008E04E3" w:rsidRPr="008E04E3">
              <w:rPr>
                <w:rFonts w:ascii="Verdana" w:hAnsi="Verdana"/>
                <w:sz w:val="20"/>
                <w:szCs w:val="20"/>
              </w:rPr>
              <w:t>†</w:t>
            </w:r>
          </w:p>
        </w:tc>
      </w:tr>
      <w:tr w:rsidR="00E43FD6" w:rsidRPr="00B5343D" w14:paraId="1E657831" w14:textId="77777777" w:rsidTr="009729D9">
        <w:trPr>
          <w:jc w:val="center"/>
        </w:trPr>
        <w:tc>
          <w:tcPr>
            <w:tcW w:w="2160" w:type="dxa"/>
            <w:tcBorders>
              <w:top w:val="single" w:sz="18" w:space="0" w:color="C0504D" w:themeColor="accent2"/>
              <w:left w:val="single" w:sz="12" w:space="0" w:color="000000"/>
              <w:bottom w:val="single" w:sz="4" w:space="0" w:color="auto"/>
              <w:right w:val="single" w:sz="12" w:space="0" w:color="0070C0"/>
            </w:tcBorders>
            <w:shd w:val="clear" w:color="auto" w:fill="auto"/>
            <w:vAlign w:val="center"/>
          </w:tcPr>
          <w:p w14:paraId="2DD3844F" w14:textId="44BF6368" w:rsidR="00E43FD6" w:rsidRPr="00B5343D" w:rsidRDefault="00E43FD6" w:rsidP="00E43FD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Rx lenses</w:t>
            </w:r>
          </w:p>
        </w:tc>
        <w:tc>
          <w:tcPr>
            <w:tcW w:w="1267" w:type="dxa"/>
            <w:tcBorders>
              <w:top w:val="single" w:sz="18" w:space="0" w:color="C0504D" w:themeColor="accent2"/>
              <w:left w:val="single" w:sz="12" w:space="0" w:color="0070C0"/>
              <w:bottom w:val="single" w:sz="4" w:space="0" w:color="auto"/>
              <w:right w:val="single" w:sz="8" w:space="0" w:color="0070C0"/>
            </w:tcBorders>
            <w:vAlign w:val="center"/>
          </w:tcPr>
          <w:p w14:paraId="2429E19F" w14:textId="10F0B014" w:rsidR="00E43FD6" w:rsidRPr="00B5343D" w:rsidRDefault="008E04E3" w:rsidP="009729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$15.69 B</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C2D69B" w:themeFill="accent3" w:themeFillTint="99"/>
            <w:vAlign w:val="center"/>
          </w:tcPr>
          <w:p w14:paraId="3C195B4E" w14:textId="12B75D02" w:rsidR="00E43FD6" w:rsidRPr="00B5343D" w:rsidRDefault="008E04E3" w:rsidP="009729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+26.9%</w:t>
            </w:r>
          </w:p>
        </w:tc>
        <w:tc>
          <w:tcPr>
            <w:tcW w:w="2160"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33D0A191" w14:textId="42985B5E" w:rsidR="00E43FD6" w:rsidRPr="00B5343D" w:rsidRDefault="008E04E3" w:rsidP="00E43FD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Plano sunglasses</w:t>
            </w:r>
          </w:p>
        </w:tc>
        <w:tc>
          <w:tcPr>
            <w:tcW w:w="1267" w:type="dxa"/>
            <w:tcBorders>
              <w:top w:val="single" w:sz="18" w:space="0" w:color="C0504D" w:themeColor="accent2"/>
              <w:left w:val="single" w:sz="12" w:space="0" w:color="0070C0"/>
              <w:bottom w:val="single" w:sz="4" w:space="0" w:color="000000"/>
              <w:right w:val="single" w:sz="8" w:space="0" w:color="0070C0"/>
            </w:tcBorders>
            <w:vAlign w:val="center"/>
          </w:tcPr>
          <w:p w14:paraId="16B94768" w14:textId="646D6304" w:rsidR="00E43FD6" w:rsidRPr="00B5343D" w:rsidRDefault="008E04E3" w:rsidP="009729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$4.34 B</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C2D69B" w:themeFill="accent3" w:themeFillTint="99"/>
            <w:vAlign w:val="center"/>
          </w:tcPr>
          <w:p w14:paraId="6E145DF5" w14:textId="169D528F" w:rsidR="00E43FD6" w:rsidRPr="00B5343D" w:rsidRDefault="008E04E3" w:rsidP="009729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+27.3%</w:t>
            </w:r>
          </w:p>
        </w:tc>
      </w:tr>
      <w:tr w:rsidR="00E43FD6" w:rsidRPr="00B5343D" w14:paraId="64800217" w14:textId="77777777" w:rsidTr="009729D9">
        <w:trPr>
          <w:jc w:val="center"/>
        </w:trPr>
        <w:tc>
          <w:tcPr>
            <w:tcW w:w="2160" w:type="dxa"/>
            <w:tcBorders>
              <w:top w:val="single" w:sz="4" w:space="0" w:color="000000"/>
              <w:left w:val="single" w:sz="12" w:space="0" w:color="000000"/>
              <w:bottom w:val="single" w:sz="4" w:space="0" w:color="000000"/>
              <w:right w:val="single" w:sz="12" w:space="0" w:color="0070C0"/>
            </w:tcBorders>
            <w:shd w:val="clear" w:color="auto" w:fill="auto"/>
            <w:vAlign w:val="center"/>
          </w:tcPr>
          <w:p w14:paraId="35C0B0C4" w14:textId="1DFAABEA" w:rsidR="00E43FD6" w:rsidRPr="00B5343D" w:rsidRDefault="008E04E3" w:rsidP="00E43FD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Frames</w:t>
            </w:r>
          </w:p>
        </w:tc>
        <w:tc>
          <w:tcPr>
            <w:tcW w:w="1267" w:type="dxa"/>
            <w:tcBorders>
              <w:top w:val="single" w:sz="4" w:space="0" w:color="000000"/>
              <w:left w:val="single" w:sz="12" w:space="0" w:color="0070C0"/>
              <w:bottom w:val="single" w:sz="4" w:space="0" w:color="000000"/>
              <w:right w:val="single" w:sz="8" w:space="0" w:color="0070C0"/>
            </w:tcBorders>
            <w:vAlign w:val="center"/>
          </w:tcPr>
          <w:p w14:paraId="14A28FF8" w14:textId="77B6B5B2" w:rsidR="00E43FD6" w:rsidRPr="00B5343D" w:rsidRDefault="008E04E3" w:rsidP="009729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$10.70 B</w:t>
            </w:r>
          </w:p>
        </w:tc>
        <w:tc>
          <w:tcPr>
            <w:tcW w:w="1267" w:type="dxa"/>
            <w:tcBorders>
              <w:top w:val="single" w:sz="4" w:space="0" w:color="000000"/>
              <w:left w:val="single" w:sz="8" w:space="0" w:color="0070C0"/>
              <w:bottom w:val="single" w:sz="4" w:space="0" w:color="000000"/>
              <w:right w:val="single" w:sz="18" w:space="0" w:color="0070C0"/>
            </w:tcBorders>
            <w:shd w:val="clear" w:color="auto" w:fill="C2D69B" w:themeFill="accent3" w:themeFillTint="99"/>
            <w:vAlign w:val="center"/>
          </w:tcPr>
          <w:p w14:paraId="011B9EF2" w14:textId="3B1230CC" w:rsidR="00E43FD6" w:rsidRPr="00B5343D" w:rsidRDefault="008E04E3" w:rsidP="009729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+28.2%</w:t>
            </w:r>
          </w:p>
        </w:tc>
        <w:tc>
          <w:tcPr>
            <w:tcW w:w="2160"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1BAD487D" w14:textId="604DA754" w:rsidR="00E43FD6" w:rsidRPr="00B5343D" w:rsidRDefault="008E04E3" w:rsidP="00E43FD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Refractive surgery</w:t>
            </w:r>
          </w:p>
        </w:tc>
        <w:tc>
          <w:tcPr>
            <w:tcW w:w="1267" w:type="dxa"/>
            <w:tcBorders>
              <w:top w:val="single" w:sz="4" w:space="0" w:color="000000"/>
              <w:left w:val="single" w:sz="12" w:space="0" w:color="0070C0"/>
              <w:bottom w:val="single" w:sz="4" w:space="0" w:color="000000"/>
              <w:right w:val="single" w:sz="8" w:space="0" w:color="0070C0"/>
            </w:tcBorders>
            <w:vAlign w:val="center"/>
          </w:tcPr>
          <w:p w14:paraId="440537E5" w14:textId="1F28A10C" w:rsidR="00E43FD6" w:rsidRPr="00B5343D" w:rsidRDefault="008E04E3" w:rsidP="009729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$2.19 B</w:t>
            </w:r>
          </w:p>
        </w:tc>
        <w:tc>
          <w:tcPr>
            <w:tcW w:w="1267" w:type="dxa"/>
            <w:tcBorders>
              <w:top w:val="single" w:sz="4" w:space="0" w:color="000000"/>
              <w:left w:val="single" w:sz="8" w:space="0" w:color="0070C0"/>
              <w:bottom w:val="single" w:sz="4" w:space="0" w:color="000000"/>
              <w:right w:val="single" w:sz="12" w:space="0" w:color="000000"/>
            </w:tcBorders>
            <w:shd w:val="clear" w:color="auto" w:fill="00B050"/>
            <w:vAlign w:val="center"/>
          </w:tcPr>
          <w:p w14:paraId="01C45866" w14:textId="6F9ABC19" w:rsidR="00E43FD6" w:rsidRPr="00B5343D" w:rsidRDefault="008E04E3" w:rsidP="009729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+44.5%</w:t>
            </w:r>
          </w:p>
        </w:tc>
      </w:tr>
      <w:tr w:rsidR="00E43FD6" w:rsidRPr="00B5343D" w14:paraId="059CB3ED" w14:textId="77777777" w:rsidTr="009729D9">
        <w:trPr>
          <w:jc w:val="center"/>
        </w:trPr>
        <w:tc>
          <w:tcPr>
            <w:tcW w:w="2160" w:type="dxa"/>
            <w:tcBorders>
              <w:top w:val="single" w:sz="4" w:space="0" w:color="000000"/>
              <w:left w:val="single" w:sz="12" w:space="0" w:color="000000"/>
              <w:bottom w:val="single" w:sz="4" w:space="0" w:color="000000"/>
              <w:right w:val="single" w:sz="12" w:space="0" w:color="0070C0"/>
            </w:tcBorders>
            <w:shd w:val="clear" w:color="auto" w:fill="auto"/>
            <w:vAlign w:val="center"/>
          </w:tcPr>
          <w:p w14:paraId="1DDD1FAD" w14:textId="07E6C97C" w:rsidR="00E43FD6" w:rsidRPr="00B5343D" w:rsidRDefault="008E04E3" w:rsidP="00E43FD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Exams</w:t>
            </w:r>
          </w:p>
        </w:tc>
        <w:tc>
          <w:tcPr>
            <w:tcW w:w="1267" w:type="dxa"/>
            <w:tcBorders>
              <w:top w:val="single" w:sz="4" w:space="0" w:color="000000"/>
              <w:left w:val="single" w:sz="12" w:space="0" w:color="0070C0"/>
              <w:bottom w:val="single" w:sz="4" w:space="0" w:color="000000"/>
              <w:right w:val="single" w:sz="8" w:space="0" w:color="0070C0"/>
            </w:tcBorders>
            <w:vAlign w:val="center"/>
          </w:tcPr>
          <w:p w14:paraId="4E2EA116" w14:textId="726FEB31" w:rsidR="00E43FD6" w:rsidRPr="00B5343D" w:rsidRDefault="008E04E3" w:rsidP="009729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$6.66 B</w:t>
            </w:r>
          </w:p>
        </w:tc>
        <w:tc>
          <w:tcPr>
            <w:tcW w:w="1267" w:type="dxa"/>
            <w:tcBorders>
              <w:top w:val="single" w:sz="4" w:space="0" w:color="000000"/>
              <w:left w:val="single" w:sz="8" w:space="0" w:color="0070C0"/>
              <w:bottom w:val="single" w:sz="4" w:space="0" w:color="000000"/>
              <w:right w:val="single" w:sz="18" w:space="0" w:color="0070C0"/>
            </w:tcBorders>
            <w:shd w:val="clear" w:color="auto" w:fill="C2D69B" w:themeFill="accent3" w:themeFillTint="99"/>
            <w:vAlign w:val="center"/>
          </w:tcPr>
          <w:p w14:paraId="08366F42" w14:textId="53224906" w:rsidR="00E43FD6" w:rsidRPr="00B5343D" w:rsidRDefault="008E04E3" w:rsidP="009729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+24.3%</w:t>
            </w:r>
          </w:p>
        </w:tc>
        <w:tc>
          <w:tcPr>
            <w:tcW w:w="2160"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2B56EBF4" w14:textId="43D760B0" w:rsidR="00E43FD6" w:rsidRPr="00B5343D" w:rsidRDefault="008E04E3" w:rsidP="00E43FD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OTC readers</w:t>
            </w:r>
          </w:p>
        </w:tc>
        <w:tc>
          <w:tcPr>
            <w:tcW w:w="1267" w:type="dxa"/>
            <w:tcBorders>
              <w:top w:val="single" w:sz="4" w:space="0" w:color="000000"/>
              <w:left w:val="single" w:sz="12" w:space="0" w:color="0070C0"/>
              <w:bottom w:val="single" w:sz="4" w:space="0" w:color="000000"/>
              <w:right w:val="single" w:sz="8" w:space="0" w:color="0070C0"/>
            </w:tcBorders>
            <w:vAlign w:val="center"/>
          </w:tcPr>
          <w:p w14:paraId="45FDF5D0" w14:textId="0C69BED8" w:rsidR="00E43FD6" w:rsidRPr="00B5343D" w:rsidRDefault="008E04E3" w:rsidP="009729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$1.03 B</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56368BC4" w14:textId="6920D48D" w:rsidR="00E43FD6" w:rsidRPr="00B5343D" w:rsidRDefault="008E04E3" w:rsidP="009729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+8.0%</w:t>
            </w:r>
          </w:p>
        </w:tc>
      </w:tr>
      <w:tr w:rsidR="00E43FD6" w:rsidRPr="00B5343D" w14:paraId="54B884B0" w14:textId="77777777" w:rsidTr="009729D9">
        <w:trPr>
          <w:jc w:val="center"/>
        </w:trPr>
        <w:tc>
          <w:tcPr>
            <w:tcW w:w="2160" w:type="dxa"/>
            <w:tcBorders>
              <w:top w:val="single" w:sz="4" w:space="0" w:color="000000"/>
              <w:left w:val="single" w:sz="12" w:space="0" w:color="000000"/>
              <w:bottom w:val="single" w:sz="12" w:space="0" w:color="000000"/>
              <w:right w:val="single" w:sz="12" w:space="0" w:color="0070C0"/>
            </w:tcBorders>
            <w:shd w:val="clear" w:color="auto" w:fill="auto"/>
            <w:vAlign w:val="center"/>
          </w:tcPr>
          <w:p w14:paraId="67AF36C7" w14:textId="60CC42CD" w:rsidR="00E43FD6" w:rsidRPr="00B5343D" w:rsidRDefault="008E04E3" w:rsidP="00E43FD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Contact lenses</w:t>
            </w:r>
          </w:p>
        </w:tc>
        <w:tc>
          <w:tcPr>
            <w:tcW w:w="1267" w:type="dxa"/>
            <w:tcBorders>
              <w:top w:val="single" w:sz="4" w:space="0" w:color="000000"/>
              <w:left w:val="single" w:sz="12" w:space="0" w:color="0070C0"/>
              <w:bottom w:val="single" w:sz="12" w:space="0" w:color="000000"/>
              <w:right w:val="single" w:sz="8" w:space="0" w:color="0070C0"/>
            </w:tcBorders>
            <w:vAlign w:val="center"/>
          </w:tcPr>
          <w:p w14:paraId="4457D32C" w14:textId="499CADEF" w:rsidR="00E43FD6" w:rsidRPr="00B5343D" w:rsidRDefault="008E04E3" w:rsidP="009729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$5.84 B</w:t>
            </w:r>
          </w:p>
        </w:tc>
        <w:tc>
          <w:tcPr>
            <w:tcW w:w="1267" w:type="dxa"/>
            <w:tcBorders>
              <w:top w:val="single" w:sz="4" w:space="0" w:color="000000"/>
              <w:left w:val="single" w:sz="8" w:space="0" w:color="0070C0"/>
              <w:bottom w:val="single" w:sz="12" w:space="0" w:color="000000"/>
              <w:right w:val="single" w:sz="18" w:space="0" w:color="0070C0"/>
            </w:tcBorders>
            <w:shd w:val="clear" w:color="auto" w:fill="EAF1DD" w:themeFill="accent3" w:themeFillTint="33"/>
            <w:vAlign w:val="center"/>
          </w:tcPr>
          <w:p w14:paraId="61B130A9" w14:textId="7815AFDF" w:rsidR="00E43FD6" w:rsidRPr="00B5343D" w:rsidRDefault="008E04E3" w:rsidP="009729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+5.9%</w:t>
            </w:r>
          </w:p>
        </w:tc>
        <w:tc>
          <w:tcPr>
            <w:tcW w:w="2160" w:type="dxa"/>
            <w:tcBorders>
              <w:top w:val="single" w:sz="4" w:space="0" w:color="000000"/>
              <w:left w:val="single" w:sz="18" w:space="0" w:color="0070C0"/>
              <w:bottom w:val="single" w:sz="12" w:space="0" w:color="000000"/>
              <w:right w:val="single" w:sz="12" w:space="0" w:color="0070C0"/>
            </w:tcBorders>
            <w:shd w:val="clear" w:color="auto" w:fill="D9D9D9" w:themeFill="background1" w:themeFillShade="D9"/>
            <w:vAlign w:val="center"/>
          </w:tcPr>
          <w:p w14:paraId="65A4B762" w14:textId="0EE71FBD" w:rsidR="00E43FD6" w:rsidRPr="00B5343D" w:rsidRDefault="00E43FD6" w:rsidP="00E43FD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267" w:type="dxa"/>
            <w:tcBorders>
              <w:top w:val="single" w:sz="4" w:space="0" w:color="000000"/>
              <w:left w:val="single" w:sz="12" w:space="0" w:color="0070C0"/>
              <w:bottom w:val="single" w:sz="12" w:space="0" w:color="000000"/>
              <w:right w:val="single" w:sz="8" w:space="0" w:color="0070C0"/>
            </w:tcBorders>
            <w:shd w:val="clear" w:color="auto" w:fill="D9D9D9" w:themeFill="background1" w:themeFillShade="D9"/>
          </w:tcPr>
          <w:p w14:paraId="3E3E64B0" w14:textId="77777777" w:rsidR="00E43FD6" w:rsidRPr="00B5343D" w:rsidRDefault="00E43FD6" w:rsidP="00E43FD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7DEBA8D2" w14:textId="3ACBF9E4" w:rsidR="00E43FD6" w:rsidRPr="00B5343D" w:rsidRDefault="00E43FD6" w:rsidP="00E43FD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45C72C47" w14:textId="44E9CEE3" w:rsidR="00E43FD6" w:rsidRPr="00B5343D" w:rsidRDefault="008E04E3" w:rsidP="00E43FD6">
      <w:pPr>
        <w:tabs>
          <w:tab w:val="left" w:pos="360"/>
        </w:tabs>
        <w:spacing w:after="0" w:line="240" w:lineRule="auto"/>
        <w:contextualSpacing/>
        <w:mirrorIndents/>
        <w:rPr>
          <w:rFonts w:ascii="Verdana" w:hAnsi="Verdana"/>
          <w:sz w:val="20"/>
          <w:szCs w:val="20"/>
        </w:rPr>
      </w:pPr>
      <w:r w:rsidRPr="00AC1D7A">
        <w:rPr>
          <w:rFonts w:ascii="Verdana" w:hAnsi="Verdana"/>
          <w:i/>
          <w:iCs/>
          <w:sz w:val="16"/>
          <w:szCs w:val="16"/>
        </w:rPr>
        <w:t>Vision Monday</w:t>
      </w:r>
      <w:r w:rsidR="00E43FD6" w:rsidRPr="00B5343D">
        <w:rPr>
          <w:rFonts w:ascii="Verdana" w:hAnsi="Verdana"/>
          <w:sz w:val="16"/>
          <w:szCs w:val="16"/>
        </w:rPr>
        <w:t xml:space="preserve">, </w:t>
      </w:r>
      <w:r>
        <w:rPr>
          <w:rFonts w:ascii="Verdana" w:hAnsi="Verdana"/>
          <w:sz w:val="16"/>
          <w:szCs w:val="16"/>
        </w:rPr>
        <w:t>January 2022   *for 12 months ending September 2021 †from 12 months ending September 2020</w:t>
      </w:r>
    </w:p>
    <w:p w14:paraId="011C59D7" w14:textId="77777777" w:rsidR="00BD39B3" w:rsidRDefault="00BD39B3" w:rsidP="00940985">
      <w:pPr>
        <w:spacing w:after="0" w:line="240" w:lineRule="auto"/>
        <w:contextualSpacing/>
        <w:mirrorIndents/>
        <w:rPr>
          <w:rFonts w:ascii="Verdana" w:hAnsi="Verdana"/>
          <w:sz w:val="20"/>
          <w:szCs w:val="20"/>
        </w:rPr>
      </w:pPr>
    </w:p>
    <w:p w14:paraId="7111283C" w14:textId="28FE5903" w:rsidR="00940985" w:rsidRPr="00276773" w:rsidRDefault="00940985" w:rsidP="00276773">
      <w:pPr>
        <w:spacing w:after="0" w:line="240" w:lineRule="auto"/>
        <w:contextualSpacing/>
        <w:mirrorIndents/>
        <w:jc w:val="center"/>
        <w:rPr>
          <w:rFonts w:ascii="Verdana" w:hAnsi="Verdana"/>
          <w:b/>
          <w:bCs/>
          <w:color w:val="0070C0"/>
          <w:sz w:val="20"/>
          <w:szCs w:val="20"/>
        </w:rPr>
      </w:pPr>
      <w:r w:rsidRPr="00276773">
        <w:rPr>
          <w:rFonts w:ascii="Verdana" w:hAnsi="Verdana"/>
          <w:b/>
          <w:bCs/>
          <w:color w:val="0070C0"/>
          <w:sz w:val="20"/>
          <w:szCs w:val="20"/>
        </w:rPr>
        <w:t>Consumer Purchase Insights</w:t>
      </w:r>
    </w:p>
    <w:p w14:paraId="3A417777" w14:textId="77777777" w:rsidR="00940985" w:rsidRPr="00940985" w:rsidRDefault="00940985" w:rsidP="00940985">
      <w:pPr>
        <w:spacing w:after="0" w:line="240" w:lineRule="auto"/>
        <w:contextualSpacing/>
        <w:mirrorIndents/>
        <w:rPr>
          <w:rFonts w:ascii="Verdana" w:hAnsi="Verdana"/>
          <w:sz w:val="20"/>
          <w:szCs w:val="20"/>
        </w:rPr>
      </w:pPr>
    </w:p>
    <w:p w14:paraId="24664B69" w14:textId="0963D9B9" w:rsidR="00276773" w:rsidRDefault="00AC1D7A" w:rsidP="00940985">
      <w:pPr>
        <w:spacing w:after="0" w:line="240" w:lineRule="auto"/>
        <w:contextualSpacing/>
        <w:mirrorIndents/>
        <w:rPr>
          <w:rFonts w:ascii="Verdana" w:hAnsi="Verdana"/>
          <w:sz w:val="20"/>
          <w:szCs w:val="20"/>
        </w:rPr>
      </w:pPr>
      <w:r>
        <w:rPr>
          <w:rFonts w:ascii="Verdana" w:hAnsi="Verdana"/>
          <w:sz w:val="20"/>
          <w:szCs w:val="20"/>
        </w:rPr>
        <w:t>For the same 12 months in its Q3 2021 report, The Vision Council stated 126.9 million US adults had some type of managed vision care (insurance). More of those benefits were used</w:t>
      </w:r>
      <w:r w:rsidR="00FF2ACE">
        <w:rPr>
          <w:rFonts w:ascii="Verdana" w:hAnsi="Verdana"/>
          <w:sz w:val="20"/>
          <w:szCs w:val="20"/>
        </w:rPr>
        <w:t xml:space="preserve"> during the period</w:t>
      </w:r>
      <w:r>
        <w:rPr>
          <w:rFonts w:ascii="Verdana" w:hAnsi="Verdana"/>
          <w:sz w:val="20"/>
          <w:szCs w:val="20"/>
        </w:rPr>
        <w:t>: 75.7% for adult eye exams and 60.9% for all purchases of frames.</w:t>
      </w:r>
    </w:p>
    <w:p w14:paraId="3B676A2A" w14:textId="096094AB" w:rsidR="00AC1D7A" w:rsidRDefault="00AC1D7A" w:rsidP="00940985">
      <w:pPr>
        <w:spacing w:after="0" w:line="240" w:lineRule="auto"/>
        <w:contextualSpacing/>
        <w:mirrorIndents/>
        <w:rPr>
          <w:rFonts w:ascii="Verdana" w:hAnsi="Verdana"/>
          <w:sz w:val="20"/>
          <w:szCs w:val="20"/>
        </w:rPr>
      </w:pPr>
    </w:p>
    <w:p w14:paraId="59341B91" w14:textId="1DB08A3B" w:rsidR="00AC1D7A" w:rsidRDefault="00883193" w:rsidP="00940985">
      <w:pPr>
        <w:spacing w:after="0" w:line="240" w:lineRule="auto"/>
        <w:contextualSpacing/>
        <w:mirrorIndents/>
        <w:rPr>
          <w:rFonts w:ascii="Verdana" w:hAnsi="Verdana"/>
          <w:sz w:val="20"/>
          <w:szCs w:val="20"/>
        </w:rPr>
      </w:pPr>
      <w:r>
        <w:rPr>
          <w:rFonts w:ascii="Verdana" w:hAnsi="Verdana"/>
          <w:sz w:val="20"/>
          <w:szCs w:val="20"/>
        </w:rPr>
        <w:t>Most of the frames consumers purchased were via the “independents” channel and it accounted for the largest share at 51.2%, followed by chains 26.5%, mass merchandisers/ clubs 10.9%, online/Internet 7.8%, other 3.3% and department stores 0.3%.</w:t>
      </w:r>
    </w:p>
    <w:p w14:paraId="3C6C1262" w14:textId="18B3B095" w:rsidR="00276773" w:rsidRDefault="00276773" w:rsidP="00940985">
      <w:pPr>
        <w:spacing w:after="0" w:line="240" w:lineRule="auto"/>
        <w:contextualSpacing/>
        <w:mirrorIndents/>
        <w:rPr>
          <w:rFonts w:ascii="Verdana" w:hAnsi="Verdana"/>
          <w:sz w:val="20"/>
          <w:szCs w:val="20"/>
        </w:rPr>
      </w:pPr>
    </w:p>
    <w:p w14:paraId="408A11FB" w14:textId="105CAA9A" w:rsidR="00883193" w:rsidRDefault="00883193" w:rsidP="00940985">
      <w:pPr>
        <w:spacing w:after="0" w:line="240" w:lineRule="auto"/>
        <w:contextualSpacing/>
        <w:mirrorIndents/>
        <w:rPr>
          <w:rFonts w:ascii="Verdana" w:hAnsi="Verdana"/>
          <w:sz w:val="20"/>
          <w:szCs w:val="20"/>
        </w:rPr>
      </w:pPr>
      <w:r>
        <w:rPr>
          <w:rFonts w:ascii="Verdana" w:hAnsi="Verdana"/>
          <w:sz w:val="20"/>
          <w:szCs w:val="20"/>
        </w:rPr>
        <w:t>Each consumer-purchase channel for lens</w:t>
      </w:r>
      <w:r w:rsidR="00AF5FF9">
        <w:rPr>
          <w:rFonts w:ascii="Verdana" w:hAnsi="Verdana"/>
          <w:sz w:val="20"/>
          <w:szCs w:val="20"/>
        </w:rPr>
        <w:t>es</w:t>
      </w:r>
      <w:r>
        <w:rPr>
          <w:rFonts w:ascii="Verdana" w:hAnsi="Verdana"/>
          <w:sz w:val="20"/>
          <w:szCs w:val="20"/>
        </w:rPr>
        <w:t xml:space="preserve"> was almost identical since most frames a</w:t>
      </w:r>
      <w:r w:rsidR="00FF2ACE">
        <w:rPr>
          <w:rFonts w:ascii="Verdana" w:hAnsi="Verdana"/>
          <w:sz w:val="20"/>
          <w:szCs w:val="20"/>
        </w:rPr>
        <w:t>re</w:t>
      </w:r>
      <w:r>
        <w:rPr>
          <w:rFonts w:ascii="Verdana" w:hAnsi="Verdana"/>
          <w:sz w:val="20"/>
          <w:szCs w:val="20"/>
        </w:rPr>
        <w:t xml:space="preserve"> purchased with lens: independents 51.7%, chains 26.7%, mass merchandisers/clubs </w:t>
      </w:r>
      <w:r w:rsidR="00570588">
        <w:rPr>
          <w:rFonts w:ascii="Verdana" w:hAnsi="Verdana"/>
          <w:sz w:val="20"/>
          <w:szCs w:val="20"/>
        </w:rPr>
        <w:t>9.8%, online/Internet 7.3%, other 4.1% and department stores 0.3%.</w:t>
      </w:r>
    </w:p>
    <w:p w14:paraId="5C5D1D66" w14:textId="7B3DC272" w:rsidR="00570588" w:rsidRDefault="00570588" w:rsidP="00940985">
      <w:pPr>
        <w:spacing w:after="0" w:line="240" w:lineRule="auto"/>
        <w:contextualSpacing/>
        <w:mirrorIndents/>
        <w:rPr>
          <w:rFonts w:ascii="Verdana" w:hAnsi="Verdana"/>
          <w:sz w:val="20"/>
          <w:szCs w:val="20"/>
        </w:rPr>
      </w:pPr>
    </w:p>
    <w:p w14:paraId="06D1247E" w14:textId="5C14251F" w:rsidR="00B935E0" w:rsidRPr="00CC1ECE" w:rsidRDefault="00B935E0" w:rsidP="00B935E0">
      <w:pPr>
        <w:pStyle w:val="Header"/>
        <w:contextualSpacing/>
        <w:jc w:val="center"/>
        <w:rPr>
          <w:rFonts w:ascii="Verdana" w:hAnsi="Verdana"/>
          <w:b/>
          <w:sz w:val="20"/>
          <w:szCs w:val="20"/>
        </w:rPr>
      </w:pPr>
      <w:r>
        <w:rPr>
          <w:rFonts w:ascii="Verdana" w:hAnsi="Verdana"/>
          <w:b/>
          <w:sz w:val="20"/>
          <w:szCs w:val="20"/>
        </w:rPr>
        <w:t xml:space="preserve">Personal Consumption Expenditures (SAAR*) for Corrective Eyeglasses and Contact Lenses, by 2021 Quarters Compared to 2020 and </w:t>
      </w:r>
      <w:r w:rsidRPr="00CC1ECE">
        <w:rPr>
          <w:rFonts w:ascii="Verdana" w:hAnsi="Verdana"/>
          <w:b/>
          <w:sz w:val="20"/>
          <w:szCs w:val="20"/>
        </w:rPr>
        <w:t>20</w:t>
      </w:r>
      <w:r>
        <w:rPr>
          <w:rFonts w:ascii="Verdana" w:hAnsi="Verdana"/>
          <w:b/>
          <w:sz w:val="20"/>
          <w:szCs w:val="20"/>
        </w:rPr>
        <w:t>19</w:t>
      </w:r>
    </w:p>
    <w:tbl>
      <w:tblPr>
        <w:tblW w:w="5319" w:type="dxa"/>
        <w:jc w:val="center"/>
        <w:tblBorders>
          <w:left w:val="single" w:sz="8" w:space="0" w:color="000000"/>
          <w:right w:val="single" w:sz="8" w:space="0" w:color="000000"/>
        </w:tblBorders>
        <w:tblLayout w:type="fixed"/>
        <w:tblLook w:val="0000" w:firstRow="0" w:lastRow="0" w:firstColumn="0" w:lastColumn="0" w:noHBand="0" w:noVBand="0"/>
      </w:tblPr>
      <w:tblGrid>
        <w:gridCol w:w="1215"/>
        <w:gridCol w:w="1368"/>
        <w:gridCol w:w="1368"/>
        <w:gridCol w:w="1368"/>
      </w:tblGrid>
      <w:tr w:rsidR="00B935E0" w:rsidRPr="00CC1ECE" w14:paraId="1E750E58" w14:textId="77777777" w:rsidTr="009A0719">
        <w:trPr>
          <w:jc w:val="center"/>
        </w:trPr>
        <w:tc>
          <w:tcPr>
            <w:tcW w:w="1215"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207197DE" w14:textId="77777777" w:rsidR="00B935E0" w:rsidRPr="00CC1ECE" w:rsidRDefault="00B935E0"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Quarter</w:t>
            </w:r>
          </w:p>
        </w:tc>
        <w:tc>
          <w:tcPr>
            <w:tcW w:w="1368" w:type="dxa"/>
            <w:tcBorders>
              <w:top w:val="single" w:sz="12" w:space="0" w:color="000000"/>
              <w:left w:val="single" w:sz="18" w:space="0" w:color="0070C0"/>
              <w:bottom w:val="single" w:sz="18" w:space="0" w:color="C0504D" w:themeColor="accent2"/>
              <w:right w:val="single" w:sz="12" w:space="0" w:color="0070C0"/>
            </w:tcBorders>
            <w:shd w:val="clear" w:color="auto" w:fill="auto"/>
            <w:vAlign w:val="center"/>
          </w:tcPr>
          <w:p w14:paraId="40DBEBED" w14:textId="77777777" w:rsidR="00B935E0" w:rsidRPr="00CC1ECE" w:rsidRDefault="00B935E0"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w:t>
            </w:r>
          </w:p>
        </w:tc>
        <w:tc>
          <w:tcPr>
            <w:tcW w:w="1368" w:type="dxa"/>
            <w:tcBorders>
              <w:top w:val="single" w:sz="12" w:space="0" w:color="000000"/>
              <w:left w:val="single" w:sz="12" w:space="0" w:color="0070C0"/>
              <w:bottom w:val="single" w:sz="18" w:space="0" w:color="C0504D" w:themeColor="accent2"/>
              <w:right w:val="single" w:sz="8" w:space="0" w:color="0070C0"/>
            </w:tcBorders>
            <w:shd w:val="clear" w:color="auto" w:fill="auto"/>
            <w:vAlign w:val="center"/>
          </w:tcPr>
          <w:p w14:paraId="4FF6B97D" w14:textId="77777777" w:rsidR="00B935E0" w:rsidRPr="00CC1ECE" w:rsidRDefault="00B935E0"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YOY Change from 2020</w:t>
            </w:r>
          </w:p>
        </w:tc>
        <w:tc>
          <w:tcPr>
            <w:tcW w:w="1368"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4736DACF" w14:textId="77777777" w:rsidR="00B935E0" w:rsidRDefault="00B935E0"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YOY Change from 2019</w:t>
            </w:r>
          </w:p>
        </w:tc>
      </w:tr>
      <w:tr w:rsidR="00B935E0" w:rsidRPr="00CC1ECE" w14:paraId="78AAAAB4" w14:textId="77777777" w:rsidTr="00B935E0">
        <w:trPr>
          <w:trHeight w:val="243"/>
          <w:jc w:val="center"/>
        </w:trPr>
        <w:tc>
          <w:tcPr>
            <w:tcW w:w="121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0BB402F7" w14:textId="77777777" w:rsidR="00B935E0" w:rsidRPr="00CC1ECE" w:rsidRDefault="00B935E0"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Q1</w:t>
            </w:r>
          </w:p>
        </w:tc>
        <w:tc>
          <w:tcPr>
            <w:tcW w:w="1368"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13E26BAA" w14:textId="7AB06D34" w:rsidR="00B935E0" w:rsidRPr="00CC1ECE" w:rsidRDefault="00B935E0"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$43.42 B</w:t>
            </w:r>
          </w:p>
        </w:tc>
        <w:tc>
          <w:tcPr>
            <w:tcW w:w="1368" w:type="dxa"/>
            <w:tcBorders>
              <w:top w:val="single" w:sz="18" w:space="0" w:color="C0504D" w:themeColor="accent2"/>
              <w:left w:val="single" w:sz="12" w:space="0" w:color="0070C0"/>
              <w:bottom w:val="single" w:sz="4" w:space="0" w:color="000000"/>
              <w:right w:val="single" w:sz="8" w:space="0" w:color="0070C0"/>
            </w:tcBorders>
            <w:shd w:val="clear" w:color="auto" w:fill="D6E3BC" w:themeFill="accent3" w:themeFillTint="66"/>
            <w:vAlign w:val="center"/>
          </w:tcPr>
          <w:p w14:paraId="7049197E" w14:textId="7F30BC91" w:rsidR="00B935E0" w:rsidRPr="00CC1ECE" w:rsidRDefault="00B935E0"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+12.9%</w:t>
            </w:r>
          </w:p>
        </w:tc>
        <w:tc>
          <w:tcPr>
            <w:tcW w:w="1368" w:type="dxa"/>
            <w:tcBorders>
              <w:top w:val="single" w:sz="18" w:space="0" w:color="C0504D" w:themeColor="accent2"/>
              <w:left w:val="single" w:sz="8" w:space="0" w:color="0070C0"/>
              <w:bottom w:val="single" w:sz="4" w:space="0" w:color="000000"/>
              <w:right w:val="single" w:sz="12" w:space="0" w:color="auto"/>
            </w:tcBorders>
            <w:shd w:val="clear" w:color="auto" w:fill="D6E3BC" w:themeFill="accent3" w:themeFillTint="66"/>
            <w:vAlign w:val="center"/>
          </w:tcPr>
          <w:p w14:paraId="3F63F494" w14:textId="74B843C1" w:rsidR="00B935E0" w:rsidRPr="00CC1ECE" w:rsidRDefault="00B935E0"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+13.3%</w:t>
            </w:r>
          </w:p>
        </w:tc>
      </w:tr>
      <w:tr w:rsidR="00B935E0" w:rsidRPr="00CC1ECE" w14:paraId="098FE4C6" w14:textId="77777777" w:rsidTr="00B935E0">
        <w:trPr>
          <w:trHeight w:val="243"/>
          <w:jc w:val="center"/>
        </w:trPr>
        <w:tc>
          <w:tcPr>
            <w:tcW w:w="121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663AC88" w14:textId="77777777" w:rsidR="00B935E0" w:rsidRPr="00CC1ECE" w:rsidRDefault="00B935E0"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Q2 </w:t>
            </w:r>
          </w:p>
        </w:tc>
        <w:tc>
          <w:tcPr>
            <w:tcW w:w="1368"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78DEC208" w14:textId="3EF9D5BB" w:rsidR="00B935E0" w:rsidRPr="00CC1ECE" w:rsidRDefault="00B935E0"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$43.80 B</w:t>
            </w:r>
          </w:p>
        </w:tc>
        <w:tc>
          <w:tcPr>
            <w:tcW w:w="1368" w:type="dxa"/>
            <w:tcBorders>
              <w:top w:val="single" w:sz="4" w:space="0" w:color="000000"/>
              <w:left w:val="single" w:sz="12" w:space="0" w:color="0070C0"/>
              <w:bottom w:val="single" w:sz="4" w:space="0" w:color="000000"/>
              <w:right w:val="single" w:sz="8" w:space="0" w:color="0070C0"/>
            </w:tcBorders>
            <w:shd w:val="clear" w:color="auto" w:fill="00B050"/>
            <w:vAlign w:val="center"/>
          </w:tcPr>
          <w:p w14:paraId="14C6AAF0" w14:textId="56274BA5" w:rsidR="00B935E0" w:rsidRPr="00CC1ECE" w:rsidRDefault="00B935E0"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+54.1%</w:t>
            </w:r>
          </w:p>
        </w:tc>
        <w:tc>
          <w:tcPr>
            <w:tcW w:w="1368"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249880BF" w14:textId="5C3378AD" w:rsidR="00B935E0" w:rsidRPr="00CC1ECE" w:rsidRDefault="00B935E0"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+14.8%</w:t>
            </w:r>
          </w:p>
        </w:tc>
      </w:tr>
      <w:tr w:rsidR="00B935E0" w:rsidRPr="00CC1ECE" w14:paraId="5D0AEE3D" w14:textId="77777777" w:rsidTr="00B935E0">
        <w:trPr>
          <w:trHeight w:val="243"/>
          <w:jc w:val="center"/>
        </w:trPr>
        <w:tc>
          <w:tcPr>
            <w:tcW w:w="121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70483B0C" w14:textId="77777777" w:rsidR="00B935E0" w:rsidRPr="00CC1ECE" w:rsidRDefault="00B935E0"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Q3</w:t>
            </w:r>
          </w:p>
        </w:tc>
        <w:tc>
          <w:tcPr>
            <w:tcW w:w="1368"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1E0E2144" w14:textId="41075B63" w:rsidR="00B935E0" w:rsidRPr="00CC1ECE" w:rsidRDefault="00B935E0"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$43.94 B</w:t>
            </w:r>
          </w:p>
        </w:tc>
        <w:tc>
          <w:tcPr>
            <w:tcW w:w="1368" w:type="dxa"/>
            <w:tcBorders>
              <w:top w:val="single" w:sz="4" w:space="0" w:color="000000"/>
              <w:left w:val="single" w:sz="12" w:space="0" w:color="0070C0"/>
              <w:bottom w:val="single" w:sz="12" w:space="0" w:color="000000"/>
              <w:right w:val="single" w:sz="8" w:space="0" w:color="0070C0"/>
            </w:tcBorders>
            <w:shd w:val="clear" w:color="auto" w:fill="C2D69B" w:themeFill="accent3" w:themeFillTint="99"/>
            <w:vAlign w:val="center"/>
          </w:tcPr>
          <w:p w14:paraId="1F1EE261" w14:textId="759781FA" w:rsidR="00B935E0" w:rsidRPr="00CC1ECE" w:rsidRDefault="00B935E0"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+16.9%</w:t>
            </w:r>
          </w:p>
        </w:tc>
        <w:tc>
          <w:tcPr>
            <w:tcW w:w="1368" w:type="dxa"/>
            <w:tcBorders>
              <w:top w:val="single" w:sz="4" w:space="0" w:color="000000"/>
              <w:left w:val="single" w:sz="8" w:space="0" w:color="0070C0"/>
              <w:bottom w:val="single" w:sz="12" w:space="0" w:color="000000"/>
              <w:right w:val="single" w:sz="12" w:space="0" w:color="auto"/>
            </w:tcBorders>
            <w:shd w:val="clear" w:color="auto" w:fill="C2D69B" w:themeFill="accent3" w:themeFillTint="99"/>
            <w:vAlign w:val="center"/>
          </w:tcPr>
          <w:p w14:paraId="7EDF714F" w14:textId="6E69250B" w:rsidR="00B935E0" w:rsidRPr="00CC1ECE" w:rsidRDefault="00B935E0"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+15.2%</w:t>
            </w:r>
          </w:p>
        </w:tc>
      </w:tr>
    </w:tbl>
    <w:p w14:paraId="076294D2" w14:textId="62713C2F" w:rsidR="00B935E0" w:rsidRDefault="00B935E0" w:rsidP="00B935E0">
      <w:pPr>
        <w:pStyle w:val="NoSpacing"/>
        <w:tabs>
          <w:tab w:val="left" w:pos="2070"/>
        </w:tabs>
        <w:contextualSpacing/>
        <w:rPr>
          <w:rFonts w:ascii="Verdana" w:hAnsi="Verdana"/>
          <w:sz w:val="16"/>
          <w:szCs w:val="16"/>
        </w:rPr>
      </w:pPr>
      <w:r>
        <w:rPr>
          <w:rFonts w:ascii="Verdana" w:hAnsi="Verdana"/>
          <w:sz w:val="16"/>
          <w:szCs w:val="16"/>
        </w:rPr>
        <w:tab/>
        <w:t>Bureau of Economic Analysis</w:t>
      </w:r>
      <w:r w:rsidRPr="00CC1ECE">
        <w:rPr>
          <w:rFonts w:ascii="Verdana" w:hAnsi="Verdana"/>
          <w:sz w:val="16"/>
          <w:szCs w:val="16"/>
        </w:rPr>
        <w:t xml:space="preserve">, </w:t>
      </w:r>
      <w:r>
        <w:rPr>
          <w:rFonts w:ascii="Verdana" w:hAnsi="Verdana"/>
          <w:sz w:val="16"/>
          <w:szCs w:val="16"/>
        </w:rPr>
        <w:t>January 2022</w:t>
      </w:r>
      <w:r>
        <w:rPr>
          <w:rFonts w:ascii="Verdana" w:hAnsi="Verdana"/>
          <w:sz w:val="16"/>
          <w:szCs w:val="16"/>
        </w:rPr>
        <w:tab/>
      </w:r>
    </w:p>
    <w:p w14:paraId="6BF3FD06" w14:textId="77777777" w:rsidR="00B935E0" w:rsidRDefault="00B935E0" w:rsidP="00B935E0">
      <w:pPr>
        <w:pStyle w:val="NoSpacing"/>
        <w:tabs>
          <w:tab w:val="left" w:pos="2070"/>
        </w:tabs>
        <w:contextualSpacing/>
        <w:rPr>
          <w:sz w:val="20"/>
          <w:szCs w:val="20"/>
        </w:rPr>
      </w:pPr>
      <w:r>
        <w:rPr>
          <w:rFonts w:ascii="Verdana" w:hAnsi="Verdana"/>
          <w:sz w:val="16"/>
          <w:szCs w:val="16"/>
        </w:rPr>
        <w:tab/>
        <w:t>*Seasonally Adjusted Annual Rate, not quarterly sales total</w:t>
      </w:r>
    </w:p>
    <w:p w14:paraId="7C90D8D5" w14:textId="0367B3DF" w:rsidR="00940985" w:rsidRPr="006A2C8B" w:rsidRDefault="00940985" w:rsidP="006A2C8B">
      <w:pPr>
        <w:spacing w:after="0" w:line="240" w:lineRule="auto"/>
        <w:contextualSpacing/>
        <w:mirrorIndents/>
        <w:jc w:val="center"/>
        <w:rPr>
          <w:rFonts w:ascii="Verdana" w:hAnsi="Verdana"/>
          <w:b/>
          <w:bCs/>
          <w:color w:val="0070C0"/>
          <w:sz w:val="20"/>
          <w:szCs w:val="20"/>
        </w:rPr>
      </w:pPr>
      <w:r w:rsidRPr="006A2C8B">
        <w:rPr>
          <w:rFonts w:ascii="Verdana" w:hAnsi="Verdana"/>
          <w:b/>
          <w:bCs/>
          <w:color w:val="0070C0"/>
          <w:sz w:val="20"/>
          <w:szCs w:val="20"/>
        </w:rPr>
        <w:lastRenderedPageBreak/>
        <w:t>Optometrists Practice Metrics Improve</w:t>
      </w:r>
    </w:p>
    <w:p w14:paraId="5BDB63F4" w14:textId="77777777" w:rsidR="00940985" w:rsidRPr="00940985" w:rsidRDefault="00940985" w:rsidP="00940985">
      <w:pPr>
        <w:spacing w:after="0" w:line="240" w:lineRule="auto"/>
        <w:contextualSpacing/>
        <w:mirrorIndents/>
        <w:rPr>
          <w:rFonts w:ascii="Verdana" w:hAnsi="Verdana"/>
          <w:sz w:val="20"/>
          <w:szCs w:val="20"/>
        </w:rPr>
      </w:pPr>
    </w:p>
    <w:p w14:paraId="3111806F" w14:textId="13C81540" w:rsidR="006A2C8B" w:rsidRDefault="00DC09DC" w:rsidP="00940985">
      <w:pPr>
        <w:spacing w:after="0" w:line="240" w:lineRule="auto"/>
        <w:contextualSpacing/>
        <w:mirrorIndents/>
        <w:rPr>
          <w:rFonts w:ascii="Verdana" w:hAnsi="Verdana"/>
          <w:sz w:val="20"/>
          <w:szCs w:val="20"/>
        </w:rPr>
      </w:pPr>
      <w:r>
        <w:rPr>
          <w:rFonts w:ascii="Verdana" w:hAnsi="Verdana"/>
          <w:sz w:val="20"/>
          <w:szCs w:val="20"/>
        </w:rPr>
        <w:t>The last Jobson Coronavirus survey of eyecare practices during December 2021 found a 12% YOY increase in profitability per patient, although the metric was still 1% less than the equivalent 2019 survey.</w:t>
      </w:r>
    </w:p>
    <w:p w14:paraId="7DE3E355" w14:textId="2A951EBA" w:rsidR="00DC09DC" w:rsidRDefault="00DC09DC" w:rsidP="00940985">
      <w:pPr>
        <w:spacing w:after="0" w:line="240" w:lineRule="auto"/>
        <w:contextualSpacing/>
        <w:mirrorIndents/>
        <w:rPr>
          <w:rFonts w:ascii="Verdana" w:hAnsi="Verdana"/>
          <w:sz w:val="20"/>
          <w:szCs w:val="20"/>
        </w:rPr>
      </w:pPr>
    </w:p>
    <w:p w14:paraId="35C8A04F" w14:textId="46737796" w:rsidR="00DC09DC" w:rsidRDefault="00DC09DC" w:rsidP="00940985">
      <w:pPr>
        <w:spacing w:after="0" w:line="240" w:lineRule="auto"/>
        <w:contextualSpacing/>
        <w:mirrorIndents/>
        <w:rPr>
          <w:rFonts w:ascii="Verdana" w:hAnsi="Verdana"/>
          <w:sz w:val="20"/>
          <w:szCs w:val="20"/>
        </w:rPr>
      </w:pPr>
      <w:r>
        <w:rPr>
          <w:rFonts w:ascii="Verdana" w:hAnsi="Verdana"/>
          <w:sz w:val="20"/>
          <w:szCs w:val="20"/>
        </w:rPr>
        <w:t xml:space="preserve">Overall practice revenue increased 15% YOY and 1% from 2019. The 14% YOY increase in patients per day and the 14% YOY increase in optical sales were likely </w:t>
      </w:r>
      <w:r w:rsidR="00AF5FF9">
        <w:rPr>
          <w:rFonts w:ascii="Verdana" w:hAnsi="Verdana"/>
          <w:sz w:val="20"/>
          <w:szCs w:val="20"/>
        </w:rPr>
        <w:t>p</w:t>
      </w:r>
      <w:r>
        <w:rPr>
          <w:rFonts w:ascii="Verdana" w:hAnsi="Verdana"/>
          <w:sz w:val="20"/>
          <w:szCs w:val="20"/>
        </w:rPr>
        <w:t>rimary factors.</w:t>
      </w:r>
    </w:p>
    <w:p w14:paraId="43B222DD" w14:textId="23F0586C" w:rsidR="00DC09DC" w:rsidRDefault="00DC09DC" w:rsidP="00940985">
      <w:pPr>
        <w:spacing w:after="0" w:line="240" w:lineRule="auto"/>
        <w:contextualSpacing/>
        <w:mirrorIndents/>
        <w:rPr>
          <w:rFonts w:ascii="Verdana" w:hAnsi="Verdana"/>
          <w:sz w:val="20"/>
          <w:szCs w:val="20"/>
        </w:rPr>
      </w:pPr>
    </w:p>
    <w:p w14:paraId="567CDC6F" w14:textId="67F4A87E" w:rsidR="00DC09DC" w:rsidRDefault="00B70DE3" w:rsidP="00940985">
      <w:pPr>
        <w:spacing w:after="0" w:line="240" w:lineRule="auto"/>
        <w:contextualSpacing/>
        <w:mirrorIndents/>
        <w:rPr>
          <w:rFonts w:ascii="Verdana" w:hAnsi="Verdana"/>
          <w:sz w:val="20"/>
          <w:szCs w:val="20"/>
        </w:rPr>
      </w:pPr>
      <w:r>
        <w:rPr>
          <w:rFonts w:ascii="Verdana" w:hAnsi="Verdana"/>
          <w:sz w:val="20"/>
          <w:szCs w:val="20"/>
        </w:rPr>
        <w:t xml:space="preserve">Based on data from GPN, a software and data company for the optical industry, </w:t>
      </w:r>
      <w:r w:rsidR="0062064C" w:rsidRPr="001A2BD5">
        <w:rPr>
          <w:rFonts w:ascii="Verdana" w:hAnsi="Verdana"/>
          <w:i/>
          <w:iCs/>
          <w:sz w:val="20"/>
          <w:szCs w:val="20"/>
        </w:rPr>
        <w:t>Eyecare Business</w:t>
      </w:r>
      <w:r>
        <w:rPr>
          <w:rFonts w:ascii="Verdana" w:hAnsi="Verdana"/>
          <w:sz w:val="20"/>
          <w:szCs w:val="20"/>
        </w:rPr>
        <w:t xml:space="preserve"> reports total </w:t>
      </w:r>
      <w:r w:rsidR="001A2BD5">
        <w:rPr>
          <w:rFonts w:ascii="Verdana" w:hAnsi="Verdana"/>
          <w:sz w:val="20"/>
          <w:szCs w:val="20"/>
        </w:rPr>
        <w:t>patient payments</w:t>
      </w:r>
      <w:r>
        <w:rPr>
          <w:rFonts w:ascii="Verdana" w:hAnsi="Verdana"/>
          <w:sz w:val="20"/>
          <w:szCs w:val="20"/>
        </w:rPr>
        <w:t xml:space="preserve"> at practices </w:t>
      </w:r>
      <w:r w:rsidR="001A2BD5">
        <w:rPr>
          <w:rFonts w:ascii="Verdana" w:hAnsi="Verdana"/>
          <w:sz w:val="20"/>
          <w:szCs w:val="20"/>
        </w:rPr>
        <w:t>in</w:t>
      </w:r>
      <w:r>
        <w:rPr>
          <w:rFonts w:ascii="Verdana" w:hAnsi="Verdana"/>
          <w:sz w:val="20"/>
          <w:szCs w:val="20"/>
        </w:rPr>
        <w:t xml:space="preserve">creased </w:t>
      </w:r>
      <w:r w:rsidR="001A2BD5">
        <w:rPr>
          <w:rFonts w:ascii="Verdana" w:hAnsi="Verdana"/>
          <w:sz w:val="20"/>
          <w:szCs w:val="20"/>
        </w:rPr>
        <w:t>5.9</w:t>
      </w:r>
      <w:r>
        <w:rPr>
          <w:rFonts w:ascii="Verdana" w:hAnsi="Verdana"/>
          <w:sz w:val="20"/>
          <w:szCs w:val="20"/>
        </w:rPr>
        <w:t xml:space="preserve">% during December 2021 compared to December 2020 and </w:t>
      </w:r>
      <w:r w:rsidR="001A2BD5">
        <w:rPr>
          <w:rFonts w:ascii="Verdana" w:hAnsi="Verdana"/>
          <w:sz w:val="20"/>
          <w:szCs w:val="20"/>
        </w:rPr>
        <w:t>11.7</w:t>
      </w:r>
      <w:r>
        <w:rPr>
          <w:rFonts w:ascii="Verdana" w:hAnsi="Verdana"/>
          <w:sz w:val="20"/>
          <w:szCs w:val="20"/>
        </w:rPr>
        <w:t>% from December 2019.</w:t>
      </w:r>
    </w:p>
    <w:p w14:paraId="46CDB02C" w14:textId="77777777" w:rsidR="006A2C8B" w:rsidRDefault="006A2C8B" w:rsidP="00940985">
      <w:pPr>
        <w:spacing w:after="0" w:line="240" w:lineRule="auto"/>
        <w:contextualSpacing/>
        <w:mirrorIndents/>
        <w:rPr>
          <w:rFonts w:ascii="Verdana" w:hAnsi="Verdana"/>
          <w:sz w:val="20"/>
          <w:szCs w:val="20"/>
        </w:rPr>
      </w:pPr>
    </w:p>
    <w:p w14:paraId="66A08F18" w14:textId="77777777" w:rsidR="001A2BD5" w:rsidRDefault="00B70DE3" w:rsidP="00B70DE3">
      <w:pPr>
        <w:pStyle w:val="Header"/>
        <w:contextualSpacing/>
        <w:jc w:val="center"/>
        <w:rPr>
          <w:rFonts w:ascii="Verdana" w:hAnsi="Verdana"/>
          <w:b/>
          <w:sz w:val="20"/>
          <w:szCs w:val="20"/>
        </w:rPr>
      </w:pPr>
      <w:r>
        <w:rPr>
          <w:rFonts w:ascii="Verdana" w:hAnsi="Verdana"/>
          <w:b/>
          <w:sz w:val="20"/>
          <w:szCs w:val="20"/>
        </w:rPr>
        <w:t>Practic</w:t>
      </w:r>
      <w:r w:rsidR="001A2BD5">
        <w:rPr>
          <w:rFonts w:ascii="Verdana" w:hAnsi="Verdana"/>
          <w:b/>
          <w:sz w:val="20"/>
          <w:szCs w:val="20"/>
        </w:rPr>
        <w:t xml:space="preserve">e Total for Exams and Eyewear Sold During </w:t>
      </w:r>
    </w:p>
    <w:p w14:paraId="75530A20" w14:textId="389E6855" w:rsidR="00B70DE3" w:rsidRPr="00CC1ECE" w:rsidRDefault="001A2BD5" w:rsidP="001A2BD5">
      <w:pPr>
        <w:pStyle w:val="Header"/>
        <w:contextualSpacing/>
        <w:jc w:val="center"/>
        <w:rPr>
          <w:rFonts w:ascii="Verdana" w:hAnsi="Verdana"/>
          <w:b/>
          <w:sz w:val="20"/>
          <w:szCs w:val="20"/>
        </w:rPr>
      </w:pPr>
      <w:r>
        <w:rPr>
          <w:rFonts w:ascii="Verdana" w:hAnsi="Verdana"/>
          <w:b/>
          <w:sz w:val="20"/>
          <w:szCs w:val="20"/>
        </w:rPr>
        <w:t xml:space="preserve">December </w:t>
      </w:r>
      <w:r w:rsidR="00B70DE3">
        <w:rPr>
          <w:rFonts w:ascii="Verdana" w:hAnsi="Verdana"/>
          <w:b/>
          <w:sz w:val="20"/>
          <w:szCs w:val="20"/>
        </w:rPr>
        <w:t xml:space="preserve">2021 Compared to </w:t>
      </w:r>
      <w:r>
        <w:rPr>
          <w:rFonts w:ascii="Verdana" w:hAnsi="Verdana"/>
          <w:b/>
          <w:sz w:val="20"/>
          <w:szCs w:val="20"/>
        </w:rPr>
        <w:t xml:space="preserve">December </w:t>
      </w:r>
      <w:r w:rsidR="00B70DE3">
        <w:rPr>
          <w:rFonts w:ascii="Verdana" w:hAnsi="Verdana"/>
          <w:b/>
          <w:sz w:val="20"/>
          <w:szCs w:val="20"/>
        </w:rPr>
        <w:t xml:space="preserve">2020 and </w:t>
      </w:r>
      <w:r>
        <w:rPr>
          <w:rFonts w:ascii="Verdana" w:hAnsi="Verdana"/>
          <w:b/>
          <w:sz w:val="20"/>
          <w:szCs w:val="20"/>
        </w:rPr>
        <w:t xml:space="preserve">December </w:t>
      </w:r>
      <w:r w:rsidR="00B70DE3" w:rsidRPr="00CC1ECE">
        <w:rPr>
          <w:rFonts w:ascii="Verdana" w:hAnsi="Verdana"/>
          <w:b/>
          <w:sz w:val="20"/>
          <w:szCs w:val="20"/>
        </w:rPr>
        <w:t>20</w:t>
      </w:r>
      <w:r w:rsidR="00B70DE3">
        <w:rPr>
          <w:rFonts w:ascii="Verdana" w:hAnsi="Verdana"/>
          <w:b/>
          <w:sz w:val="20"/>
          <w:szCs w:val="20"/>
        </w:rPr>
        <w:t>19</w:t>
      </w:r>
    </w:p>
    <w:tbl>
      <w:tblPr>
        <w:tblW w:w="5421" w:type="dxa"/>
        <w:jc w:val="center"/>
        <w:tblBorders>
          <w:left w:val="single" w:sz="8" w:space="0" w:color="000000"/>
          <w:right w:val="single" w:sz="8" w:space="0" w:color="000000"/>
        </w:tblBorders>
        <w:tblLayout w:type="fixed"/>
        <w:tblLook w:val="0000" w:firstRow="0" w:lastRow="0" w:firstColumn="0" w:lastColumn="0" w:noHBand="0" w:noVBand="0"/>
      </w:tblPr>
      <w:tblGrid>
        <w:gridCol w:w="2685"/>
        <w:gridCol w:w="1368"/>
        <w:gridCol w:w="1368"/>
      </w:tblGrid>
      <w:tr w:rsidR="001A2BD5" w:rsidRPr="00CC1ECE" w14:paraId="037226CC" w14:textId="77777777" w:rsidTr="001A2BD5">
        <w:trPr>
          <w:jc w:val="center"/>
        </w:trPr>
        <w:tc>
          <w:tcPr>
            <w:tcW w:w="2685"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0DB86AC2" w14:textId="56E915DD" w:rsidR="001A2BD5" w:rsidRPr="00CC1ECE" w:rsidRDefault="001A2BD5"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Service/Product</w:t>
            </w:r>
          </w:p>
        </w:tc>
        <w:tc>
          <w:tcPr>
            <w:tcW w:w="1368" w:type="dxa"/>
            <w:tcBorders>
              <w:top w:val="single" w:sz="12" w:space="0" w:color="000000"/>
              <w:left w:val="single" w:sz="18" w:space="0" w:color="0070C0"/>
              <w:bottom w:val="single" w:sz="18" w:space="0" w:color="C0504D" w:themeColor="accent2"/>
              <w:right w:val="single" w:sz="12" w:space="0" w:color="0070C0"/>
            </w:tcBorders>
            <w:shd w:val="clear" w:color="auto" w:fill="auto"/>
            <w:vAlign w:val="center"/>
          </w:tcPr>
          <w:p w14:paraId="76E45523" w14:textId="0BBD8B19" w:rsidR="001A2BD5" w:rsidRPr="00CC1ECE" w:rsidRDefault="001A2BD5"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Compared to 2020</w:t>
            </w:r>
          </w:p>
        </w:tc>
        <w:tc>
          <w:tcPr>
            <w:tcW w:w="1368"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7BA4FC5B" w14:textId="241C5CE7" w:rsidR="001A2BD5" w:rsidRDefault="001A2BD5"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Compared to 2019</w:t>
            </w:r>
          </w:p>
        </w:tc>
      </w:tr>
      <w:tr w:rsidR="001A2BD5" w:rsidRPr="00CC1ECE" w14:paraId="236F1058" w14:textId="77777777" w:rsidTr="00C567C6">
        <w:trPr>
          <w:trHeight w:val="243"/>
          <w:jc w:val="center"/>
        </w:trPr>
        <w:tc>
          <w:tcPr>
            <w:tcW w:w="268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4D471DC6" w14:textId="60AACFFB" w:rsidR="001A2BD5" w:rsidRPr="00CC1ECE" w:rsidRDefault="001A2BD5"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Exams</w:t>
            </w:r>
          </w:p>
        </w:tc>
        <w:tc>
          <w:tcPr>
            <w:tcW w:w="1368" w:type="dxa"/>
            <w:tcBorders>
              <w:top w:val="single" w:sz="18" w:space="0" w:color="C0504D" w:themeColor="accent2"/>
              <w:left w:val="single" w:sz="18" w:space="0" w:color="0070C0"/>
              <w:bottom w:val="single" w:sz="4" w:space="0" w:color="000000"/>
              <w:right w:val="single" w:sz="12" w:space="0" w:color="0070C0"/>
            </w:tcBorders>
            <w:shd w:val="clear" w:color="auto" w:fill="F2DBDB" w:themeFill="accent2" w:themeFillTint="33"/>
            <w:vAlign w:val="center"/>
          </w:tcPr>
          <w:p w14:paraId="3C4E2194" w14:textId="79EE335C" w:rsidR="001A2BD5" w:rsidRPr="00CC1ECE" w:rsidRDefault="001A2BD5"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-0.3%</w:t>
            </w:r>
          </w:p>
        </w:tc>
        <w:tc>
          <w:tcPr>
            <w:tcW w:w="1368" w:type="dxa"/>
            <w:tcBorders>
              <w:top w:val="single" w:sz="18" w:space="0" w:color="C0504D" w:themeColor="accent2"/>
              <w:left w:val="single" w:sz="8" w:space="0" w:color="0070C0"/>
              <w:bottom w:val="single" w:sz="4" w:space="0" w:color="000000"/>
              <w:right w:val="single" w:sz="12" w:space="0" w:color="auto"/>
            </w:tcBorders>
            <w:shd w:val="clear" w:color="auto" w:fill="F2DBDB" w:themeFill="accent2" w:themeFillTint="33"/>
            <w:vAlign w:val="center"/>
          </w:tcPr>
          <w:p w14:paraId="4D0A691B" w14:textId="1409C3F1" w:rsidR="001A2BD5" w:rsidRPr="00CC1ECE" w:rsidRDefault="001A2BD5"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-0.4%</w:t>
            </w:r>
          </w:p>
        </w:tc>
      </w:tr>
      <w:tr w:rsidR="001A2BD5" w:rsidRPr="00CC1ECE" w14:paraId="730AF498" w14:textId="77777777" w:rsidTr="001A2BD5">
        <w:trPr>
          <w:trHeight w:val="243"/>
          <w:jc w:val="center"/>
        </w:trPr>
        <w:tc>
          <w:tcPr>
            <w:tcW w:w="268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66F103E" w14:textId="6F7C69CE" w:rsidR="001A2BD5" w:rsidRPr="00CC1ECE" w:rsidRDefault="001A2BD5"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Frames</w:t>
            </w:r>
          </w:p>
        </w:tc>
        <w:tc>
          <w:tcPr>
            <w:tcW w:w="1368" w:type="dxa"/>
            <w:tcBorders>
              <w:top w:val="single" w:sz="4" w:space="0" w:color="000000"/>
              <w:left w:val="single" w:sz="18" w:space="0" w:color="0070C0"/>
              <w:bottom w:val="single" w:sz="4" w:space="0" w:color="000000"/>
              <w:right w:val="single" w:sz="12" w:space="0" w:color="0070C0"/>
            </w:tcBorders>
            <w:shd w:val="clear" w:color="auto" w:fill="E5B8B7" w:themeFill="accent2" w:themeFillTint="66"/>
            <w:vAlign w:val="center"/>
          </w:tcPr>
          <w:p w14:paraId="1DCF0C7E" w14:textId="6DD9518B" w:rsidR="001A2BD5" w:rsidRPr="00CC1ECE" w:rsidRDefault="001A2BD5"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w:t>
            </w:r>
          </w:p>
        </w:tc>
        <w:tc>
          <w:tcPr>
            <w:tcW w:w="1368"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5EB2238E" w14:textId="668EE9F4" w:rsidR="001A2BD5" w:rsidRPr="00CC1ECE" w:rsidRDefault="001A2BD5"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+0.6%</w:t>
            </w:r>
          </w:p>
        </w:tc>
      </w:tr>
      <w:tr w:rsidR="001A2BD5" w:rsidRPr="00CC1ECE" w14:paraId="5D93D063" w14:textId="77777777" w:rsidTr="001A2BD5">
        <w:trPr>
          <w:trHeight w:val="243"/>
          <w:jc w:val="center"/>
        </w:trPr>
        <w:tc>
          <w:tcPr>
            <w:tcW w:w="268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9374324" w14:textId="3707FA15" w:rsidR="001A2BD5" w:rsidRPr="00CC1ECE" w:rsidRDefault="001A2BD5"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Lenses</w:t>
            </w:r>
          </w:p>
        </w:tc>
        <w:tc>
          <w:tcPr>
            <w:tcW w:w="1368" w:type="dxa"/>
            <w:tcBorders>
              <w:top w:val="single" w:sz="4" w:space="0" w:color="000000"/>
              <w:left w:val="single" w:sz="18" w:space="0" w:color="0070C0"/>
              <w:bottom w:val="single" w:sz="4" w:space="0" w:color="000000"/>
              <w:right w:val="single" w:sz="12" w:space="0" w:color="0070C0"/>
            </w:tcBorders>
            <w:shd w:val="clear" w:color="auto" w:fill="E5B8B7" w:themeFill="accent2" w:themeFillTint="66"/>
            <w:vAlign w:val="center"/>
          </w:tcPr>
          <w:p w14:paraId="5817A3B4" w14:textId="556A71BD" w:rsidR="001A2BD5" w:rsidRPr="00CC1ECE" w:rsidRDefault="001A2BD5"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-2.9%</w:t>
            </w:r>
          </w:p>
        </w:tc>
        <w:tc>
          <w:tcPr>
            <w:tcW w:w="1368"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1DFBBD24" w14:textId="694F5B30" w:rsidR="001A2BD5" w:rsidRPr="00CC1ECE" w:rsidRDefault="001A2BD5"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w:t>
            </w:r>
          </w:p>
        </w:tc>
      </w:tr>
      <w:tr w:rsidR="001A2BD5" w:rsidRPr="00CC1ECE" w14:paraId="3DC92BAF" w14:textId="77777777" w:rsidTr="001A2BD5">
        <w:trPr>
          <w:trHeight w:val="243"/>
          <w:jc w:val="center"/>
        </w:trPr>
        <w:tc>
          <w:tcPr>
            <w:tcW w:w="268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38054E79" w14:textId="65570406" w:rsidR="001A2BD5" w:rsidRPr="00CC1ECE" w:rsidRDefault="001A2BD5"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Boxes of contact lenses</w:t>
            </w:r>
          </w:p>
        </w:tc>
        <w:tc>
          <w:tcPr>
            <w:tcW w:w="1368" w:type="dxa"/>
            <w:tcBorders>
              <w:top w:val="single" w:sz="4" w:space="0" w:color="000000"/>
              <w:left w:val="single" w:sz="18" w:space="0" w:color="0070C0"/>
              <w:bottom w:val="single" w:sz="12" w:space="0" w:color="000000"/>
              <w:right w:val="single" w:sz="12" w:space="0" w:color="0070C0"/>
            </w:tcBorders>
            <w:shd w:val="clear" w:color="auto" w:fill="E5B8B7" w:themeFill="accent2" w:themeFillTint="66"/>
            <w:vAlign w:val="center"/>
          </w:tcPr>
          <w:p w14:paraId="3EA0546B" w14:textId="2252AED8" w:rsidR="001A2BD5" w:rsidRPr="00CC1ECE" w:rsidRDefault="001A2BD5"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w:t>
            </w:r>
          </w:p>
        </w:tc>
        <w:tc>
          <w:tcPr>
            <w:tcW w:w="1368" w:type="dxa"/>
            <w:tcBorders>
              <w:top w:val="single" w:sz="4" w:space="0" w:color="000000"/>
              <w:left w:val="single" w:sz="8" w:space="0" w:color="0070C0"/>
              <w:bottom w:val="single" w:sz="12" w:space="0" w:color="000000"/>
              <w:right w:val="single" w:sz="12" w:space="0" w:color="auto"/>
            </w:tcBorders>
            <w:shd w:val="clear" w:color="auto" w:fill="E5B8B7" w:themeFill="accent2" w:themeFillTint="66"/>
            <w:vAlign w:val="center"/>
          </w:tcPr>
          <w:p w14:paraId="74ECDC37" w14:textId="65DD1605" w:rsidR="001A2BD5" w:rsidRPr="00CC1ECE" w:rsidRDefault="001A2BD5"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w:t>
            </w:r>
          </w:p>
        </w:tc>
      </w:tr>
    </w:tbl>
    <w:p w14:paraId="699D9C3B" w14:textId="36884F43" w:rsidR="00B70DE3" w:rsidRDefault="00B70DE3" w:rsidP="001A2BD5">
      <w:pPr>
        <w:pStyle w:val="NoSpacing"/>
        <w:tabs>
          <w:tab w:val="left" w:pos="1980"/>
        </w:tabs>
        <w:contextualSpacing/>
        <w:rPr>
          <w:rFonts w:ascii="Verdana" w:hAnsi="Verdana"/>
          <w:sz w:val="16"/>
          <w:szCs w:val="16"/>
        </w:rPr>
      </w:pPr>
      <w:r>
        <w:rPr>
          <w:rFonts w:ascii="Verdana" w:hAnsi="Verdana"/>
          <w:sz w:val="16"/>
          <w:szCs w:val="16"/>
        </w:rPr>
        <w:tab/>
      </w:r>
      <w:r w:rsidR="001A2BD5" w:rsidRPr="001A2BD5">
        <w:rPr>
          <w:rFonts w:ascii="Verdana" w:hAnsi="Verdana"/>
          <w:i/>
          <w:iCs/>
          <w:sz w:val="16"/>
          <w:szCs w:val="16"/>
        </w:rPr>
        <w:t>Eyecare Business</w:t>
      </w:r>
      <w:r w:rsidR="001A2BD5">
        <w:rPr>
          <w:rFonts w:ascii="Verdana" w:hAnsi="Verdana"/>
          <w:sz w:val="16"/>
          <w:szCs w:val="16"/>
        </w:rPr>
        <w:t xml:space="preserve"> (GPN)</w:t>
      </w:r>
      <w:r w:rsidRPr="00CC1ECE">
        <w:rPr>
          <w:rFonts w:ascii="Verdana" w:hAnsi="Verdana"/>
          <w:sz w:val="16"/>
          <w:szCs w:val="16"/>
        </w:rPr>
        <w:t xml:space="preserve">, </w:t>
      </w:r>
      <w:r>
        <w:rPr>
          <w:rFonts w:ascii="Verdana" w:hAnsi="Verdana"/>
          <w:sz w:val="16"/>
          <w:szCs w:val="16"/>
        </w:rPr>
        <w:t>January 2022</w:t>
      </w:r>
      <w:r>
        <w:rPr>
          <w:rFonts w:ascii="Verdana" w:hAnsi="Verdana"/>
          <w:sz w:val="16"/>
          <w:szCs w:val="16"/>
        </w:rPr>
        <w:tab/>
      </w:r>
    </w:p>
    <w:p w14:paraId="16776D12" w14:textId="77777777" w:rsidR="006A2C8B" w:rsidRDefault="006A2C8B" w:rsidP="00940985">
      <w:pPr>
        <w:spacing w:after="0" w:line="240" w:lineRule="auto"/>
        <w:contextualSpacing/>
        <w:mirrorIndents/>
        <w:rPr>
          <w:rFonts w:ascii="Verdana" w:hAnsi="Verdana"/>
          <w:sz w:val="20"/>
          <w:szCs w:val="20"/>
        </w:rPr>
      </w:pPr>
    </w:p>
    <w:p w14:paraId="0A967C28" w14:textId="5BEC61F9" w:rsidR="00940985" w:rsidRPr="006461BB" w:rsidRDefault="00940985" w:rsidP="006461BB">
      <w:pPr>
        <w:spacing w:after="0" w:line="240" w:lineRule="auto"/>
        <w:contextualSpacing/>
        <w:mirrorIndents/>
        <w:jc w:val="center"/>
        <w:rPr>
          <w:rFonts w:ascii="Verdana" w:hAnsi="Verdana"/>
          <w:b/>
          <w:bCs/>
          <w:color w:val="0070C0"/>
          <w:sz w:val="20"/>
          <w:szCs w:val="20"/>
        </w:rPr>
      </w:pPr>
      <w:r w:rsidRPr="006461BB">
        <w:rPr>
          <w:rFonts w:ascii="Verdana" w:hAnsi="Verdana"/>
          <w:b/>
          <w:bCs/>
          <w:color w:val="0070C0"/>
          <w:sz w:val="20"/>
          <w:szCs w:val="20"/>
        </w:rPr>
        <w:t>Many Optometrists Are Still in Recovery Mode</w:t>
      </w:r>
    </w:p>
    <w:p w14:paraId="4A25CF51" w14:textId="77777777" w:rsidR="00940985" w:rsidRPr="00940985" w:rsidRDefault="00940985" w:rsidP="00940985">
      <w:pPr>
        <w:spacing w:after="0" w:line="240" w:lineRule="auto"/>
        <w:contextualSpacing/>
        <w:mirrorIndents/>
        <w:rPr>
          <w:rFonts w:ascii="Verdana" w:hAnsi="Verdana"/>
          <w:sz w:val="20"/>
          <w:szCs w:val="20"/>
        </w:rPr>
      </w:pPr>
    </w:p>
    <w:p w14:paraId="54FE5728" w14:textId="609CE2CB" w:rsidR="006461BB" w:rsidRDefault="006461BB" w:rsidP="00940985">
      <w:pPr>
        <w:spacing w:after="0" w:line="240" w:lineRule="auto"/>
        <w:contextualSpacing/>
        <w:mirrorIndents/>
        <w:rPr>
          <w:rFonts w:ascii="Verdana" w:hAnsi="Verdana"/>
          <w:sz w:val="20"/>
          <w:szCs w:val="20"/>
        </w:rPr>
      </w:pPr>
      <w:r>
        <w:rPr>
          <w:rFonts w:ascii="Verdana" w:hAnsi="Verdana"/>
          <w:sz w:val="20"/>
          <w:szCs w:val="20"/>
        </w:rPr>
        <w:t xml:space="preserve">Although 98% of </w:t>
      </w:r>
      <w:r w:rsidR="003C5CC8">
        <w:rPr>
          <w:rFonts w:ascii="Verdana" w:hAnsi="Verdana"/>
          <w:sz w:val="20"/>
          <w:szCs w:val="20"/>
        </w:rPr>
        <w:t xml:space="preserve">eyecare practices responding to the Jobson December 2021 </w:t>
      </w:r>
      <w:r w:rsidR="00FF2ACE">
        <w:rPr>
          <w:rFonts w:ascii="Verdana" w:hAnsi="Verdana"/>
          <w:sz w:val="20"/>
          <w:szCs w:val="20"/>
        </w:rPr>
        <w:t xml:space="preserve">survey </w:t>
      </w:r>
      <w:r w:rsidR="003C5CC8">
        <w:rPr>
          <w:rFonts w:ascii="Verdana" w:hAnsi="Verdana"/>
          <w:sz w:val="20"/>
          <w:szCs w:val="20"/>
        </w:rPr>
        <w:t xml:space="preserve">said their practices were opened, 54% said they could serve more patients than </w:t>
      </w:r>
      <w:r w:rsidR="00FF2ACE">
        <w:rPr>
          <w:rFonts w:ascii="Verdana" w:hAnsi="Verdana"/>
          <w:sz w:val="20"/>
          <w:szCs w:val="20"/>
        </w:rPr>
        <w:t xml:space="preserve">they were </w:t>
      </w:r>
      <w:r w:rsidR="003C5CC8">
        <w:rPr>
          <w:rFonts w:ascii="Verdana" w:hAnsi="Verdana"/>
          <w:sz w:val="20"/>
          <w:szCs w:val="20"/>
        </w:rPr>
        <w:t>currently. The biggest reason was a lack of staff at 54%.</w:t>
      </w:r>
    </w:p>
    <w:p w14:paraId="54DAAF06" w14:textId="64795A6F" w:rsidR="003C5CC8" w:rsidRDefault="003C5CC8" w:rsidP="00940985">
      <w:pPr>
        <w:spacing w:after="0" w:line="240" w:lineRule="auto"/>
        <w:contextualSpacing/>
        <w:mirrorIndents/>
        <w:rPr>
          <w:rFonts w:ascii="Verdana" w:hAnsi="Verdana"/>
          <w:sz w:val="20"/>
          <w:szCs w:val="20"/>
        </w:rPr>
      </w:pPr>
    </w:p>
    <w:p w14:paraId="1E8F4BB0" w14:textId="6B6D55D5" w:rsidR="003C5CC8" w:rsidRDefault="003C5CC8" w:rsidP="00940985">
      <w:pPr>
        <w:spacing w:after="0" w:line="240" w:lineRule="auto"/>
        <w:contextualSpacing/>
        <w:mirrorIndents/>
        <w:rPr>
          <w:rFonts w:ascii="Verdana" w:hAnsi="Verdana"/>
          <w:sz w:val="20"/>
          <w:szCs w:val="20"/>
        </w:rPr>
      </w:pPr>
      <w:r>
        <w:rPr>
          <w:rFonts w:ascii="Verdana" w:hAnsi="Verdana"/>
          <w:sz w:val="20"/>
          <w:szCs w:val="20"/>
        </w:rPr>
        <w:t>Other barriers to serving more patients were lack of patient traffic 15%, government restrictions due to COVID-19 10% and other</w:t>
      </w:r>
      <w:r w:rsidR="00A20445">
        <w:rPr>
          <w:rFonts w:ascii="Verdana" w:hAnsi="Verdana"/>
          <w:sz w:val="20"/>
          <w:szCs w:val="20"/>
        </w:rPr>
        <w:t>s</w:t>
      </w:r>
      <w:r>
        <w:rPr>
          <w:rFonts w:ascii="Verdana" w:hAnsi="Verdana"/>
          <w:sz w:val="20"/>
          <w:szCs w:val="20"/>
        </w:rPr>
        <w:t xml:space="preserve"> 36%. 66% of practices also said they were experiencing limited product inventory because of supply chain issues. </w:t>
      </w:r>
    </w:p>
    <w:p w14:paraId="1B181611" w14:textId="061344C6" w:rsidR="003C5CC8" w:rsidRDefault="003C5CC8" w:rsidP="00940985">
      <w:pPr>
        <w:spacing w:after="0" w:line="240" w:lineRule="auto"/>
        <w:contextualSpacing/>
        <w:mirrorIndents/>
        <w:rPr>
          <w:rFonts w:ascii="Verdana" w:hAnsi="Verdana"/>
          <w:sz w:val="20"/>
          <w:szCs w:val="20"/>
        </w:rPr>
      </w:pPr>
    </w:p>
    <w:p w14:paraId="2C42150E" w14:textId="13027870" w:rsidR="003C5CC8" w:rsidRDefault="003C5CC8" w:rsidP="00940985">
      <w:pPr>
        <w:spacing w:after="0" w:line="240" w:lineRule="auto"/>
        <w:contextualSpacing/>
        <w:mirrorIndents/>
        <w:rPr>
          <w:rFonts w:ascii="Verdana" w:hAnsi="Verdana"/>
          <w:sz w:val="20"/>
          <w:szCs w:val="20"/>
        </w:rPr>
      </w:pPr>
      <w:r>
        <w:rPr>
          <w:rFonts w:ascii="Verdana" w:hAnsi="Verdana"/>
          <w:sz w:val="20"/>
          <w:szCs w:val="20"/>
        </w:rPr>
        <w:t xml:space="preserve">Almost half (46%) of survey respondents said product delivery delays </w:t>
      </w:r>
      <w:r w:rsidR="00DF2CA1">
        <w:rPr>
          <w:rFonts w:ascii="Verdana" w:hAnsi="Verdana"/>
          <w:sz w:val="20"/>
          <w:szCs w:val="20"/>
        </w:rPr>
        <w:t>were three to four weeks, which increased substantially from 37% during July 2021.</w:t>
      </w:r>
      <w:r>
        <w:rPr>
          <w:rFonts w:ascii="Verdana" w:hAnsi="Verdana"/>
          <w:sz w:val="20"/>
          <w:szCs w:val="20"/>
        </w:rPr>
        <w:t xml:space="preserve"> </w:t>
      </w:r>
      <w:r w:rsidR="00DF2CA1">
        <w:rPr>
          <w:rFonts w:ascii="Verdana" w:hAnsi="Verdana"/>
          <w:sz w:val="20"/>
          <w:szCs w:val="20"/>
        </w:rPr>
        <w:t xml:space="preserve">Unfortunately, 58% thought patients would only be willing to wait two weeks for the frames they ordered. </w:t>
      </w:r>
    </w:p>
    <w:p w14:paraId="2A243BD6" w14:textId="77777777" w:rsidR="006461BB" w:rsidRDefault="006461BB" w:rsidP="00940985">
      <w:pPr>
        <w:spacing w:after="0" w:line="240" w:lineRule="auto"/>
        <w:contextualSpacing/>
        <w:mirrorIndents/>
        <w:rPr>
          <w:rFonts w:ascii="Verdana" w:hAnsi="Verdana"/>
          <w:sz w:val="20"/>
          <w:szCs w:val="20"/>
        </w:rPr>
      </w:pPr>
    </w:p>
    <w:p w14:paraId="6BD78921" w14:textId="77777777" w:rsidR="00342401" w:rsidRDefault="00342401" w:rsidP="00342401">
      <w:pPr>
        <w:pStyle w:val="Header"/>
        <w:contextualSpacing/>
        <w:jc w:val="center"/>
        <w:rPr>
          <w:rFonts w:ascii="Verdana" w:hAnsi="Verdana"/>
          <w:b/>
          <w:sz w:val="20"/>
          <w:szCs w:val="20"/>
        </w:rPr>
      </w:pPr>
      <w:r>
        <w:rPr>
          <w:rFonts w:ascii="Verdana" w:hAnsi="Verdana"/>
          <w:b/>
          <w:sz w:val="20"/>
          <w:szCs w:val="20"/>
        </w:rPr>
        <w:t xml:space="preserve">Eyecare Practices’ Concern They May Have to Close Their Business </w:t>
      </w:r>
    </w:p>
    <w:p w14:paraId="13A63619" w14:textId="4677F2E5" w:rsidR="00342401" w:rsidRPr="00CC1ECE" w:rsidRDefault="00342401" w:rsidP="00342401">
      <w:pPr>
        <w:pStyle w:val="Header"/>
        <w:contextualSpacing/>
        <w:jc w:val="center"/>
        <w:rPr>
          <w:rFonts w:ascii="Verdana" w:hAnsi="Verdana"/>
          <w:b/>
          <w:sz w:val="20"/>
          <w:szCs w:val="20"/>
        </w:rPr>
      </w:pPr>
      <w:r>
        <w:rPr>
          <w:rFonts w:ascii="Verdana" w:hAnsi="Verdana"/>
          <w:b/>
          <w:sz w:val="20"/>
          <w:szCs w:val="20"/>
        </w:rPr>
        <w:t>Because of the Omicron Variant of COVID-19, September and December 2021</w:t>
      </w:r>
    </w:p>
    <w:tbl>
      <w:tblPr>
        <w:tblW w:w="5166" w:type="dxa"/>
        <w:jc w:val="center"/>
        <w:tblBorders>
          <w:left w:val="single" w:sz="8" w:space="0" w:color="000000"/>
          <w:right w:val="single" w:sz="8" w:space="0" w:color="000000"/>
        </w:tblBorders>
        <w:tblLayout w:type="fixed"/>
        <w:tblLook w:val="0000" w:firstRow="0" w:lastRow="0" w:firstColumn="0" w:lastColumn="0" w:noHBand="0" w:noVBand="0"/>
      </w:tblPr>
      <w:tblGrid>
        <w:gridCol w:w="2430"/>
        <w:gridCol w:w="1368"/>
        <w:gridCol w:w="1368"/>
      </w:tblGrid>
      <w:tr w:rsidR="00342401" w:rsidRPr="00CC1ECE" w14:paraId="22B867AB" w14:textId="77777777" w:rsidTr="00FF2ACE">
        <w:trPr>
          <w:jc w:val="center"/>
        </w:trPr>
        <w:tc>
          <w:tcPr>
            <w:tcW w:w="2430"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6A7622C3" w14:textId="1BAFDE42" w:rsidR="00342401" w:rsidRPr="00CC1ECE" w:rsidRDefault="00342401" w:rsidP="00FF2AC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Level of Concern</w:t>
            </w:r>
          </w:p>
        </w:tc>
        <w:tc>
          <w:tcPr>
            <w:tcW w:w="1368" w:type="dxa"/>
            <w:tcBorders>
              <w:top w:val="single" w:sz="12" w:space="0" w:color="000000"/>
              <w:left w:val="single" w:sz="18" w:space="0" w:color="0070C0"/>
              <w:bottom w:val="single" w:sz="18" w:space="0" w:color="C0504D" w:themeColor="accent2"/>
              <w:right w:val="single" w:sz="12" w:space="0" w:color="0070C0"/>
            </w:tcBorders>
            <w:shd w:val="clear" w:color="auto" w:fill="auto"/>
            <w:vAlign w:val="center"/>
          </w:tcPr>
          <w:p w14:paraId="51209032" w14:textId="323A51D9" w:rsidR="00342401" w:rsidRPr="00CC1ECE" w:rsidRDefault="00342401" w:rsidP="00FF2AC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December 2021</w:t>
            </w:r>
          </w:p>
        </w:tc>
        <w:tc>
          <w:tcPr>
            <w:tcW w:w="1368"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6948A395" w14:textId="0641854D" w:rsidR="00342401" w:rsidRDefault="00342401" w:rsidP="00FF2AC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July 2021</w:t>
            </w:r>
          </w:p>
        </w:tc>
      </w:tr>
      <w:tr w:rsidR="00342401" w:rsidRPr="00CC1ECE" w14:paraId="731CCE73" w14:textId="77777777" w:rsidTr="00B72CB3">
        <w:trPr>
          <w:trHeight w:val="243"/>
          <w:jc w:val="center"/>
        </w:trPr>
        <w:tc>
          <w:tcPr>
            <w:tcW w:w="2430"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176DCB1D" w14:textId="5EF40DA8" w:rsidR="00342401" w:rsidRPr="00CC1ECE" w:rsidRDefault="00342401"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Very concerned</w:t>
            </w:r>
          </w:p>
        </w:tc>
        <w:tc>
          <w:tcPr>
            <w:tcW w:w="1368" w:type="dxa"/>
            <w:tcBorders>
              <w:top w:val="single" w:sz="18" w:space="0" w:color="C0504D" w:themeColor="accent2"/>
              <w:left w:val="single" w:sz="18" w:space="0" w:color="0070C0"/>
              <w:bottom w:val="single" w:sz="4" w:space="0" w:color="000000"/>
              <w:right w:val="single" w:sz="12" w:space="0" w:color="0070C0"/>
            </w:tcBorders>
            <w:shd w:val="clear" w:color="auto" w:fill="FF0000"/>
            <w:vAlign w:val="center"/>
          </w:tcPr>
          <w:p w14:paraId="6A15CFA7" w14:textId="47C8E072" w:rsidR="00342401" w:rsidRPr="00CC1ECE" w:rsidRDefault="00342401"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w:t>
            </w:r>
          </w:p>
        </w:tc>
        <w:tc>
          <w:tcPr>
            <w:tcW w:w="1368" w:type="dxa"/>
            <w:tcBorders>
              <w:top w:val="single" w:sz="18" w:space="0" w:color="C0504D" w:themeColor="accent2"/>
              <w:left w:val="single" w:sz="8" w:space="0" w:color="0070C0"/>
              <w:bottom w:val="single" w:sz="4" w:space="0" w:color="000000"/>
              <w:right w:val="single" w:sz="12" w:space="0" w:color="auto"/>
            </w:tcBorders>
            <w:shd w:val="clear" w:color="auto" w:fill="FF0000"/>
            <w:vAlign w:val="center"/>
          </w:tcPr>
          <w:p w14:paraId="61CC3BBE" w14:textId="7032A34A" w:rsidR="00342401" w:rsidRPr="00CC1ECE" w:rsidRDefault="00342401"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w:t>
            </w:r>
          </w:p>
        </w:tc>
      </w:tr>
      <w:tr w:rsidR="00342401" w:rsidRPr="00CC1ECE" w14:paraId="4508A8E5" w14:textId="77777777" w:rsidTr="00B72CB3">
        <w:trPr>
          <w:trHeight w:val="243"/>
          <w:jc w:val="center"/>
        </w:trPr>
        <w:tc>
          <w:tcPr>
            <w:tcW w:w="243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3328F73B" w14:textId="6192EFD2" w:rsidR="00342401" w:rsidRPr="00CC1ECE" w:rsidRDefault="00342401"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Somewhat concerned</w:t>
            </w:r>
          </w:p>
        </w:tc>
        <w:tc>
          <w:tcPr>
            <w:tcW w:w="1368" w:type="dxa"/>
            <w:tcBorders>
              <w:top w:val="single" w:sz="4" w:space="0" w:color="000000"/>
              <w:left w:val="single" w:sz="18" w:space="0" w:color="0070C0"/>
              <w:bottom w:val="single" w:sz="4" w:space="0" w:color="000000"/>
              <w:right w:val="single" w:sz="12" w:space="0" w:color="0070C0"/>
            </w:tcBorders>
            <w:shd w:val="clear" w:color="auto" w:fill="D99594" w:themeFill="accent2" w:themeFillTint="99"/>
            <w:vAlign w:val="center"/>
          </w:tcPr>
          <w:p w14:paraId="45A16A2D" w14:textId="4A0E143E" w:rsidR="00342401" w:rsidRPr="00CC1ECE" w:rsidRDefault="00342401"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w:t>
            </w:r>
          </w:p>
        </w:tc>
        <w:tc>
          <w:tcPr>
            <w:tcW w:w="1368" w:type="dxa"/>
            <w:tcBorders>
              <w:top w:val="single" w:sz="4" w:space="0" w:color="000000"/>
              <w:left w:val="single" w:sz="8" w:space="0" w:color="0070C0"/>
              <w:bottom w:val="single" w:sz="4" w:space="0" w:color="000000"/>
              <w:right w:val="single" w:sz="12" w:space="0" w:color="auto"/>
            </w:tcBorders>
            <w:shd w:val="clear" w:color="auto" w:fill="D99594" w:themeFill="accent2" w:themeFillTint="99"/>
            <w:vAlign w:val="center"/>
          </w:tcPr>
          <w:p w14:paraId="5C730EB9" w14:textId="535926E4" w:rsidR="00342401" w:rsidRPr="00CC1ECE" w:rsidRDefault="00342401"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w:t>
            </w:r>
          </w:p>
        </w:tc>
      </w:tr>
      <w:tr w:rsidR="00342401" w:rsidRPr="00CC1ECE" w14:paraId="32AB56B4" w14:textId="77777777" w:rsidTr="00B72CB3">
        <w:trPr>
          <w:trHeight w:val="243"/>
          <w:jc w:val="center"/>
        </w:trPr>
        <w:tc>
          <w:tcPr>
            <w:tcW w:w="243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8444349" w14:textId="55B96021" w:rsidR="00342401" w:rsidRPr="00CC1ECE" w:rsidRDefault="00342401"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Not sure</w:t>
            </w:r>
          </w:p>
        </w:tc>
        <w:tc>
          <w:tcPr>
            <w:tcW w:w="1368" w:type="dxa"/>
            <w:tcBorders>
              <w:top w:val="single" w:sz="4" w:space="0" w:color="000000"/>
              <w:left w:val="single" w:sz="18" w:space="0" w:color="0070C0"/>
              <w:bottom w:val="single" w:sz="4" w:space="0" w:color="000000"/>
              <w:right w:val="single" w:sz="12" w:space="0" w:color="0070C0"/>
            </w:tcBorders>
            <w:shd w:val="clear" w:color="auto" w:fill="F2F2F2" w:themeFill="background1" w:themeFillShade="F2"/>
            <w:vAlign w:val="center"/>
          </w:tcPr>
          <w:p w14:paraId="6DD64F83" w14:textId="5B6AC392" w:rsidR="00342401" w:rsidRPr="00CC1ECE" w:rsidRDefault="00342401"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w:t>
            </w:r>
          </w:p>
        </w:tc>
        <w:tc>
          <w:tcPr>
            <w:tcW w:w="1368" w:type="dxa"/>
            <w:tcBorders>
              <w:top w:val="single" w:sz="4" w:space="0" w:color="000000"/>
              <w:left w:val="single" w:sz="8" w:space="0" w:color="0070C0"/>
              <w:bottom w:val="single" w:sz="4" w:space="0" w:color="000000"/>
              <w:right w:val="single" w:sz="12" w:space="0" w:color="auto"/>
            </w:tcBorders>
            <w:shd w:val="clear" w:color="auto" w:fill="F2F2F2" w:themeFill="background1" w:themeFillShade="F2"/>
            <w:vAlign w:val="center"/>
          </w:tcPr>
          <w:p w14:paraId="51B54881" w14:textId="1AC674AB" w:rsidR="00342401" w:rsidRPr="00CC1ECE" w:rsidRDefault="00342401"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w:t>
            </w:r>
          </w:p>
        </w:tc>
      </w:tr>
      <w:tr w:rsidR="00342401" w:rsidRPr="00CC1ECE" w14:paraId="7E9B6385" w14:textId="77777777" w:rsidTr="00D21494">
        <w:trPr>
          <w:trHeight w:val="243"/>
          <w:jc w:val="center"/>
        </w:trPr>
        <w:tc>
          <w:tcPr>
            <w:tcW w:w="243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722A090F" w14:textId="62755ED8" w:rsidR="00342401" w:rsidRPr="00CC1ECE" w:rsidRDefault="00342401"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Not that concerned</w:t>
            </w:r>
          </w:p>
        </w:tc>
        <w:tc>
          <w:tcPr>
            <w:tcW w:w="1368" w:type="dxa"/>
            <w:tcBorders>
              <w:top w:val="single" w:sz="4" w:space="0" w:color="000000"/>
              <w:left w:val="single" w:sz="18" w:space="0" w:color="0070C0"/>
              <w:bottom w:val="single" w:sz="12" w:space="0" w:color="000000"/>
              <w:right w:val="single" w:sz="12" w:space="0" w:color="0070C0"/>
            </w:tcBorders>
            <w:shd w:val="clear" w:color="auto" w:fill="00B050"/>
            <w:vAlign w:val="center"/>
          </w:tcPr>
          <w:p w14:paraId="51AA8434" w14:textId="55E1F9D7" w:rsidR="00342401" w:rsidRPr="00CC1ECE" w:rsidRDefault="00342401"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41%</w:t>
            </w:r>
          </w:p>
        </w:tc>
        <w:tc>
          <w:tcPr>
            <w:tcW w:w="1368" w:type="dxa"/>
            <w:tcBorders>
              <w:top w:val="single" w:sz="4" w:space="0" w:color="000000"/>
              <w:left w:val="single" w:sz="8" w:space="0" w:color="0070C0"/>
              <w:bottom w:val="single" w:sz="12" w:space="0" w:color="000000"/>
              <w:right w:val="single" w:sz="12" w:space="0" w:color="auto"/>
            </w:tcBorders>
            <w:shd w:val="clear" w:color="auto" w:fill="00B050"/>
            <w:vAlign w:val="center"/>
          </w:tcPr>
          <w:p w14:paraId="159E8D32" w14:textId="64DB5388" w:rsidR="00342401" w:rsidRPr="00CC1ECE" w:rsidRDefault="00342401"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46%</w:t>
            </w:r>
          </w:p>
        </w:tc>
      </w:tr>
    </w:tbl>
    <w:p w14:paraId="7FF61C32" w14:textId="52C42671" w:rsidR="006461BB" w:rsidRDefault="00342401" w:rsidP="00342401">
      <w:pPr>
        <w:tabs>
          <w:tab w:val="left" w:pos="2160"/>
        </w:tabs>
        <w:spacing w:after="0" w:line="240" w:lineRule="auto"/>
        <w:contextualSpacing/>
        <w:mirrorIndents/>
        <w:rPr>
          <w:rFonts w:ascii="Verdana" w:hAnsi="Verdana"/>
          <w:sz w:val="20"/>
          <w:szCs w:val="20"/>
        </w:rPr>
      </w:pPr>
      <w:r>
        <w:rPr>
          <w:rFonts w:ascii="Verdana" w:hAnsi="Verdana"/>
          <w:sz w:val="16"/>
          <w:szCs w:val="16"/>
        </w:rPr>
        <w:tab/>
      </w:r>
      <w:r>
        <w:rPr>
          <w:rFonts w:ascii="Verdana" w:hAnsi="Verdana"/>
          <w:i/>
          <w:iCs/>
          <w:sz w:val="16"/>
          <w:szCs w:val="16"/>
        </w:rPr>
        <w:t>Vision Monday</w:t>
      </w:r>
      <w:r>
        <w:rPr>
          <w:rFonts w:ascii="Verdana" w:hAnsi="Verdana"/>
          <w:sz w:val="16"/>
          <w:szCs w:val="16"/>
        </w:rPr>
        <w:t xml:space="preserve"> (Jobson)</w:t>
      </w:r>
      <w:r w:rsidRPr="00CC1ECE">
        <w:rPr>
          <w:rFonts w:ascii="Verdana" w:hAnsi="Verdana"/>
          <w:sz w:val="16"/>
          <w:szCs w:val="16"/>
        </w:rPr>
        <w:t xml:space="preserve">, </w:t>
      </w:r>
      <w:r>
        <w:rPr>
          <w:rFonts w:ascii="Verdana" w:hAnsi="Verdana"/>
          <w:sz w:val="16"/>
          <w:szCs w:val="16"/>
        </w:rPr>
        <w:t>January 2022</w:t>
      </w:r>
      <w:r>
        <w:rPr>
          <w:rFonts w:ascii="Verdana" w:hAnsi="Verdana"/>
          <w:sz w:val="16"/>
          <w:szCs w:val="16"/>
        </w:rPr>
        <w:tab/>
      </w:r>
    </w:p>
    <w:p w14:paraId="72486FCF" w14:textId="77777777" w:rsidR="00342401" w:rsidRDefault="00342401" w:rsidP="00940985">
      <w:pPr>
        <w:spacing w:after="0" w:line="240" w:lineRule="auto"/>
        <w:contextualSpacing/>
        <w:mirrorIndents/>
        <w:rPr>
          <w:rFonts w:ascii="Verdana" w:hAnsi="Verdana"/>
          <w:sz w:val="20"/>
          <w:szCs w:val="20"/>
        </w:rPr>
      </w:pPr>
    </w:p>
    <w:p w14:paraId="07A1C511" w14:textId="77777777" w:rsidR="00342401" w:rsidRDefault="00342401" w:rsidP="00940985">
      <w:pPr>
        <w:spacing w:after="0" w:line="240" w:lineRule="auto"/>
        <w:contextualSpacing/>
        <w:mirrorIndents/>
        <w:rPr>
          <w:rFonts w:ascii="Verdana" w:hAnsi="Verdana"/>
          <w:sz w:val="20"/>
          <w:szCs w:val="20"/>
        </w:rPr>
      </w:pPr>
    </w:p>
    <w:p w14:paraId="1ACC04DA" w14:textId="77777777" w:rsidR="00342401" w:rsidRDefault="00342401" w:rsidP="00940985">
      <w:pPr>
        <w:spacing w:after="0" w:line="240" w:lineRule="auto"/>
        <w:contextualSpacing/>
        <w:mirrorIndents/>
        <w:rPr>
          <w:rFonts w:ascii="Verdana" w:hAnsi="Verdana"/>
          <w:sz w:val="20"/>
          <w:szCs w:val="20"/>
        </w:rPr>
      </w:pPr>
    </w:p>
    <w:p w14:paraId="3B9D9A72" w14:textId="5C677E04" w:rsidR="00617A94" w:rsidRPr="00617A94" w:rsidRDefault="00617A94" w:rsidP="00617A94">
      <w:pPr>
        <w:spacing w:after="0" w:line="240" w:lineRule="auto"/>
        <w:contextualSpacing/>
        <w:mirrorIndents/>
        <w:jc w:val="center"/>
        <w:rPr>
          <w:rFonts w:ascii="Verdana" w:hAnsi="Verdana"/>
          <w:b/>
          <w:bCs/>
          <w:color w:val="0070C0"/>
          <w:sz w:val="20"/>
          <w:szCs w:val="20"/>
        </w:rPr>
      </w:pPr>
      <w:r w:rsidRPr="00617A94">
        <w:rPr>
          <w:rFonts w:ascii="Verdana" w:hAnsi="Verdana"/>
          <w:b/>
          <w:bCs/>
          <w:color w:val="0070C0"/>
          <w:sz w:val="20"/>
          <w:szCs w:val="20"/>
        </w:rPr>
        <w:lastRenderedPageBreak/>
        <w:t>Latest Eyecare Practices Insights</w:t>
      </w:r>
    </w:p>
    <w:p w14:paraId="740EA13C" w14:textId="77777777" w:rsidR="00617A94" w:rsidRDefault="00617A94" w:rsidP="00940985">
      <w:pPr>
        <w:spacing w:after="0" w:line="240" w:lineRule="auto"/>
        <w:contextualSpacing/>
        <w:mirrorIndents/>
        <w:rPr>
          <w:rFonts w:ascii="Verdana" w:hAnsi="Verdana"/>
          <w:sz w:val="20"/>
          <w:szCs w:val="20"/>
        </w:rPr>
      </w:pPr>
    </w:p>
    <w:p w14:paraId="3D96A919" w14:textId="60C6F070" w:rsidR="00617A94" w:rsidRDefault="00823545" w:rsidP="00940985">
      <w:pPr>
        <w:spacing w:after="0" w:line="240" w:lineRule="auto"/>
        <w:contextualSpacing/>
        <w:mirrorIndents/>
        <w:rPr>
          <w:rFonts w:ascii="Verdana" w:hAnsi="Verdana"/>
          <w:sz w:val="20"/>
          <w:szCs w:val="20"/>
        </w:rPr>
      </w:pPr>
      <w:r>
        <w:rPr>
          <w:rFonts w:ascii="Verdana" w:hAnsi="Verdana"/>
          <w:sz w:val="20"/>
          <w:szCs w:val="20"/>
        </w:rPr>
        <w:t>The survey of eyecare practices for Eyes on Eyecare’s annual Optometrist Report (2021) found primary eye</w:t>
      </w:r>
      <w:r w:rsidR="00553DCC">
        <w:rPr>
          <w:rFonts w:ascii="Verdana" w:hAnsi="Verdana"/>
          <w:sz w:val="20"/>
          <w:szCs w:val="20"/>
        </w:rPr>
        <w:t xml:space="preserve"> </w:t>
      </w:r>
      <w:r>
        <w:rPr>
          <w:rFonts w:ascii="Verdana" w:hAnsi="Verdana"/>
          <w:sz w:val="20"/>
          <w:szCs w:val="20"/>
        </w:rPr>
        <w:t>care was the “current clinical focus” of 62.8% of respondents, with ocular disease second at 10.8% and cornea and contact lenses third at 7.6%.</w:t>
      </w:r>
    </w:p>
    <w:p w14:paraId="7BD8DA89" w14:textId="4944A584" w:rsidR="00823545" w:rsidRDefault="00823545" w:rsidP="00940985">
      <w:pPr>
        <w:spacing w:after="0" w:line="240" w:lineRule="auto"/>
        <w:contextualSpacing/>
        <w:mirrorIndents/>
        <w:rPr>
          <w:rFonts w:ascii="Verdana" w:hAnsi="Verdana"/>
          <w:sz w:val="20"/>
          <w:szCs w:val="20"/>
        </w:rPr>
      </w:pPr>
    </w:p>
    <w:p w14:paraId="698E9A95" w14:textId="48300A6A" w:rsidR="00823545" w:rsidRDefault="00823545" w:rsidP="00940985">
      <w:pPr>
        <w:spacing w:after="0" w:line="240" w:lineRule="auto"/>
        <w:contextualSpacing/>
        <w:mirrorIndents/>
        <w:rPr>
          <w:rFonts w:ascii="Verdana" w:hAnsi="Verdana"/>
          <w:sz w:val="20"/>
          <w:szCs w:val="20"/>
        </w:rPr>
      </w:pPr>
      <w:r>
        <w:rPr>
          <w:rFonts w:ascii="Verdana" w:hAnsi="Verdana"/>
          <w:sz w:val="20"/>
          <w:szCs w:val="20"/>
        </w:rPr>
        <w:t>The survey/report also revealed a major challenge for these eyecare practices</w:t>
      </w:r>
      <w:r w:rsidR="00D21494">
        <w:rPr>
          <w:rFonts w:ascii="Verdana" w:hAnsi="Verdana"/>
          <w:sz w:val="20"/>
          <w:szCs w:val="20"/>
        </w:rPr>
        <w:t>: P</w:t>
      </w:r>
      <w:r>
        <w:rPr>
          <w:rFonts w:ascii="Verdana" w:hAnsi="Verdana"/>
          <w:sz w:val="20"/>
          <w:szCs w:val="20"/>
        </w:rPr>
        <w:t>atients taking their prescriptions to another optical business, which increased from 33.43% for 2020 to 36.97% for 2021, although the pandemic was likely a factor.</w:t>
      </w:r>
    </w:p>
    <w:p w14:paraId="3FBF310C" w14:textId="24C96411" w:rsidR="00823545" w:rsidRDefault="00823545" w:rsidP="00940985">
      <w:pPr>
        <w:spacing w:after="0" w:line="240" w:lineRule="auto"/>
        <w:contextualSpacing/>
        <w:mirrorIndents/>
        <w:rPr>
          <w:rFonts w:ascii="Verdana" w:hAnsi="Verdana"/>
          <w:sz w:val="20"/>
          <w:szCs w:val="20"/>
        </w:rPr>
      </w:pPr>
    </w:p>
    <w:p w14:paraId="5D109752" w14:textId="7AC1C019" w:rsidR="00823545" w:rsidRDefault="00823545" w:rsidP="00940985">
      <w:pPr>
        <w:spacing w:after="0" w:line="240" w:lineRule="auto"/>
        <w:contextualSpacing/>
        <w:mirrorIndents/>
        <w:rPr>
          <w:rFonts w:ascii="Verdana" w:hAnsi="Verdana"/>
          <w:sz w:val="20"/>
          <w:szCs w:val="20"/>
        </w:rPr>
      </w:pPr>
      <w:r>
        <w:rPr>
          <w:rFonts w:ascii="Verdana" w:hAnsi="Verdana"/>
          <w:sz w:val="20"/>
          <w:szCs w:val="20"/>
        </w:rPr>
        <w:t>Unlike many other medical practices, only a third (33.3%) of these practices said they offered telemedi</w:t>
      </w:r>
      <w:r w:rsidR="00EC1ED3">
        <w:rPr>
          <w:rFonts w:ascii="Verdana" w:hAnsi="Verdana"/>
          <w:sz w:val="20"/>
          <w:szCs w:val="20"/>
        </w:rPr>
        <w:t>cine, but the technology hasn’t advanced enough for eyecare professionals to conduct eye exams remotely.</w:t>
      </w:r>
    </w:p>
    <w:p w14:paraId="75F36BA6" w14:textId="1675C727" w:rsidR="00EC1ED3" w:rsidRDefault="00EC1ED3" w:rsidP="00940985">
      <w:pPr>
        <w:spacing w:after="0" w:line="240" w:lineRule="auto"/>
        <w:contextualSpacing/>
        <w:mirrorIndents/>
        <w:rPr>
          <w:rFonts w:ascii="Verdana" w:hAnsi="Verdana"/>
          <w:sz w:val="20"/>
          <w:szCs w:val="20"/>
        </w:rPr>
      </w:pPr>
    </w:p>
    <w:p w14:paraId="52F194A4" w14:textId="2983F9D2" w:rsidR="00EC1ED3" w:rsidRPr="00E7004E" w:rsidRDefault="00EC1ED3" w:rsidP="00EC1ED3">
      <w:pPr>
        <w:pStyle w:val="Header"/>
        <w:contextualSpacing/>
        <w:jc w:val="center"/>
        <w:rPr>
          <w:rFonts w:ascii="Verdana" w:hAnsi="Verdana"/>
          <w:b/>
          <w:sz w:val="20"/>
          <w:szCs w:val="20"/>
        </w:rPr>
      </w:pPr>
      <w:r>
        <w:rPr>
          <w:rFonts w:ascii="Verdana" w:hAnsi="Verdana"/>
          <w:b/>
          <w:sz w:val="20"/>
          <w:szCs w:val="20"/>
        </w:rPr>
        <w:t>Eyecare Practices’ Estimate of Monthly Marketing Spending</w:t>
      </w:r>
      <w:r w:rsidRPr="00E7004E">
        <w:rPr>
          <w:rFonts w:ascii="Verdana" w:hAnsi="Verdana"/>
          <w:b/>
          <w:sz w:val="20"/>
          <w:szCs w:val="20"/>
        </w:rPr>
        <w:t>, 20</w:t>
      </w:r>
      <w:r>
        <w:rPr>
          <w:rFonts w:ascii="Verdana" w:hAnsi="Verdana"/>
          <w:b/>
          <w:sz w:val="20"/>
          <w:szCs w:val="20"/>
        </w:rPr>
        <w:t>21</w:t>
      </w:r>
    </w:p>
    <w:tbl>
      <w:tblPr>
        <w:tblW w:w="6782" w:type="dxa"/>
        <w:jc w:val="center"/>
        <w:tblBorders>
          <w:left w:val="single" w:sz="8" w:space="0" w:color="000000"/>
          <w:right w:val="single" w:sz="8" w:space="0" w:color="000000"/>
        </w:tblBorders>
        <w:tblLayout w:type="fixed"/>
        <w:tblLook w:val="0000" w:firstRow="0" w:lastRow="0" w:firstColumn="0" w:lastColumn="0" w:noHBand="0" w:noVBand="0"/>
      </w:tblPr>
      <w:tblGrid>
        <w:gridCol w:w="2160"/>
        <w:gridCol w:w="1267"/>
        <w:gridCol w:w="2088"/>
        <w:gridCol w:w="1267"/>
      </w:tblGrid>
      <w:tr w:rsidR="00EC1ED3" w:rsidRPr="00E7004E" w14:paraId="5DD2813E" w14:textId="77777777" w:rsidTr="008A3DCA">
        <w:trPr>
          <w:jc w:val="center"/>
        </w:trPr>
        <w:tc>
          <w:tcPr>
            <w:tcW w:w="2160" w:type="dxa"/>
            <w:tcBorders>
              <w:top w:val="single" w:sz="12" w:space="0" w:color="000000"/>
              <w:left w:val="single" w:sz="12" w:space="0" w:color="000000"/>
              <w:bottom w:val="single" w:sz="18" w:space="0" w:color="C0504D" w:themeColor="accent2"/>
              <w:right w:val="single" w:sz="8" w:space="0" w:color="0070C0"/>
            </w:tcBorders>
            <w:vAlign w:val="center"/>
          </w:tcPr>
          <w:p w14:paraId="18E04979" w14:textId="568BCB1F" w:rsidR="00EC1ED3" w:rsidRPr="00E7004E" w:rsidRDefault="00EC1ED3"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Spending Range</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6F6F5E07" w14:textId="77777777" w:rsidR="00EC1ED3" w:rsidRPr="00E7004E" w:rsidRDefault="00EC1ED3"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2088" w:type="dxa"/>
            <w:tcBorders>
              <w:top w:val="single" w:sz="12" w:space="0" w:color="000000"/>
              <w:left w:val="single" w:sz="18" w:space="0" w:color="0070C0"/>
              <w:bottom w:val="single" w:sz="18" w:space="0" w:color="C0504D" w:themeColor="accent2"/>
              <w:right w:val="single" w:sz="8" w:space="0" w:color="0070C0"/>
            </w:tcBorders>
            <w:vAlign w:val="center"/>
          </w:tcPr>
          <w:p w14:paraId="1E771FCA" w14:textId="4833538B" w:rsidR="00EC1ED3" w:rsidRPr="00E7004E" w:rsidRDefault="00EC1ED3"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Spending Range</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5B0B5BED" w14:textId="77777777" w:rsidR="00EC1ED3" w:rsidRPr="00E7004E" w:rsidRDefault="00EC1ED3"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EC1ED3" w:rsidRPr="00E7004E" w14:paraId="608BE2D6" w14:textId="77777777" w:rsidTr="00B72CB3">
        <w:trPr>
          <w:trHeight w:val="243"/>
          <w:jc w:val="center"/>
        </w:trPr>
        <w:tc>
          <w:tcPr>
            <w:tcW w:w="2160" w:type="dxa"/>
            <w:tcBorders>
              <w:top w:val="single" w:sz="18" w:space="0" w:color="C0504D" w:themeColor="accent2"/>
              <w:left w:val="single" w:sz="12" w:space="0" w:color="000000"/>
              <w:bottom w:val="single" w:sz="4" w:space="0" w:color="auto"/>
              <w:right w:val="single" w:sz="8" w:space="0" w:color="0070C0"/>
            </w:tcBorders>
            <w:vAlign w:val="center"/>
          </w:tcPr>
          <w:p w14:paraId="6FB501CF" w14:textId="01E00812" w:rsidR="00EC1ED3" w:rsidRPr="00E7004E" w:rsidRDefault="00EC1ED3"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Less than $50</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0E135DAF" w14:textId="58A617DE" w:rsidR="00EC1ED3" w:rsidRPr="00E7004E" w:rsidRDefault="00EC1ED3"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29.48%</w:t>
            </w:r>
          </w:p>
        </w:tc>
        <w:tc>
          <w:tcPr>
            <w:tcW w:w="2088"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17FDC33D" w14:textId="57D504D9" w:rsidR="00EC1ED3" w:rsidRPr="00E7004E" w:rsidRDefault="00EC1ED3"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$2,001–$3,000</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D6E3BC" w:themeFill="accent3" w:themeFillTint="66"/>
            <w:vAlign w:val="center"/>
          </w:tcPr>
          <w:p w14:paraId="7D37CBA1" w14:textId="0AC074AA" w:rsidR="00EC1ED3" w:rsidRPr="00E7004E" w:rsidRDefault="00EC1ED3"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4.62%</w:t>
            </w:r>
          </w:p>
        </w:tc>
      </w:tr>
      <w:tr w:rsidR="00EC1ED3" w:rsidRPr="00E7004E" w14:paraId="1400BDEF" w14:textId="77777777" w:rsidTr="00B72CB3">
        <w:trPr>
          <w:trHeight w:val="243"/>
          <w:jc w:val="center"/>
        </w:trPr>
        <w:tc>
          <w:tcPr>
            <w:tcW w:w="2160" w:type="dxa"/>
            <w:tcBorders>
              <w:top w:val="single" w:sz="4" w:space="0" w:color="auto"/>
              <w:left w:val="single" w:sz="12" w:space="0" w:color="000000"/>
              <w:bottom w:val="single" w:sz="4" w:space="0" w:color="000000"/>
              <w:right w:val="single" w:sz="8" w:space="0" w:color="0070C0"/>
            </w:tcBorders>
            <w:vAlign w:val="center"/>
          </w:tcPr>
          <w:p w14:paraId="7BFE79EC" w14:textId="4888B184" w:rsidR="00EC1ED3" w:rsidRPr="00E7004E" w:rsidRDefault="00EC1ED3"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$51–$100</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6C9844D9" w14:textId="3D5BA3D5" w:rsidR="00EC1ED3" w:rsidRPr="00E7004E" w:rsidRDefault="00EC1ED3"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10.40%</w:t>
            </w:r>
          </w:p>
        </w:tc>
        <w:tc>
          <w:tcPr>
            <w:tcW w:w="208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28962B40" w14:textId="3E0DE498" w:rsidR="00EC1ED3" w:rsidRPr="00E7004E" w:rsidRDefault="00EC1ED3"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$3,001–$4,000</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2405F7D0" w14:textId="01BC36CA" w:rsidR="00EC1ED3" w:rsidRPr="00E7004E" w:rsidRDefault="00EC1ED3"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0.58%</w:t>
            </w:r>
          </w:p>
        </w:tc>
      </w:tr>
      <w:tr w:rsidR="00EC1ED3" w:rsidRPr="00E7004E" w14:paraId="072FF852" w14:textId="77777777" w:rsidTr="00B72CB3">
        <w:trPr>
          <w:trHeight w:val="243"/>
          <w:jc w:val="center"/>
        </w:trPr>
        <w:tc>
          <w:tcPr>
            <w:tcW w:w="2160" w:type="dxa"/>
            <w:tcBorders>
              <w:top w:val="single" w:sz="4" w:space="0" w:color="auto"/>
              <w:left w:val="single" w:sz="12" w:space="0" w:color="000000"/>
              <w:bottom w:val="single" w:sz="4" w:space="0" w:color="000000"/>
              <w:right w:val="single" w:sz="8" w:space="0" w:color="0070C0"/>
            </w:tcBorders>
            <w:vAlign w:val="center"/>
          </w:tcPr>
          <w:p w14:paraId="7B83255B" w14:textId="116F4995" w:rsidR="00EC1ED3" w:rsidRPr="00E7004E" w:rsidRDefault="00EC1ED3"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$101–$500</w:t>
            </w:r>
          </w:p>
        </w:tc>
        <w:tc>
          <w:tcPr>
            <w:tcW w:w="1267" w:type="dxa"/>
            <w:tcBorders>
              <w:top w:val="single" w:sz="4" w:space="0" w:color="auto"/>
              <w:left w:val="single" w:sz="8" w:space="0" w:color="0070C0"/>
              <w:bottom w:val="single" w:sz="4" w:space="0" w:color="000000"/>
              <w:right w:val="single" w:sz="18" w:space="0" w:color="0070C0"/>
            </w:tcBorders>
            <w:shd w:val="clear" w:color="auto" w:fill="00B050"/>
            <w:vAlign w:val="center"/>
          </w:tcPr>
          <w:p w14:paraId="713D025A" w14:textId="52DB65E8" w:rsidR="00EC1ED3" w:rsidRPr="00E7004E" w:rsidRDefault="00EC1ED3"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25.43%</w:t>
            </w:r>
          </w:p>
        </w:tc>
        <w:tc>
          <w:tcPr>
            <w:tcW w:w="208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C901EEC" w14:textId="35C9BC45" w:rsidR="00EC1ED3" w:rsidRPr="00E7004E" w:rsidRDefault="00EC1ED3"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$4,001–$5,000</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4FFF10AF" w14:textId="19BF1328" w:rsidR="00EC1ED3" w:rsidRPr="00E7004E" w:rsidRDefault="008A3DCA"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0.58%</w:t>
            </w:r>
          </w:p>
        </w:tc>
      </w:tr>
      <w:tr w:rsidR="00EC1ED3" w:rsidRPr="00E7004E" w14:paraId="1332410A" w14:textId="77777777" w:rsidTr="00B72CB3">
        <w:trPr>
          <w:trHeight w:val="243"/>
          <w:jc w:val="center"/>
        </w:trPr>
        <w:tc>
          <w:tcPr>
            <w:tcW w:w="2160" w:type="dxa"/>
            <w:tcBorders>
              <w:top w:val="single" w:sz="4" w:space="0" w:color="auto"/>
              <w:left w:val="single" w:sz="12" w:space="0" w:color="000000"/>
              <w:bottom w:val="single" w:sz="4" w:space="0" w:color="000000"/>
              <w:right w:val="single" w:sz="8" w:space="0" w:color="0070C0"/>
            </w:tcBorders>
            <w:vAlign w:val="center"/>
          </w:tcPr>
          <w:p w14:paraId="56562719" w14:textId="782FDFAA" w:rsidR="00EC1ED3" w:rsidRPr="00E7004E" w:rsidRDefault="00EC1ED3"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$501–$1,000</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4226C498" w14:textId="4026F32D" w:rsidR="00EC1ED3" w:rsidRPr="00E7004E" w:rsidRDefault="00EC1ED3"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13.29%</w:t>
            </w:r>
          </w:p>
        </w:tc>
        <w:tc>
          <w:tcPr>
            <w:tcW w:w="208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450E53E" w14:textId="0A5EFE03" w:rsidR="00EC1ED3" w:rsidRPr="00E7004E" w:rsidRDefault="008A3DCA"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More than $5,000</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0E775631" w14:textId="480F7C95" w:rsidR="00EC1ED3" w:rsidRPr="00E7004E" w:rsidRDefault="008A3DCA"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2.89%</w:t>
            </w:r>
          </w:p>
        </w:tc>
      </w:tr>
      <w:tr w:rsidR="00EC1ED3" w:rsidRPr="00E7004E" w14:paraId="4A0B3007" w14:textId="77777777" w:rsidTr="00B72CB3">
        <w:trPr>
          <w:trHeight w:val="243"/>
          <w:jc w:val="center"/>
        </w:trPr>
        <w:tc>
          <w:tcPr>
            <w:tcW w:w="2160"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09F5C8B2" w14:textId="7DD41AAA" w:rsidR="00EC1ED3" w:rsidRPr="00E7004E" w:rsidRDefault="00EC1ED3" w:rsidP="00EC1ED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$1,001–$2,000</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352100A6" w14:textId="6B92AF11" w:rsidR="00EC1ED3" w:rsidRPr="00E7004E" w:rsidRDefault="00EC1ED3" w:rsidP="00EC1ED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8.09%</w:t>
            </w:r>
          </w:p>
        </w:tc>
        <w:tc>
          <w:tcPr>
            <w:tcW w:w="2088"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4E22ABAF" w14:textId="4DBAB522" w:rsidR="00EC1ED3" w:rsidRPr="00E7004E" w:rsidRDefault="00EC1ED3" w:rsidP="00EC1ED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Not known</w:t>
            </w:r>
          </w:p>
        </w:tc>
        <w:tc>
          <w:tcPr>
            <w:tcW w:w="1267" w:type="dxa"/>
            <w:tcBorders>
              <w:top w:val="single" w:sz="4" w:space="0" w:color="000000"/>
              <w:left w:val="single" w:sz="8" w:space="0" w:color="0070C0"/>
              <w:bottom w:val="single" w:sz="12" w:space="0" w:color="000000"/>
              <w:right w:val="single" w:sz="12" w:space="0" w:color="000000"/>
            </w:tcBorders>
            <w:shd w:val="clear" w:color="auto" w:fill="D6E3BC" w:themeFill="accent3" w:themeFillTint="66"/>
            <w:vAlign w:val="center"/>
          </w:tcPr>
          <w:p w14:paraId="23212813" w14:textId="0EC3A735" w:rsidR="00EC1ED3" w:rsidRPr="00E7004E" w:rsidRDefault="00EC1ED3" w:rsidP="00EC1ED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4.62%</w:t>
            </w:r>
          </w:p>
        </w:tc>
      </w:tr>
    </w:tbl>
    <w:p w14:paraId="3F65E2C8" w14:textId="5C7FD7F1" w:rsidR="00EC1ED3" w:rsidRDefault="008A3DCA" w:rsidP="008A3DCA">
      <w:pPr>
        <w:tabs>
          <w:tab w:val="left" w:pos="1260"/>
        </w:tabs>
        <w:spacing w:after="0" w:line="240" w:lineRule="auto"/>
        <w:contextualSpacing/>
        <w:mirrorIndents/>
        <w:rPr>
          <w:rFonts w:ascii="Verdana" w:hAnsi="Verdana"/>
          <w:sz w:val="20"/>
          <w:szCs w:val="20"/>
        </w:rPr>
      </w:pPr>
      <w:r>
        <w:rPr>
          <w:rFonts w:ascii="Verdana" w:hAnsi="Verdana"/>
          <w:sz w:val="16"/>
          <w:szCs w:val="16"/>
        </w:rPr>
        <w:tab/>
        <w:t>Eyes on Eyecare</w:t>
      </w:r>
      <w:r w:rsidR="00EC1ED3">
        <w:rPr>
          <w:rFonts w:ascii="Verdana" w:hAnsi="Verdana"/>
          <w:sz w:val="16"/>
          <w:szCs w:val="16"/>
        </w:rPr>
        <w:t>,</w:t>
      </w:r>
      <w:r w:rsidR="00EC1ED3" w:rsidRPr="00E7004E">
        <w:rPr>
          <w:rFonts w:ascii="Verdana" w:hAnsi="Verdana"/>
          <w:sz w:val="16"/>
          <w:szCs w:val="16"/>
        </w:rPr>
        <w:t xml:space="preserve"> </w:t>
      </w:r>
      <w:r w:rsidR="00EC1ED3">
        <w:rPr>
          <w:rFonts w:ascii="Verdana" w:hAnsi="Verdana"/>
          <w:sz w:val="16"/>
          <w:szCs w:val="16"/>
        </w:rPr>
        <w:t>December 2021</w:t>
      </w:r>
      <w:r w:rsidR="00EC1ED3" w:rsidRPr="00E7004E">
        <w:rPr>
          <w:rFonts w:ascii="Verdana" w:hAnsi="Verdana"/>
          <w:sz w:val="16"/>
          <w:szCs w:val="16"/>
        </w:rPr>
        <w:tab/>
      </w:r>
    </w:p>
    <w:p w14:paraId="120B2D1A" w14:textId="77777777" w:rsidR="00617A94" w:rsidRDefault="00617A94" w:rsidP="00940985">
      <w:pPr>
        <w:spacing w:after="0" w:line="240" w:lineRule="auto"/>
        <w:contextualSpacing/>
        <w:mirrorIndents/>
        <w:rPr>
          <w:rFonts w:ascii="Verdana" w:hAnsi="Verdana"/>
          <w:sz w:val="20"/>
          <w:szCs w:val="20"/>
        </w:rPr>
      </w:pPr>
    </w:p>
    <w:p w14:paraId="278F2687" w14:textId="57E1F1EE" w:rsidR="00940985" w:rsidRPr="00CB1D26" w:rsidRDefault="00940985" w:rsidP="00CB1D26">
      <w:pPr>
        <w:spacing w:after="0" w:line="240" w:lineRule="auto"/>
        <w:contextualSpacing/>
        <w:mirrorIndents/>
        <w:jc w:val="center"/>
        <w:rPr>
          <w:rFonts w:ascii="Verdana" w:hAnsi="Verdana"/>
          <w:b/>
          <w:bCs/>
          <w:color w:val="0070C0"/>
          <w:sz w:val="20"/>
          <w:szCs w:val="20"/>
        </w:rPr>
      </w:pPr>
      <w:r w:rsidRPr="00CB1D26">
        <w:rPr>
          <w:rFonts w:ascii="Verdana" w:hAnsi="Verdana"/>
          <w:b/>
          <w:bCs/>
          <w:color w:val="0070C0"/>
          <w:sz w:val="20"/>
          <w:szCs w:val="20"/>
        </w:rPr>
        <w:t>Consumers’ Optical Products Purchase Plans</w:t>
      </w:r>
    </w:p>
    <w:p w14:paraId="39C5C330" w14:textId="14C3302D" w:rsidR="00940985" w:rsidRDefault="00940985" w:rsidP="00940985">
      <w:pPr>
        <w:spacing w:after="0" w:line="240" w:lineRule="auto"/>
        <w:contextualSpacing/>
        <w:mirrorIndents/>
        <w:rPr>
          <w:rFonts w:ascii="Verdana" w:hAnsi="Verdana"/>
          <w:sz w:val="20"/>
          <w:szCs w:val="20"/>
        </w:rPr>
      </w:pPr>
    </w:p>
    <w:p w14:paraId="1F1BEBF1" w14:textId="493B7C13" w:rsidR="00617A94" w:rsidRDefault="00351DD0" w:rsidP="00940985">
      <w:pPr>
        <w:spacing w:after="0" w:line="240" w:lineRule="auto"/>
        <w:contextualSpacing/>
        <w:mirrorIndents/>
        <w:rPr>
          <w:rFonts w:ascii="Verdana" w:hAnsi="Verdana"/>
          <w:sz w:val="20"/>
          <w:szCs w:val="20"/>
        </w:rPr>
      </w:pPr>
      <w:r>
        <w:rPr>
          <w:rFonts w:ascii="Verdana" w:hAnsi="Verdana"/>
          <w:sz w:val="20"/>
          <w:szCs w:val="20"/>
        </w:rPr>
        <w:t xml:space="preserve">Analysis of five representative 2021 consumer/market surveys from The Media Audit shows an average of 24.1% of adults 18+ plan to buy glasses/contact lenses during the next 12 months, with women </w:t>
      </w:r>
      <w:r w:rsidR="00FE727C">
        <w:rPr>
          <w:rFonts w:ascii="Verdana" w:hAnsi="Verdana"/>
          <w:sz w:val="20"/>
          <w:szCs w:val="20"/>
        </w:rPr>
        <w:t xml:space="preserve">at </w:t>
      </w:r>
      <w:r>
        <w:rPr>
          <w:rFonts w:ascii="Verdana" w:hAnsi="Verdana"/>
          <w:sz w:val="20"/>
          <w:szCs w:val="20"/>
        </w:rPr>
        <w:t>an average of 59.0% and those 55-75 31.6% and 25-44 30.5%.</w:t>
      </w:r>
    </w:p>
    <w:p w14:paraId="1B0079C9" w14:textId="7C4CC817" w:rsidR="00617A94" w:rsidRDefault="00617A94" w:rsidP="00940985">
      <w:pPr>
        <w:spacing w:after="0" w:line="240" w:lineRule="auto"/>
        <w:contextualSpacing/>
        <w:mirrorIndents/>
        <w:rPr>
          <w:rFonts w:ascii="Verdana" w:hAnsi="Verdana"/>
          <w:sz w:val="20"/>
          <w:szCs w:val="20"/>
        </w:rPr>
      </w:pPr>
    </w:p>
    <w:p w14:paraId="28A523C7" w14:textId="67A95989" w:rsidR="00617A94" w:rsidRDefault="00351DD0" w:rsidP="00940985">
      <w:pPr>
        <w:spacing w:after="0" w:line="240" w:lineRule="auto"/>
        <w:contextualSpacing/>
        <w:mirrorIndents/>
        <w:rPr>
          <w:rFonts w:ascii="Verdana" w:hAnsi="Verdana"/>
          <w:sz w:val="20"/>
          <w:szCs w:val="20"/>
        </w:rPr>
      </w:pPr>
      <w:r>
        <w:rPr>
          <w:rFonts w:ascii="Verdana" w:hAnsi="Verdana"/>
          <w:sz w:val="20"/>
          <w:szCs w:val="20"/>
        </w:rPr>
        <w:t>Glasses/contact lenses purchasers are primarily of middle to higher income: $35K</w:t>
      </w:r>
      <w:r>
        <w:rPr>
          <w:rFonts w:ascii="Verdana" w:eastAsia="Times New Roman" w:hAnsi="Verdana"/>
          <w:sz w:val="20"/>
          <w:szCs w:val="20"/>
        </w:rPr>
        <w:t>–$75K at an average of 32.4%, $75K–$150K at an average of 31.3%, but 25.1% earn $35K or less.</w:t>
      </w:r>
    </w:p>
    <w:p w14:paraId="4F1FE7CC" w14:textId="77777777" w:rsidR="00351DD0" w:rsidRDefault="00351DD0" w:rsidP="00940985">
      <w:pPr>
        <w:spacing w:after="0" w:line="240" w:lineRule="auto"/>
        <w:contextualSpacing/>
        <w:mirrorIndents/>
        <w:rPr>
          <w:rFonts w:ascii="Verdana" w:hAnsi="Verdana"/>
          <w:sz w:val="20"/>
          <w:szCs w:val="20"/>
        </w:rPr>
      </w:pPr>
    </w:p>
    <w:p w14:paraId="5DBA49AF" w14:textId="77777777" w:rsidR="003969D3" w:rsidRDefault="00321F25" w:rsidP="00321F25">
      <w:pPr>
        <w:spacing w:after="0" w:line="240" w:lineRule="auto"/>
        <w:contextualSpacing/>
        <w:mirrorIndents/>
        <w:jc w:val="center"/>
        <w:rPr>
          <w:b/>
          <w:bCs/>
          <w:sz w:val="20"/>
          <w:szCs w:val="20"/>
        </w:rPr>
      </w:pPr>
      <w:r>
        <w:rPr>
          <w:b/>
          <w:bCs/>
          <w:sz w:val="20"/>
          <w:szCs w:val="20"/>
        </w:rPr>
        <w:t xml:space="preserve">Adults 18+ Who Plan to Buy Glasses/Contact Lenses* and Indices of </w:t>
      </w:r>
    </w:p>
    <w:p w14:paraId="195B2AFB" w14:textId="611780EF" w:rsidR="00321F25" w:rsidRPr="005D1511" w:rsidRDefault="00321F25" w:rsidP="00321F25">
      <w:pPr>
        <w:spacing w:after="0" w:line="240" w:lineRule="auto"/>
        <w:contextualSpacing/>
        <w:mirrorIndents/>
        <w:jc w:val="center"/>
        <w:rPr>
          <w:b/>
          <w:bCs/>
          <w:sz w:val="20"/>
          <w:szCs w:val="20"/>
        </w:rPr>
      </w:pPr>
      <w:r>
        <w:rPr>
          <w:b/>
          <w:bCs/>
          <w:sz w:val="20"/>
          <w:szCs w:val="20"/>
        </w:rPr>
        <w:t xml:space="preserve">Heavy Exposure to </w:t>
      </w:r>
      <w:r w:rsidR="003969D3">
        <w:rPr>
          <w:b/>
          <w:bCs/>
          <w:sz w:val="20"/>
          <w:szCs w:val="20"/>
        </w:rPr>
        <w:t>Media</w:t>
      </w:r>
      <w:r>
        <w:rPr>
          <w:b/>
          <w:bCs/>
          <w:sz w:val="20"/>
          <w:szCs w:val="20"/>
        </w:rPr>
        <w:t>, in Selected Markets</w:t>
      </w:r>
      <w:r w:rsidRPr="005D1511">
        <w:rPr>
          <w:b/>
          <w:bCs/>
          <w:sz w:val="20"/>
          <w:szCs w:val="20"/>
        </w:rPr>
        <w:t>, 202</w:t>
      </w:r>
      <w:r>
        <w:rPr>
          <w:b/>
          <w:bCs/>
          <w:sz w:val="20"/>
          <w:szCs w:val="20"/>
        </w:rPr>
        <w:t>1</w:t>
      </w:r>
    </w:p>
    <w:tbl>
      <w:tblPr>
        <w:tblW w:w="11158"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743"/>
        <w:gridCol w:w="1483"/>
        <w:gridCol w:w="1483"/>
        <w:gridCol w:w="1483"/>
        <w:gridCol w:w="1483"/>
        <w:gridCol w:w="1483"/>
      </w:tblGrid>
      <w:tr w:rsidR="00321F25" w:rsidRPr="005D1511" w14:paraId="0096D2EA" w14:textId="77777777" w:rsidTr="003969D3">
        <w:trPr>
          <w:jc w:val="center"/>
        </w:trPr>
        <w:tc>
          <w:tcPr>
            <w:tcW w:w="374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598CA624" w14:textId="3A00CCA9" w:rsidR="00321F25" w:rsidRPr="004815C1" w:rsidRDefault="003969D3"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Media</w:t>
            </w:r>
          </w:p>
        </w:tc>
        <w:tc>
          <w:tcPr>
            <w:tcW w:w="1483"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03CE8D72" w14:textId="7430861E" w:rsidR="00321F25" w:rsidRPr="004815C1" w:rsidRDefault="00A06000"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West Palm Beach, FL</w:t>
            </w:r>
          </w:p>
        </w:tc>
        <w:tc>
          <w:tcPr>
            <w:tcW w:w="1483"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6150424" w14:textId="4B244C57" w:rsidR="00321F25" w:rsidRPr="004815C1" w:rsidRDefault="003969D3"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Pittsburgh</w:t>
            </w:r>
          </w:p>
        </w:tc>
        <w:tc>
          <w:tcPr>
            <w:tcW w:w="1483"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F4C95A0" w14:textId="77777777" w:rsidR="00321F25" w:rsidRPr="004815C1" w:rsidRDefault="00321F25"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Austin</w:t>
            </w:r>
          </w:p>
        </w:tc>
        <w:tc>
          <w:tcPr>
            <w:tcW w:w="1483"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814C59D" w14:textId="4B1E9BB1" w:rsidR="00321F25" w:rsidRPr="004815C1" w:rsidRDefault="00A5207C"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c>
          <w:tcPr>
            <w:tcW w:w="1483"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1FEDCB23" w14:textId="77777777" w:rsidR="00321F25" w:rsidRPr="004815C1" w:rsidRDefault="00321F25"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sidRPr="004815C1">
              <w:rPr>
                <w:rFonts w:ascii="Verdana" w:eastAsia="Times New Roman" w:hAnsi="Verdana"/>
                <w:sz w:val="20"/>
                <w:szCs w:val="20"/>
              </w:rPr>
              <w:t>Portland, OR</w:t>
            </w:r>
          </w:p>
        </w:tc>
      </w:tr>
      <w:tr w:rsidR="007E5189" w:rsidRPr="005D1511" w14:paraId="7A9D24E8" w14:textId="77777777" w:rsidTr="007E5189">
        <w:tblPrEx>
          <w:tblBorders>
            <w:top w:val="none" w:sz="0" w:space="0" w:color="auto"/>
          </w:tblBorders>
        </w:tblPrEx>
        <w:trPr>
          <w:jc w:val="center"/>
        </w:trPr>
        <w:tc>
          <w:tcPr>
            <w:tcW w:w="374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3525FC47" w14:textId="615C4280" w:rsidR="00321F25" w:rsidRPr="004815C1" w:rsidRDefault="003969D3"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Radio </w:t>
            </w:r>
            <w:r w:rsidRPr="003969D3">
              <w:rPr>
                <w:rFonts w:ascii="Verdana" w:eastAsia="Times New Roman" w:hAnsi="Verdana"/>
                <w:sz w:val="16"/>
                <w:szCs w:val="16"/>
              </w:rPr>
              <w:t>(180+ min. avg. day)</w:t>
            </w:r>
          </w:p>
        </w:tc>
        <w:tc>
          <w:tcPr>
            <w:tcW w:w="1483" w:type="dxa"/>
            <w:tcBorders>
              <w:top w:val="single" w:sz="18" w:space="0" w:color="C0504D" w:themeColor="accent2"/>
              <w:left w:val="single" w:sz="18" w:space="0" w:color="0070C0"/>
              <w:bottom w:val="single" w:sz="4" w:space="0" w:color="auto"/>
              <w:right w:val="single" w:sz="8" w:space="0" w:color="0070C0"/>
            </w:tcBorders>
            <w:shd w:val="clear" w:color="auto" w:fill="EAF1DD" w:themeFill="accent3" w:themeFillTint="33"/>
            <w:vAlign w:val="center"/>
          </w:tcPr>
          <w:p w14:paraId="0D4BFC26" w14:textId="6F993DB0" w:rsidR="00321F25"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106</w:t>
            </w:r>
          </w:p>
        </w:tc>
        <w:tc>
          <w:tcPr>
            <w:tcW w:w="1483"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3715004E" w14:textId="47337600" w:rsidR="00321F25"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110</w:t>
            </w:r>
          </w:p>
        </w:tc>
        <w:tc>
          <w:tcPr>
            <w:tcW w:w="1483"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3BB97EE6" w14:textId="3CE5AF13" w:rsidR="00321F25"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110</w:t>
            </w:r>
          </w:p>
        </w:tc>
        <w:tc>
          <w:tcPr>
            <w:tcW w:w="1483" w:type="dxa"/>
            <w:tcBorders>
              <w:top w:val="single" w:sz="18" w:space="0" w:color="C0504D" w:themeColor="accent2"/>
              <w:left w:val="single" w:sz="8" w:space="0" w:color="0070C0"/>
              <w:bottom w:val="single" w:sz="4" w:space="0" w:color="auto"/>
              <w:right w:val="single" w:sz="8" w:space="0" w:color="0070C0"/>
            </w:tcBorders>
            <w:shd w:val="clear" w:color="auto" w:fill="F2DBDB" w:themeFill="accent2" w:themeFillTint="33"/>
            <w:vAlign w:val="center"/>
          </w:tcPr>
          <w:p w14:paraId="56461585" w14:textId="0F62D6A3" w:rsidR="00321F25"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95</w:t>
            </w:r>
          </w:p>
        </w:tc>
        <w:tc>
          <w:tcPr>
            <w:tcW w:w="1483" w:type="dxa"/>
            <w:tcBorders>
              <w:top w:val="single" w:sz="18" w:space="0" w:color="C0504D" w:themeColor="accent2"/>
              <w:left w:val="single" w:sz="8" w:space="0" w:color="0070C0"/>
              <w:bottom w:val="single" w:sz="4" w:space="0" w:color="auto"/>
              <w:right w:val="single" w:sz="12" w:space="0" w:color="000000"/>
            </w:tcBorders>
            <w:shd w:val="clear" w:color="auto" w:fill="C2D69B" w:themeFill="accent3" w:themeFillTint="99"/>
            <w:vAlign w:val="center"/>
          </w:tcPr>
          <w:p w14:paraId="59B47298" w14:textId="792328BD" w:rsidR="00321F25" w:rsidRPr="004815C1" w:rsidRDefault="00A5207C" w:rsidP="009A071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118</w:t>
            </w:r>
          </w:p>
        </w:tc>
      </w:tr>
      <w:tr w:rsidR="00B72CB3" w:rsidRPr="005D1511" w14:paraId="44E2DB62" w14:textId="77777777" w:rsidTr="00B72CB3">
        <w:tblPrEx>
          <w:tblBorders>
            <w:top w:val="none" w:sz="0" w:space="0" w:color="auto"/>
          </w:tblBorders>
        </w:tblPrEx>
        <w:trPr>
          <w:jc w:val="center"/>
        </w:trPr>
        <w:tc>
          <w:tcPr>
            <w:tcW w:w="374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99DC380" w14:textId="5ECA3DF8" w:rsidR="00321F25" w:rsidRPr="004815C1" w:rsidRDefault="003969D3"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TV </w:t>
            </w:r>
            <w:r w:rsidRPr="003969D3">
              <w:rPr>
                <w:rFonts w:ascii="Verdana" w:eastAsia="Times New Roman" w:hAnsi="Verdana"/>
                <w:sz w:val="16"/>
                <w:szCs w:val="16"/>
              </w:rPr>
              <w:t>(300+ min. avg. day)</w:t>
            </w:r>
          </w:p>
        </w:tc>
        <w:tc>
          <w:tcPr>
            <w:tcW w:w="1483"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34620302" w14:textId="383ADCA0" w:rsidR="00321F25"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110</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F1A20CB" w14:textId="3BC7E1FC" w:rsidR="00321F25"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120</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868E703" w14:textId="6A967DBE" w:rsidR="00321F25"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121</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B731AB6" w14:textId="266E8CF8" w:rsidR="00321F25"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119</w:t>
            </w:r>
          </w:p>
        </w:tc>
        <w:tc>
          <w:tcPr>
            <w:tcW w:w="1483"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59D46992" w14:textId="2851370E" w:rsidR="00321F25" w:rsidRPr="004815C1" w:rsidRDefault="00A5207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113</w:t>
            </w:r>
          </w:p>
        </w:tc>
      </w:tr>
      <w:tr w:rsidR="003969D3" w:rsidRPr="005D1511" w14:paraId="03A038C2" w14:textId="77777777" w:rsidTr="007E5189">
        <w:tblPrEx>
          <w:tblBorders>
            <w:top w:val="none" w:sz="0" w:space="0" w:color="auto"/>
          </w:tblBorders>
        </w:tblPrEx>
        <w:trPr>
          <w:jc w:val="center"/>
        </w:trPr>
        <w:tc>
          <w:tcPr>
            <w:tcW w:w="374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FB9C983" w14:textId="3AE14C46" w:rsidR="003969D3" w:rsidRPr="004815C1" w:rsidRDefault="003969D3"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Newspaper </w:t>
            </w:r>
            <w:r w:rsidRPr="003969D3">
              <w:rPr>
                <w:rFonts w:ascii="Verdana" w:eastAsia="Times New Roman" w:hAnsi="Verdana"/>
                <w:sz w:val="16"/>
                <w:szCs w:val="16"/>
              </w:rPr>
              <w:t>(60+ min. avg. day)</w:t>
            </w:r>
          </w:p>
        </w:tc>
        <w:tc>
          <w:tcPr>
            <w:tcW w:w="1483"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4574A9A4" w14:textId="2CB281F9" w:rsidR="003969D3"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93</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79CC695" w14:textId="54020230" w:rsidR="003969D3"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126</w:t>
            </w:r>
          </w:p>
        </w:tc>
        <w:tc>
          <w:tcPr>
            <w:tcW w:w="1483" w:type="dxa"/>
            <w:tcBorders>
              <w:top w:val="single" w:sz="4" w:space="0" w:color="auto"/>
              <w:left w:val="single" w:sz="8" w:space="0" w:color="0070C0"/>
              <w:bottom w:val="single" w:sz="4" w:space="0" w:color="000000"/>
              <w:right w:val="single" w:sz="8" w:space="0" w:color="0070C0"/>
            </w:tcBorders>
            <w:shd w:val="clear" w:color="auto" w:fill="FF0000"/>
            <w:vAlign w:val="center"/>
          </w:tcPr>
          <w:p w14:paraId="447AF8FA" w14:textId="2EEC787A" w:rsidR="003969D3"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76</w:t>
            </w:r>
          </w:p>
        </w:tc>
        <w:tc>
          <w:tcPr>
            <w:tcW w:w="1483"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CAE6729" w14:textId="066EC02A" w:rsidR="003969D3"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108</w:t>
            </w:r>
          </w:p>
        </w:tc>
        <w:tc>
          <w:tcPr>
            <w:tcW w:w="1483"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09B86FA8" w14:textId="4A90EC50" w:rsidR="003969D3" w:rsidRPr="004815C1" w:rsidRDefault="00A5207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99</w:t>
            </w:r>
          </w:p>
        </w:tc>
      </w:tr>
      <w:tr w:rsidR="003969D3" w:rsidRPr="005D1511" w14:paraId="5C7989E9" w14:textId="77777777" w:rsidTr="007E5189">
        <w:tblPrEx>
          <w:tblBorders>
            <w:top w:val="none" w:sz="0" w:space="0" w:color="auto"/>
          </w:tblBorders>
        </w:tblPrEx>
        <w:trPr>
          <w:jc w:val="center"/>
        </w:trPr>
        <w:tc>
          <w:tcPr>
            <w:tcW w:w="374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F42CDB0" w14:textId="33E66856" w:rsidR="003969D3" w:rsidRPr="004815C1" w:rsidRDefault="003969D3"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Outdoor </w:t>
            </w:r>
            <w:r w:rsidRPr="003969D3">
              <w:rPr>
                <w:rFonts w:ascii="Verdana" w:eastAsia="Times New Roman" w:hAnsi="Verdana"/>
                <w:sz w:val="16"/>
                <w:szCs w:val="16"/>
              </w:rPr>
              <w:t>(200+ miles avg. week)</w:t>
            </w:r>
          </w:p>
        </w:tc>
        <w:tc>
          <w:tcPr>
            <w:tcW w:w="1483"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30D9AF08" w14:textId="0E95C46C" w:rsidR="003969D3"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97</w:t>
            </w:r>
          </w:p>
        </w:tc>
        <w:tc>
          <w:tcPr>
            <w:tcW w:w="1483"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A1C946F" w14:textId="2749777D" w:rsidR="003969D3"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110</w:t>
            </w:r>
          </w:p>
        </w:tc>
        <w:tc>
          <w:tcPr>
            <w:tcW w:w="1483"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25772797" w14:textId="057D4D6E" w:rsidR="003969D3"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83</w:t>
            </w:r>
          </w:p>
        </w:tc>
        <w:tc>
          <w:tcPr>
            <w:tcW w:w="1483" w:type="dxa"/>
            <w:tcBorders>
              <w:top w:val="single" w:sz="4" w:space="0" w:color="auto"/>
              <w:left w:val="single" w:sz="8" w:space="0" w:color="0070C0"/>
              <w:bottom w:val="single" w:sz="4" w:space="0" w:color="000000"/>
              <w:right w:val="single" w:sz="8" w:space="0" w:color="0070C0"/>
            </w:tcBorders>
            <w:shd w:val="clear" w:color="auto" w:fill="FF0000"/>
            <w:vAlign w:val="center"/>
          </w:tcPr>
          <w:p w14:paraId="67368759" w14:textId="53752419" w:rsidR="003969D3"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78</w:t>
            </w:r>
          </w:p>
        </w:tc>
        <w:tc>
          <w:tcPr>
            <w:tcW w:w="1483"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31F343B7" w14:textId="5E436279" w:rsidR="003969D3" w:rsidRPr="004815C1" w:rsidRDefault="00A5207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117</w:t>
            </w:r>
          </w:p>
        </w:tc>
      </w:tr>
      <w:tr w:rsidR="003969D3" w:rsidRPr="005D1511" w14:paraId="7C320FCB" w14:textId="77777777" w:rsidTr="007E5189">
        <w:tblPrEx>
          <w:tblBorders>
            <w:top w:val="none" w:sz="0" w:space="0" w:color="auto"/>
          </w:tblBorders>
        </w:tblPrEx>
        <w:trPr>
          <w:jc w:val="center"/>
        </w:trPr>
        <w:tc>
          <w:tcPr>
            <w:tcW w:w="374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19A700C" w14:textId="01F0381F" w:rsidR="003969D3" w:rsidRPr="004815C1" w:rsidRDefault="003969D3"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Direct mail </w:t>
            </w:r>
            <w:r w:rsidRPr="003969D3">
              <w:rPr>
                <w:rFonts w:ascii="Verdana" w:eastAsia="Times New Roman" w:hAnsi="Verdana"/>
                <w:sz w:val="16"/>
                <w:szCs w:val="16"/>
              </w:rPr>
              <w:t>(75+read weekly)</w:t>
            </w:r>
          </w:p>
        </w:tc>
        <w:tc>
          <w:tcPr>
            <w:tcW w:w="1483"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2CC9675C" w14:textId="64AFEBEF" w:rsidR="003969D3"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111</w:t>
            </w:r>
          </w:p>
        </w:tc>
        <w:tc>
          <w:tcPr>
            <w:tcW w:w="1483" w:type="dxa"/>
            <w:tcBorders>
              <w:top w:val="single" w:sz="4" w:space="0" w:color="auto"/>
              <w:left w:val="single" w:sz="8" w:space="0" w:color="0070C0"/>
              <w:bottom w:val="single" w:sz="4" w:space="0" w:color="000000"/>
              <w:right w:val="single" w:sz="8" w:space="0" w:color="0070C0"/>
            </w:tcBorders>
            <w:shd w:val="clear" w:color="auto" w:fill="00B050"/>
            <w:vAlign w:val="center"/>
          </w:tcPr>
          <w:p w14:paraId="458EF695" w14:textId="24D677E3" w:rsidR="003969D3"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140</w:t>
            </w:r>
          </w:p>
        </w:tc>
        <w:tc>
          <w:tcPr>
            <w:tcW w:w="1483"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18969AE2" w14:textId="0BA49C9E" w:rsidR="003969D3"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81</w:t>
            </w:r>
          </w:p>
        </w:tc>
        <w:tc>
          <w:tcPr>
            <w:tcW w:w="1483" w:type="dxa"/>
            <w:tcBorders>
              <w:top w:val="single" w:sz="4" w:space="0" w:color="auto"/>
              <w:left w:val="single" w:sz="8" w:space="0" w:color="0070C0"/>
              <w:bottom w:val="single" w:sz="4" w:space="0" w:color="000000"/>
              <w:right w:val="single" w:sz="8" w:space="0" w:color="0070C0"/>
            </w:tcBorders>
            <w:shd w:val="clear" w:color="auto" w:fill="00B050"/>
            <w:vAlign w:val="center"/>
          </w:tcPr>
          <w:p w14:paraId="64C08107" w14:textId="77BAD2CF" w:rsidR="003969D3"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144</w:t>
            </w:r>
          </w:p>
        </w:tc>
        <w:tc>
          <w:tcPr>
            <w:tcW w:w="1483"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4822DAD6" w14:textId="54BFF92E" w:rsidR="003969D3" w:rsidRPr="004815C1" w:rsidRDefault="00A5207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r>
      <w:tr w:rsidR="003969D3" w:rsidRPr="005D1511" w14:paraId="76BFAC5C" w14:textId="77777777" w:rsidTr="00B72CB3">
        <w:tblPrEx>
          <w:tblBorders>
            <w:top w:val="none" w:sz="0" w:space="0" w:color="auto"/>
          </w:tblBorders>
        </w:tblPrEx>
        <w:trPr>
          <w:jc w:val="center"/>
        </w:trPr>
        <w:tc>
          <w:tcPr>
            <w:tcW w:w="374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635D197" w14:textId="2B87D5C1" w:rsidR="003969D3" w:rsidRPr="004815C1" w:rsidRDefault="003969D3"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Internet </w:t>
            </w:r>
            <w:r w:rsidRPr="003969D3">
              <w:rPr>
                <w:rFonts w:ascii="Verdana" w:eastAsia="Times New Roman" w:hAnsi="Verdana"/>
                <w:sz w:val="16"/>
                <w:szCs w:val="16"/>
              </w:rPr>
              <w:t>(180+ min. typ. day)</w:t>
            </w:r>
          </w:p>
        </w:tc>
        <w:tc>
          <w:tcPr>
            <w:tcW w:w="1483"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19B66CA4" w14:textId="15B31567" w:rsidR="003969D3"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108</w:t>
            </w:r>
          </w:p>
        </w:tc>
        <w:tc>
          <w:tcPr>
            <w:tcW w:w="1483"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672A0CE" w14:textId="0C15F030" w:rsidR="003969D3"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110</w:t>
            </w:r>
          </w:p>
        </w:tc>
        <w:tc>
          <w:tcPr>
            <w:tcW w:w="1483"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768FAE6A" w14:textId="553F9A3A" w:rsidR="003969D3"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101</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122FF77" w14:textId="5BB509C6" w:rsidR="003969D3"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123</w:t>
            </w:r>
          </w:p>
        </w:tc>
        <w:tc>
          <w:tcPr>
            <w:tcW w:w="1483"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36AF1B86" w14:textId="208CDC0F" w:rsidR="003969D3" w:rsidRPr="004815C1" w:rsidRDefault="00A5207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111</w:t>
            </w:r>
          </w:p>
        </w:tc>
      </w:tr>
      <w:tr w:rsidR="003969D3" w:rsidRPr="005D1511" w14:paraId="01602B79" w14:textId="77777777" w:rsidTr="007E5189">
        <w:tblPrEx>
          <w:tblBorders>
            <w:top w:val="none" w:sz="0" w:space="0" w:color="auto"/>
          </w:tblBorders>
        </w:tblPrEx>
        <w:trPr>
          <w:jc w:val="center"/>
        </w:trPr>
        <w:tc>
          <w:tcPr>
            <w:tcW w:w="374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46D12C6" w14:textId="306D3BA4" w:rsidR="003969D3" w:rsidRPr="004815C1" w:rsidRDefault="003969D3"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Social media </w:t>
            </w:r>
            <w:r w:rsidRPr="003969D3">
              <w:rPr>
                <w:rFonts w:ascii="Verdana" w:eastAsia="Times New Roman" w:hAnsi="Verdana"/>
                <w:sz w:val="16"/>
                <w:szCs w:val="16"/>
              </w:rPr>
              <w:t>(180+ min. typ. day)</w:t>
            </w:r>
          </w:p>
        </w:tc>
        <w:tc>
          <w:tcPr>
            <w:tcW w:w="1483"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777625A5" w14:textId="4D89FCFC" w:rsidR="003969D3"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117</w:t>
            </w:r>
          </w:p>
        </w:tc>
        <w:tc>
          <w:tcPr>
            <w:tcW w:w="1483" w:type="dxa"/>
            <w:tcBorders>
              <w:top w:val="single" w:sz="4" w:space="0" w:color="auto"/>
              <w:left w:val="single" w:sz="8" w:space="0" w:color="0070C0"/>
              <w:bottom w:val="single" w:sz="4" w:space="0" w:color="000000"/>
              <w:right w:val="single" w:sz="8" w:space="0" w:color="0070C0"/>
            </w:tcBorders>
            <w:shd w:val="clear" w:color="auto" w:fill="92D050"/>
            <w:vAlign w:val="center"/>
          </w:tcPr>
          <w:p w14:paraId="0A8F247B" w14:textId="670EA807" w:rsidR="003969D3"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135</w:t>
            </w:r>
          </w:p>
        </w:tc>
        <w:tc>
          <w:tcPr>
            <w:tcW w:w="1483"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07727C6" w14:textId="468C4EBA" w:rsidR="003969D3"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106</w:t>
            </w:r>
          </w:p>
        </w:tc>
        <w:tc>
          <w:tcPr>
            <w:tcW w:w="1483"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663DAD65" w14:textId="2BD59A34" w:rsidR="003969D3"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86</w:t>
            </w:r>
          </w:p>
        </w:tc>
        <w:tc>
          <w:tcPr>
            <w:tcW w:w="1483"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6731ED0E" w14:textId="7477C124" w:rsidR="003969D3" w:rsidRPr="004815C1" w:rsidRDefault="00A5207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r>
      <w:tr w:rsidR="007E5189" w:rsidRPr="005D1511" w14:paraId="4D8BBBBF" w14:textId="77777777" w:rsidTr="007E5189">
        <w:tblPrEx>
          <w:tblBorders>
            <w:top w:val="none" w:sz="0" w:space="0" w:color="auto"/>
          </w:tblBorders>
        </w:tblPrEx>
        <w:trPr>
          <w:jc w:val="center"/>
        </w:trPr>
        <w:tc>
          <w:tcPr>
            <w:tcW w:w="374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E07142B" w14:textId="1B59373B" w:rsidR="00321F25" w:rsidRDefault="003969D3"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Audio streaming </w:t>
            </w:r>
            <w:r w:rsidRPr="003969D3">
              <w:rPr>
                <w:rFonts w:ascii="Verdana" w:eastAsia="Times New Roman" w:hAnsi="Verdana"/>
                <w:sz w:val="16"/>
                <w:szCs w:val="16"/>
              </w:rPr>
              <w:t>(180+ min. avg. day)</w:t>
            </w:r>
          </w:p>
        </w:tc>
        <w:tc>
          <w:tcPr>
            <w:tcW w:w="1483"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009DA019" w14:textId="06DF9F1F" w:rsidR="00321F25" w:rsidRDefault="00A06000" w:rsidP="009A071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116</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A1396D4" w14:textId="4EC7EFF9" w:rsidR="00321F25"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116</w:t>
            </w:r>
          </w:p>
        </w:tc>
        <w:tc>
          <w:tcPr>
            <w:tcW w:w="1483"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1C8E2241" w14:textId="2EC41056" w:rsidR="00321F25"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89</w:t>
            </w:r>
          </w:p>
        </w:tc>
        <w:tc>
          <w:tcPr>
            <w:tcW w:w="1483"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13C4D163" w14:textId="00D94A1E" w:rsidR="00321F25"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83</w:t>
            </w:r>
          </w:p>
        </w:tc>
        <w:tc>
          <w:tcPr>
            <w:tcW w:w="1483"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00A1782B" w14:textId="0CC3E24D" w:rsidR="00321F25" w:rsidRDefault="00A5207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112</w:t>
            </w:r>
          </w:p>
        </w:tc>
      </w:tr>
      <w:tr w:rsidR="00B72CB3" w:rsidRPr="005D1511" w14:paraId="61453B86" w14:textId="77777777" w:rsidTr="004C038A">
        <w:tblPrEx>
          <w:tblBorders>
            <w:top w:val="none" w:sz="0" w:space="0" w:color="auto"/>
          </w:tblBorders>
        </w:tblPrEx>
        <w:trPr>
          <w:jc w:val="center"/>
        </w:trPr>
        <w:tc>
          <w:tcPr>
            <w:tcW w:w="374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4AE7C16" w14:textId="6626FDEB" w:rsidR="00321F25" w:rsidRPr="004815C1" w:rsidRDefault="003969D3"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Podcast listening </w:t>
            </w:r>
            <w:r w:rsidRPr="003969D3">
              <w:rPr>
                <w:rFonts w:ascii="Verdana" w:eastAsia="Times New Roman" w:hAnsi="Verdana"/>
                <w:sz w:val="16"/>
                <w:szCs w:val="16"/>
              </w:rPr>
              <w:t>(180+ min. typ. day)</w:t>
            </w:r>
          </w:p>
        </w:tc>
        <w:tc>
          <w:tcPr>
            <w:tcW w:w="1483"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34DB13F0" w14:textId="6D1FF6CE" w:rsidR="00321F25" w:rsidRPr="004815C1" w:rsidRDefault="00A06000" w:rsidP="009A071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107</w:t>
            </w:r>
          </w:p>
        </w:tc>
        <w:tc>
          <w:tcPr>
            <w:tcW w:w="1483"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53989DA7" w14:textId="40236B37" w:rsidR="00321F25"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102</w:t>
            </w:r>
          </w:p>
        </w:tc>
        <w:tc>
          <w:tcPr>
            <w:tcW w:w="1483"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0E4E3BD" w14:textId="2A942E25" w:rsidR="00321F25"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8019BDC" w14:textId="2218160F" w:rsidR="00321F25"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116</w:t>
            </w:r>
          </w:p>
        </w:tc>
        <w:tc>
          <w:tcPr>
            <w:tcW w:w="1483" w:type="dxa"/>
            <w:tcBorders>
              <w:top w:val="single" w:sz="4" w:space="0" w:color="auto"/>
              <w:left w:val="single" w:sz="8" w:space="0" w:color="0070C0"/>
              <w:bottom w:val="single" w:sz="4" w:space="0" w:color="000000"/>
              <w:right w:val="single" w:sz="12" w:space="0" w:color="000000"/>
            </w:tcBorders>
            <w:shd w:val="clear" w:color="auto" w:fill="F2F2F2" w:themeFill="background1" w:themeFillShade="F2"/>
            <w:vAlign w:val="center"/>
          </w:tcPr>
          <w:p w14:paraId="40C5045D" w14:textId="622D6E94" w:rsidR="00321F25" w:rsidRPr="004815C1" w:rsidRDefault="00A5207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100</w:t>
            </w:r>
          </w:p>
        </w:tc>
      </w:tr>
      <w:tr w:rsidR="00B72CB3" w:rsidRPr="005D1511" w14:paraId="6CEBB1AE" w14:textId="77777777" w:rsidTr="00B72CB3">
        <w:tblPrEx>
          <w:tblBorders>
            <w:top w:val="none" w:sz="0" w:space="0" w:color="auto"/>
          </w:tblBorders>
        </w:tblPrEx>
        <w:trPr>
          <w:jc w:val="center"/>
        </w:trPr>
        <w:tc>
          <w:tcPr>
            <w:tcW w:w="374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3809786B" w14:textId="19356939" w:rsidR="00321F25" w:rsidRPr="004815C1" w:rsidRDefault="003969D3"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Video Streaming </w:t>
            </w:r>
            <w:r w:rsidRPr="003969D3">
              <w:rPr>
                <w:rFonts w:ascii="Verdana" w:eastAsia="Times New Roman" w:hAnsi="Verdana"/>
                <w:sz w:val="16"/>
                <w:szCs w:val="16"/>
              </w:rPr>
              <w:t>(180+ min. avg. day)</w:t>
            </w:r>
          </w:p>
        </w:tc>
        <w:tc>
          <w:tcPr>
            <w:tcW w:w="1483" w:type="dxa"/>
            <w:tcBorders>
              <w:top w:val="single" w:sz="4" w:space="0" w:color="000000"/>
              <w:left w:val="single" w:sz="18" w:space="0" w:color="0070C0"/>
              <w:bottom w:val="single" w:sz="12" w:space="0" w:color="auto"/>
              <w:right w:val="single" w:sz="8" w:space="0" w:color="0070C0"/>
            </w:tcBorders>
            <w:shd w:val="clear" w:color="auto" w:fill="EAF1DD" w:themeFill="accent3" w:themeFillTint="33"/>
            <w:vAlign w:val="center"/>
          </w:tcPr>
          <w:p w14:paraId="5E5D7A8F" w14:textId="5FC36E27" w:rsidR="00321F25"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101</w:t>
            </w:r>
          </w:p>
        </w:tc>
        <w:tc>
          <w:tcPr>
            <w:tcW w:w="1483" w:type="dxa"/>
            <w:tcBorders>
              <w:top w:val="single" w:sz="4" w:space="0" w:color="000000"/>
              <w:left w:val="single" w:sz="8" w:space="0" w:color="0070C0"/>
              <w:bottom w:val="single" w:sz="12" w:space="0" w:color="auto"/>
              <w:right w:val="single" w:sz="8" w:space="0" w:color="0070C0"/>
            </w:tcBorders>
            <w:shd w:val="clear" w:color="auto" w:fill="92D050"/>
            <w:vAlign w:val="center"/>
          </w:tcPr>
          <w:p w14:paraId="4333AA0C" w14:textId="09A954FD" w:rsidR="00321F25" w:rsidRPr="004815C1" w:rsidRDefault="00A06000"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135</w:t>
            </w:r>
          </w:p>
        </w:tc>
        <w:tc>
          <w:tcPr>
            <w:tcW w:w="1483"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300F6FFE" w14:textId="59B2C93F" w:rsidR="00321F25"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112</w:t>
            </w:r>
          </w:p>
        </w:tc>
        <w:tc>
          <w:tcPr>
            <w:tcW w:w="1483"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5B4830BF" w14:textId="7DC64D08" w:rsidR="00321F25" w:rsidRPr="004815C1" w:rsidRDefault="00F2750F"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108</w:t>
            </w:r>
          </w:p>
        </w:tc>
        <w:tc>
          <w:tcPr>
            <w:tcW w:w="1483" w:type="dxa"/>
            <w:tcBorders>
              <w:top w:val="single" w:sz="4" w:space="0" w:color="000000"/>
              <w:left w:val="single" w:sz="8" w:space="0" w:color="0070C0"/>
              <w:bottom w:val="single" w:sz="12" w:space="0" w:color="auto"/>
              <w:right w:val="single" w:sz="12" w:space="0" w:color="000000"/>
            </w:tcBorders>
            <w:shd w:val="clear" w:color="auto" w:fill="D6E3BC" w:themeFill="accent3" w:themeFillTint="66"/>
            <w:vAlign w:val="center"/>
          </w:tcPr>
          <w:p w14:paraId="7B83088B" w14:textId="1BC0CC91" w:rsidR="00321F25" w:rsidRPr="004815C1" w:rsidRDefault="00A5207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r>
    </w:tbl>
    <w:p w14:paraId="290C63B6" w14:textId="73F21533" w:rsidR="00321F25" w:rsidRPr="005011AE" w:rsidRDefault="00321F25" w:rsidP="00F2750F">
      <w:pPr>
        <w:spacing w:after="0" w:line="240" w:lineRule="auto"/>
        <w:ind w:hanging="900"/>
        <w:contextualSpacing/>
        <w:mirrorIndents/>
        <w:rPr>
          <w:rFonts w:ascii="Verdana" w:hAnsi="Verdana"/>
          <w:sz w:val="16"/>
          <w:szCs w:val="16"/>
        </w:rPr>
      </w:pPr>
      <w:r w:rsidRPr="00573142">
        <w:rPr>
          <w:sz w:val="16"/>
          <w:szCs w:val="16"/>
        </w:rPr>
        <w:t xml:space="preserve">Based on The Media Audit’s 2021 surveys  </w:t>
      </w:r>
      <w:r w:rsidRPr="00573142">
        <w:rPr>
          <w:sz w:val="16"/>
          <w:szCs w:val="16"/>
        </w:rPr>
        <w:tab/>
      </w:r>
      <w:r w:rsidR="00F2750F">
        <w:rPr>
          <w:sz w:val="16"/>
          <w:szCs w:val="16"/>
        </w:rPr>
        <w:tab/>
      </w:r>
      <w:r w:rsidRPr="00573142">
        <w:rPr>
          <w:sz w:val="16"/>
          <w:szCs w:val="16"/>
        </w:rPr>
        <w:t xml:space="preserve">*during the </w:t>
      </w:r>
      <w:r w:rsidR="00F2750F">
        <w:rPr>
          <w:sz w:val="16"/>
          <w:szCs w:val="16"/>
        </w:rPr>
        <w:t>next 12 months</w:t>
      </w:r>
      <w:r w:rsidRPr="00573142">
        <w:rPr>
          <w:sz w:val="16"/>
          <w:szCs w:val="16"/>
        </w:rPr>
        <w:tab/>
      </w:r>
    </w:p>
    <w:p w14:paraId="098DC60F" w14:textId="1EF3F203" w:rsidR="00321F25" w:rsidRDefault="00321F25" w:rsidP="00940985">
      <w:pPr>
        <w:spacing w:after="0" w:line="240" w:lineRule="auto"/>
        <w:contextualSpacing/>
        <w:mirrorIndents/>
        <w:rPr>
          <w:rFonts w:ascii="Verdana" w:hAnsi="Verdana"/>
          <w:sz w:val="20"/>
          <w:szCs w:val="20"/>
        </w:rPr>
      </w:pPr>
    </w:p>
    <w:p w14:paraId="0F981849" w14:textId="58E86F07" w:rsidR="00321F25" w:rsidRDefault="00321F25" w:rsidP="00940985">
      <w:pPr>
        <w:spacing w:after="0" w:line="240" w:lineRule="auto"/>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4D3D06C7" w:rsidR="00F94CE8" w:rsidRDefault="00D21494" w:rsidP="00F94CE8">
      <w:pPr>
        <w:pStyle w:val="NoSpacing"/>
        <w:contextualSpacing/>
        <w:rPr>
          <w:rFonts w:ascii="Verdana" w:hAnsi="Verdana"/>
          <w:sz w:val="20"/>
          <w:szCs w:val="20"/>
        </w:rPr>
      </w:pPr>
      <w:r>
        <w:rPr>
          <w:rFonts w:ascii="Verdana" w:hAnsi="Verdana"/>
          <w:sz w:val="20"/>
          <w:szCs w:val="20"/>
        </w:rPr>
        <w:t>The Eyes on Eyecare annual Optometrist Report (2021) offers some additional insights about optometrists’ practices. The survey respondents said the percentage of their practice revenue from medical-based care and retail sales both increased from 2020: Medical-based care +6.1% or 33.05% of all practice revenue and +10.16% for retail sales or 39.18%.</w:t>
      </w:r>
    </w:p>
    <w:p w14:paraId="72A9D893" w14:textId="6DB5E99F" w:rsidR="00F94CE8" w:rsidRDefault="00F94CE8" w:rsidP="00F94CE8">
      <w:pPr>
        <w:pStyle w:val="NoSpacing"/>
        <w:contextualSpacing/>
        <w:rPr>
          <w:sz w:val="20"/>
          <w:szCs w:val="20"/>
        </w:rPr>
      </w:pPr>
    </w:p>
    <w:p w14:paraId="362AD400" w14:textId="5FCDF36C" w:rsidR="00A20445" w:rsidRDefault="00A20445" w:rsidP="00A20445">
      <w:pPr>
        <w:pStyle w:val="NoSpacing"/>
        <w:contextualSpacing/>
        <w:rPr>
          <w:sz w:val="20"/>
          <w:szCs w:val="20"/>
        </w:rPr>
      </w:pPr>
      <w:r>
        <w:rPr>
          <w:rFonts w:ascii="Verdana" w:hAnsi="Verdana"/>
          <w:sz w:val="20"/>
          <w:szCs w:val="20"/>
        </w:rPr>
        <w:t xml:space="preserve">Understanding optometrists’ practice goals for the next three years presents opportunities for media salespeople to show how they can help achieve those goals. </w:t>
      </w:r>
    </w:p>
    <w:p w14:paraId="76D07524" w14:textId="77777777" w:rsidR="00A20445" w:rsidRDefault="00A20445" w:rsidP="00F94CE8">
      <w:pPr>
        <w:pStyle w:val="NoSpacing"/>
        <w:contextualSpacing/>
        <w:rPr>
          <w:sz w:val="20"/>
          <w:szCs w:val="20"/>
        </w:rPr>
      </w:pPr>
    </w:p>
    <w:p w14:paraId="1024366E" w14:textId="0537825C" w:rsidR="007E5189" w:rsidRPr="00CC1ECE" w:rsidRDefault="007E5189" w:rsidP="007E5189">
      <w:pPr>
        <w:pStyle w:val="Header"/>
        <w:contextualSpacing/>
        <w:jc w:val="center"/>
        <w:rPr>
          <w:rFonts w:ascii="Verdana" w:hAnsi="Verdana"/>
          <w:b/>
          <w:sz w:val="20"/>
          <w:szCs w:val="20"/>
        </w:rPr>
      </w:pPr>
      <w:r>
        <w:rPr>
          <w:rFonts w:ascii="Verdana" w:hAnsi="Verdana"/>
          <w:b/>
          <w:sz w:val="20"/>
          <w:szCs w:val="20"/>
        </w:rPr>
        <w:t>Optometrists’ Practice Goals for the Next Three Years, 2021</w:t>
      </w:r>
    </w:p>
    <w:tbl>
      <w:tblPr>
        <w:tblW w:w="5793" w:type="dxa"/>
        <w:jc w:val="center"/>
        <w:tblBorders>
          <w:left w:val="single" w:sz="8" w:space="0" w:color="000000"/>
          <w:right w:val="single" w:sz="8" w:space="0" w:color="000000"/>
        </w:tblBorders>
        <w:tblLayout w:type="fixed"/>
        <w:tblLook w:val="0000" w:firstRow="0" w:lastRow="0" w:firstColumn="0" w:lastColumn="0" w:noHBand="0" w:noVBand="0"/>
      </w:tblPr>
      <w:tblGrid>
        <w:gridCol w:w="4425"/>
        <w:gridCol w:w="1368"/>
      </w:tblGrid>
      <w:tr w:rsidR="007E5189" w:rsidRPr="00CC1ECE" w14:paraId="48801A62" w14:textId="77777777" w:rsidTr="007E5189">
        <w:trPr>
          <w:jc w:val="center"/>
        </w:trPr>
        <w:tc>
          <w:tcPr>
            <w:tcW w:w="4425"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5848DD8C" w14:textId="4F17E02D" w:rsidR="007E5189" w:rsidRPr="00CC1ECE" w:rsidRDefault="007E5189"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Goal</w:t>
            </w:r>
          </w:p>
        </w:tc>
        <w:tc>
          <w:tcPr>
            <w:tcW w:w="1368"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7A5C784D" w14:textId="4FB581B0" w:rsidR="007E5189" w:rsidRDefault="007E5189"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7E5189" w:rsidRPr="00CC1ECE" w14:paraId="44CAE214" w14:textId="77777777" w:rsidTr="00F150A0">
        <w:trPr>
          <w:trHeight w:val="243"/>
          <w:jc w:val="center"/>
        </w:trPr>
        <w:tc>
          <w:tcPr>
            <w:tcW w:w="442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7580F78B" w14:textId="06DD8DCD" w:rsidR="007E5189" w:rsidRPr="00CC1ECE" w:rsidRDefault="007E5189"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Grow the business in my current location</w:t>
            </w:r>
          </w:p>
        </w:tc>
        <w:tc>
          <w:tcPr>
            <w:tcW w:w="1368" w:type="dxa"/>
            <w:tcBorders>
              <w:top w:val="single" w:sz="18" w:space="0" w:color="C0504D" w:themeColor="accent2"/>
              <w:left w:val="single" w:sz="8" w:space="0" w:color="0070C0"/>
              <w:bottom w:val="single" w:sz="4" w:space="0" w:color="000000"/>
              <w:right w:val="single" w:sz="12" w:space="0" w:color="auto"/>
            </w:tcBorders>
            <w:shd w:val="clear" w:color="auto" w:fill="00B050"/>
            <w:vAlign w:val="center"/>
          </w:tcPr>
          <w:p w14:paraId="39BDE36F" w14:textId="0EDA8418" w:rsidR="007E5189" w:rsidRPr="00CC1ECE" w:rsidRDefault="007E5189"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49.7%</w:t>
            </w:r>
          </w:p>
        </w:tc>
      </w:tr>
      <w:tr w:rsidR="007E5189" w:rsidRPr="00CC1ECE" w14:paraId="74DAE9DA" w14:textId="77777777" w:rsidTr="00F150A0">
        <w:trPr>
          <w:trHeight w:val="243"/>
          <w:jc w:val="center"/>
        </w:trPr>
        <w:tc>
          <w:tcPr>
            <w:tcW w:w="442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3650016B" w14:textId="6AF42808" w:rsidR="007E5189" w:rsidRPr="00CC1ECE" w:rsidRDefault="007E5189"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Add an associate optometrist</w:t>
            </w:r>
          </w:p>
        </w:tc>
        <w:tc>
          <w:tcPr>
            <w:tcW w:w="1368"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2FC35D31" w14:textId="27B15E68" w:rsidR="007E5189" w:rsidRPr="00CC1ECE" w:rsidRDefault="007E5189"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19.7%</w:t>
            </w:r>
          </w:p>
        </w:tc>
      </w:tr>
      <w:tr w:rsidR="007E5189" w:rsidRPr="00CC1ECE" w14:paraId="3ADFCA00" w14:textId="77777777" w:rsidTr="00F150A0">
        <w:trPr>
          <w:trHeight w:val="243"/>
          <w:jc w:val="center"/>
        </w:trPr>
        <w:tc>
          <w:tcPr>
            <w:tcW w:w="442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E0CD1DA" w14:textId="2D0DC094" w:rsidR="007E5189" w:rsidRPr="00CC1ECE" w:rsidRDefault="007E5189" w:rsidP="007E518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Sell my practice</w:t>
            </w:r>
          </w:p>
        </w:tc>
        <w:tc>
          <w:tcPr>
            <w:tcW w:w="1368"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7CE01057" w14:textId="03A1C3DD" w:rsidR="007E5189" w:rsidRPr="00CC1ECE" w:rsidRDefault="007E5189" w:rsidP="007E518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12.1%</w:t>
            </w:r>
          </w:p>
        </w:tc>
      </w:tr>
      <w:tr w:rsidR="007E5189" w:rsidRPr="00CC1ECE" w14:paraId="7664B5D0" w14:textId="77777777" w:rsidTr="00F150A0">
        <w:trPr>
          <w:trHeight w:val="243"/>
          <w:jc w:val="center"/>
        </w:trPr>
        <w:tc>
          <w:tcPr>
            <w:tcW w:w="442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485E6E9" w14:textId="6FE39D72" w:rsidR="007E5189" w:rsidRPr="00CC1ECE" w:rsidRDefault="007E5189" w:rsidP="007E518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Remain on my feet</w:t>
            </w:r>
          </w:p>
        </w:tc>
        <w:tc>
          <w:tcPr>
            <w:tcW w:w="1368"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655E86C2" w14:textId="0A1C060B" w:rsidR="007E5189" w:rsidRPr="00CC1ECE" w:rsidRDefault="007E5189" w:rsidP="007E518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11.0%</w:t>
            </w:r>
          </w:p>
        </w:tc>
      </w:tr>
      <w:tr w:rsidR="007E5189" w:rsidRPr="00CC1ECE" w14:paraId="0F7568A1" w14:textId="77777777" w:rsidTr="00F150A0">
        <w:trPr>
          <w:trHeight w:val="243"/>
          <w:jc w:val="center"/>
        </w:trPr>
        <w:tc>
          <w:tcPr>
            <w:tcW w:w="442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3C080C24" w14:textId="1B1F49F8" w:rsidR="007E5189" w:rsidRPr="00CC1ECE" w:rsidRDefault="007E5189" w:rsidP="007E518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Open one additional location</w:t>
            </w:r>
          </w:p>
        </w:tc>
        <w:tc>
          <w:tcPr>
            <w:tcW w:w="1368"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2A801A15" w14:textId="40285D2E" w:rsidR="007E5189" w:rsidRPr="00CC1ECE" w:rsidRDefault="007E5189" w:rsidP="007E518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5.8%</w:t>
            </w:r>
          </w:p>
        </w:tc>
      </w:tr>
      <w:tr w:rsidR="007E5189" w:rsidRPr="00CC1ECE" w14:paraId="38434BDE" w14:textId="77777777" w:rsidTr="00F150A0">
        <w:trPr>
          <w:trHeight w:val="243"/>
          <w:jc w:val="center"/>
        </w:trPr>
        <w:tc>
          <w:tcPr>
            <w:tcW w:w="442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D4A5439" w14:textId="1414058F" w:rsidR="007E5189" w:rsidRPr="00CC1ECE" w:rsidRDefault="007E5189" w:rsidP="007E518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Open several additional locations</w:t>
            </w:r>
          </w:p>
        </w:tc>
        <w:tc>
          <w:tcPr>
            <w:tcW w:w="1368"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14AFD321" w14:textId="6F72DAD7" w:rsidR="007E5189" w:rsidRPr="00CC1ECE" w:rsidRDefault="007E5189" w:rsidP="007E518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w:t>
            </w:r>
          </w:p>
        </w:tc>
      </w:tr>
      <w:tr w:rsidR="007E5189" w:rsidRPr="00CC1ECE" w14:paraId="6062E1E6" w14:textId="77777777" w:rsidTr="00F150A0">
        <w:trPr>
          <w:trHeight w:val="243"/>
          <w:jc w:val="center"/>
        </w:trPr>
        <w:tc>
          <w:tcPr>
            <w:tcW w:w="442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08C243F1" w14:textId="128A8FB4" w:rsidR="007E5189" w:rsidRPr="00CC1ECE" w:rsidRDefault="00316D00" w:rsidP="007E518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I don’t know</w:t>
            </w:r>
          </w:p>
        </w:tc>
        <w:tc>
          <w:tcPr>
            <w:tcW w:w="1368" w:type="dxa"/>
            <w:tcBorders>
              <w:top w:val="single" w:sz="4" w:space="0" w:color="000000"/>
              <w:left w:val="single" w:sz="8" w:space="0" w:color="0070C0"/>
              <w:bottom w:val="single" w:sz="12" w:space="0" w:color="000000"/>
              <w:right w:val="single" w:sz="12" w:space="0" w:color="auto"/>
            </w:tcBorders>
            <w:shd w:val="clear" w:color="auto" w:fill="F2F2F2" w:themeFill="background1" w:themeFillShade="F2"/>
            <w:vAlign w:val="center"/>
          </w:tcPr>
          <w:p w14:paraId="02ED304E" w14:textId="54766819" w:rsidR="007E5189" w:rsidRPr="00CC1ECE" w:rsidRDefault="00316D00" w:rsidP="007E518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0.6%</w:t>
            </w:r>
          </w:p>
        </w:tc>
      </w:tr>
    </w:tbl>
    <w:p w14:paraId="78E679E8" w14:textId="5C03AA81" w:rsidR="00F94CE8" w:rsidRDefault="00316D00" w:rsidP="00316D00">
      <w:pPr>
        <w:pStyle w:val="NoSpacing"/>
        <w:tabs>
          <w:tab w:val="left" w:pos="1800"/>
        </w:tabs>
        <w:contextualSpacing/>
        <w:rPr>
          <w:sz w:val="20"/>
          <w:szCs w:val="20"/>
        </w:rPr>
      </w:pPr>
      <w:r>
        <w:rPr>
          <w:rFonts w:ascii="Verdana" w:hAnsi="Verdana"/>
          <w:sz w:val="16"/>
          <w:szCs w:val="16"/>
        </w:rPr>
        <w:tab/>
        <w:t>Eyes on Eyecare</w:t>
      </w:r>
      <w:r w:rsidR="007E5189" w:rsidRPr="00CC1ECE">
        <w:rPr>
          <w:rFonts w:ascii="Verdana" w:hAnsi="Verdana"/>
          <w:sz w:val="16"/>
          <w:szCs w:val="16"/>
        </w:rPr>
        <w:t xml:space="preserve">, </w:t>
      </w:r>
      <w:r w:rsidR="00833E24">
        <w:rPr>
          <w:rFonts w:ascii="Verdana" w:hAnsi="Verdana"/>
          <w:sz w:val="16"/>
          <w:szCs w:val="16"/>
        </w:rPr>
        <w:t>December 2021</w:t>
      </w:r>
    </w:p>
    <w:p w14:paraId="3CDFB8E2" w14:textId="77777777" w:rsidR="00F94CE8" w:rsidRDefault="00F94CE8" w:rsidP="00F94CE8">
      <w:pPr>
        <w:pStyle w:val="NoSpacing"/>
        <w:contextualSpacing/>
        <w:rPr>
          <w:sz w:val="20"/>
          <w:szCs w:val="20"/>
        </w:rPr>
      </w:pPr>
    </w:p>
    <w:p w14:paraId="034EF012" w14:textId="77777777" w:rsidR="00316D00" w:rsidRDefault="00316D00" w:rsidP="00F94CE8">
      <w:pPr>
        <w:pStyle w:val="NoSpacing"/>
        <w:contextualSpacing/>
        <w:rPr>
          <w:sz w:val="20"/>
          <w:szCs w:val="20"/>
        </w:rPr>
      </w:pPr>
      <w:r>
        <w:rPr>
          <w:sz w:val="20"/>
          <w:szCs w:val="20"/>
        </w:rPr>
        <w:t xml:space="preserve">The survey also revealed optometrists’ views on what they think will be the next clinical specialty that will present the largest opportunities for future eyecare. </w:t>
      </w:r>
    </w:p>
    <w:p w14:paraId="295E4458" w14:textId="77777777" w:rsidR="00316D00" w:rsidRDefault="00316D00" w:rsidP="00F94CE8">
      <w:pPr>
        <w:pStyle w:val="NoSpacing"/>
        <w:contextualSpacing/>
        <w:rPr>
          <w:sz w:val="20"/>
          <w:szCs w:val="20"/>
        </w:rPr>
      </w:pPr>
    </w:p>
    <w:p w14:paraId="46567485" w14:textId="77777777" w:rsidR="00316D00" w:rsidRDefault="00316D00" w:rsidP="00316D00">
      <w:pPr>
        <w:pStyle w:val="Header"/>
        <w:contextualSpacing/>
        <w:jc w:val="center"/>
        <w:rPr>
          <w:rFonts w:ascii="Verdana" w:hAnsi="Verdana"/>
          <w:b/>
          <w:sz w:val="20"/>
          <w:szCs w:val="20"/>
        </w:rPr>
      </w:pPr>
      <w:r>
        <w:rPr>
          <w:rFonts w:ascii="Verdana" w:hAnsi="Verdana"/>
          <w:b/>
          <w:sz w:val="20"/>
          <w:szCs w:val="20"/>
        </w:rPr>
        <w:t xml:space="preserve">The Clinical Specialties Eyecare Practices Think </w:t>
      </w:r>
    </w:p>
    <w:p w14:paraId="0F492D68" w14:textId="3CACA583" w:rsidR="00316D00" w:rsidRPr="00E7004E" w:rsidRDefault="00316D00" w:rsidP="00316D00">
      <w:pPr>
        <w:pStyle w:val="Header"/>
        <w:contextualSpacing/>
        <w:jc w:val="center"/>
        <w:rPr>
          <w:rFonts w:ascii="Verdana" w:hAnsi="Verdana"/>
          <w:b/>
          <w:sz w:val="20"/>
          <w:szCs w:val="20"/>
        </w:rPr>
      </w:pPr>
      <w:r>
        <w:rPr>
          <w:rFonts w:ascii="Verdana" w:hAnsi="Verdana"/>
          <w:b/>
          <w:sz w:val="20"/>
          <w:szCs w:val="20"/>
        </w:rPr>
        <w:t>Will Present the Largest Opportunities</w:t>
      </w:r>
      <w:r w:rsidRPr="00E7004E">
        <w:rPr>
          <w:rFonts w:ascii="Verdana" w:hAnsi="Verdana"/>
          <w:b/>
          <w:sz w:val="20"/>
          <w:szCs w:val="20"/>
        </w:rPr>
        <w:t>, 20</w:t>
      </w:r>
      <w:r>
        <w:rPr>
          <w:rFonts w:ascii="Verdana" w:hAnsi="Verdana"/>
          <w:b/>
          <w:sz w:val="20"/>
          <w:szCs w:val="20"/>
        </w:rPr>
        <w:t>21</w:t>
      </w:r>
    </w:p>
    <w:tbl>
      <w:tblPr>
        <w:tblW w:w="9734" w:type="dxa"/>
        <w:jc w:val="center"/>
        <w:tblBorders>
          <w:left w:val="single" w:sz="8" w:space="0" w:color="000000"/>
          <w:right w:val="single" w:sz="8" w:space="0" w:color="000000"/>
        </w:tblBorders>
        <w:tblLayout w:type="fixed"/>
        <w:tblLook w:val="0000" w:firstRow="0" w:lastRow="0" w:firstColumn="0" w:lastColumn="0" w:noHBand="0" w:noVBand="0"/>
      </w:tblPr>
      <w:tblGrid>
        <w:gridCol w:w="3600"/>
        <w:gridCol w:w="1267"/>
        <w:gridCol w:w="3600"/>
        <w:gridCol w:w="1267"/>
      </w:tblGrid>
      <w:tr w:rsidR="00316D00" w:rsidRPr="00E7004E" w14:paraId="1B105C90" w14:textId="77777777" w:rsidTr="00833E24">
        <w:trPr>
          <w:jc w:val="center"/>
        </w:trPr>
        <w:tc>
          <w:tcPr>
            <w:tcW w:w="3600" w:type="dxa"/>
            <w:tcBorders>
              <w:top w:val="single" w:sz="12" w:space="0" w:color="000000"/>
              <w:left w:val="single" w:sz="12" w:space="0" w:color="000000"/>
              <w:bottom w:val="single" w:sz="18" w:space="0" w:color="C0504D" w:themeColor="accent2"/>
              <w:right w:val="single" w:sz="8" w:space="0" w:color="0070C0"/>
            </w:tcBorders>
            <w:vAlign w:val="center"/>
          </w:tcPr>
          <w:p w14:paraId="055F9F6A" w14:textId="44675B3F" w:rsidR="00316D00" w:rsidRPr="00E7004E" w:rsidRDefault="00316D00"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Specialty</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40735490" w14:textId="77777777" w:rsidR="00316D00" w:rsidRPr="00E7004E" w:rsidRDefault="00316D00"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3600" w:type="dxa"/>
            <w:tcBorders>
              <w:top w:val="single" w:sz="12" w:space="0" w:color="000000"/>
              <w:left w:val="single" w:sz="18" w:space="0" w:color="0070C0"/>
              <w:bottom w:val="single" w:sz="18" w:space="0" w:color="C0504D" w:themeColor="accent2"/>
              <w:right w:val="single" w:sz="8" w:space="0" w:color="0070C0"/>
            </w:tcBorders>
            <w:vAlign w:val="center"/>
          </w:tcPr>
          <w:p w14:paraId="237FF4DA" w14:textId="6038E86C" w:rsidR="00316D00" w:rsidRPr="00E7004E" w:rsidRDefault="00316D00"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Specialty</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7EE10F2E" w14:textId="77777777" w:rsidR="00316D00" w:rsidRPr="00E7004E" w:rsidRDefault="00316D00" w:rsidP="009A071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316D00" w:rsidRPr="00E7004E" w14:paraId="267E3C35" w14:textId="77777777" w:rsidTr="00833E24">
        <w:trPr>
          <w:trHeight w:val="243"/>
          <w:jc w:val="center"/>
        </w:trPr>
        <w:tc>
          <w:tcPr>
            <w:tcW w:w="3600" w:type="dxa"/>
            <w:tcBorders>
              <w:top w:val="single" w:sz="18" w:space="0" w:color="C0504D" w:themeColor="accent2"/>
              <w:left w:val="single" w:sz="12" w:space="0" w:color="000000"/>
              <w:bottom w:val="single" w:sz="4" w:space="0" w:color="auto"/>
              <w:right w:val="single" w:sz="8" w:space="0" w:color="0070C0"/>
            </w:tcBorders>
            <w:vAlign w:val="center"/>
          </w:tcPr>
          <w:p w14:paraId="5DBBB5BC" w14:textId="03ECAAFB" w:rsidR="00316D00" w:rsidRPr="00E7004E" w:rsidRDefault="00316D00"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Dry eye</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0537DAB2" w14:textId="5F7CDE54" w:rsidR="00316D00" w:rsidRPr="00E7004E" w:rsidRDefault="00316D00"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27.0%</w:t>
            </w:r>
          </w:p>
        </w:tc>
        <w:tc>
          <w:tcPr>
            <w:tcW w:w="3600"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4ACD99A2" w14:textId="7DA8B0D6" w:rsidR="00316D00" w:rsidRPr="00E7004E" w:rsidRDefault="00833E24"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Pediatrics</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EAF1DD" w:themeFill="accent3" w:themeFillTint="33"/>
            <w:vAlign w:val="center"/>
          </w:tcPr>
          <w:p w14:paraId="4C8BB3D1" w14:textId="040CFE60" w:rsidR="00316D00" w:rsidRPr="00E7004E" w:rsidRDefault="00833E24"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w:t>
            </w:r>
          </w:p>
        </w:tc>
      </w:tr>
      <w:tr w:rsidR="00316D00" w:rsidRPr="00E7004E" w14:paraId="1505D2AC" w14:textId="77777777" w:rsidTr="00833E24">
        <w:trPr>
          <w:trHeight w:val="243"/>
          <w:jc w:val="center"/>
        </w:trPr>
        <w:tc>
          <w:tcPr>
            <w:tcW w:w="3600" w:type="dxa"/>
            <w:tcBorders>
              <w:top w:val="single" w:sz="4" w:space="0" w:color="auto"/>
              <w:left w:val="single" w:sz="12" w:space="0" w:color="000000"/>
              <w:bottom w:val="single" w:sz="4" w:space="0" w:color="000000"/>
              <w:right w:val="single" w:sz="8" w:space="0" w:color="0070C0"/>
            </w:tcBorders>
            <w:vAlign w:val="center"/>
          </w:tcPr>
          <w:p w14:paraId="53D88A94" w14:textId="22CF9424" w:rsidR="00316D00" w:rsidRPr="00E7004E" w:rsidRDefault="00316D00"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Myopia management</w:t>
            </w:r>
          </w:p>
        </w:tc>
        <w:tc>
          <w:tcPr>
            <w:tcW w:w="1267" w:type="dxa"/>
            <w:tcBorders>
              <w:top w:val="single" w:sz="4" w:space="0" w:color="auto"/>
              <w:left w:val="single" w:sz="8" w:space="0" w:color="0070C0"/>
              <w:bottom w:val="single" w:sz="4" w:space="0" w:color="000000"/>
              <w:right w:val="single" w:sz="18" w:space="0" w:color="0070C0"/>
            </w:tcBorders>
            <w:shd w:val="clear" w:color="auto" w:fill="92D050"/>
            <w:vAlign w:val="center"/>
          </w:tcPr>
          <w:p w14:paraId="35493AFD" w14:textId="3BB578E0" w:rsidR="00316D00" w:rsidRPr="00E7004E" w:rsidRDefault="00316D00"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23.1%</w:t>
            </w:r>
          </w:p>
        </w:tc>
        <w:tc>
          <w:tcPr>
            <w:tcW w:w="360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5568D2FA" w14:textId="4B48C1E4" w:rsidR="00316D00" w:rsidRPr="00E7004E" w:rsidRDefault="00833E24"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Retina</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31729D35" w14:textId="4006D1E0" w:rsidR="00316D00" w:rsidRPr="00E7004E" w:rsidRDefault="00833E24"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2.3%</w:t>
            </w:r>
          </w:p>
        </w:tc>
      </w:tr>
      <w:tr w:rsidR="00316D00" w:rsidRPr="00E7004E" w14:paraId="525093E0" w14:textId="77777777" w:rsidTr="00833E24">
        <w:trPr>
          <w:trHeight w:val="243"/>
          <w:jc w:val="center"/>
        </w:trPr>
        <w:tc>
          <w:tcPr>
            <w:tcW w:w="3600" w:type="dxa"/>
            <w:tcBorders>
              <w:top w:val="single" w:sz="4" w:space="0" w:color="auto"/>
              <w:left w:val="single" w:sz="12" w:space="0" w:color="000000"/>
              <w:bottom w:val="single" w:sz="4" w:space="0" w:color="000000"/>
              <w:right w:val="single" w:sz="8" w:space="0" w:color="0070C0"/>
            </w:tcBorders>
            <w:vAlign w:val="center"/>
          </w:tcPr>
          <w:p w14:paraId="662B0209" w14:textId="6FEB56B6" w:rsidR="00316D00" w:rsidRPr="00E7004E" w:rsidRDefault="00833E24"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Cornea and contact lenses</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1AF9FB6C" w14:textId="2D5B5C54" w:rsidR="00316D00" w:rsidRPr="00E7004E" w:rsidRDefault="00833E24"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12.7%</w:t>
            </w:r>
          </w:p>
        </w:tc>
        <w:tc>
          <w:tcPr>
            <w:tcW w:w="360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32F2426" w14:textId="59601CE8" w:rsidR="00316D00" w:rsidRPr="00E7004E" w:rsidRDefault="00833E24"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Refractive and ocular surgery</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428A64FA" w14:textId="33FCB9A7" w:rsidR="00316D00" w:rsidRPr="00E7004E" w:rsidRDefault="00833E24"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w:t>
            </w:r>
          </w:p>
        </w:tc>
      </w:tr>
      <w:tr w:rsidR="00316D00" w:rsidRPr="00E7004E" w14:paraId="589C6B60" w14:textId="77777777" w:rsidTr="00833E24">
        <w:trPr>
          <w:trHeight w:val="243"/>
          <w:jc w:val="center"/>
        </w:trPr>
        <w:tc>
          <w:tcPr>
            <w:tcW w:w="3600" w:type="dxa"/>
            <w:tcBorders>
              <w:top w:val="single" w:sz="4" w:space="0" w:color="auto"/>
              <w:left w:val="single" w:sz="12" w:space="0" w:color="000000"/>
              <w:bottom w:val="single" w:sz="4" w:space="0" w:color="000000"/>
              <w:right w:val="single" w:sz="8" w:space="0" w:color="0070C0"/>
            </w:tcBorders>
            <w:vAlign w:val="center"/>
          </w:tcPr>
          <w:p w14:paraId="38363CDA" w14:textId="6DCFDC31" w:rsidR="00316D00" w:rsidRPr="00E7004E" w:rsidRDefault="00833E24"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Primary eyecare</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13C9462C" w14:textId="79219D9A" w:rsidR="00316D00" w:rsidRPr="00E7004E" w:rsidRDefault="00833E24"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12.0%</w:t>
            </w:r>
          </w:p>
        </w:tc>
        <w:tc>
          <w:tcPr>
            <w:tcW w:w="360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2B95CAB2" w14:textId="66C68515" w:rsidR="00316D00" w:rsidRPr="00E7004E" w:rsidRDefault="00833E24"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Low vision</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2C8DD7CC" w14:textId="59376316" w:rsidR="00316D00" w:rsidRPr="00E7004E" w:rsidRDefault="00833E24"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w:t>
            </w:r>
          </w:p>
        </w:tc>
      </w:tr>
      <w:tr w:rsidR="00316D00" w:rsidRPr="00E7004E" w14:paraId="7C3BF7FF" w14:textId="77777777" w:rsidTr="00833E24">
        <w:trPr>
          <w:trHeight w:val="243"/>
          <w:jc w:val="center"/>
        </w:trPr>
        <w:tc>
          <w:tcPr>
            <w:tcW w:w="3600" w:type="dxa"/>
            <w:tcBorders>
              <w:top w:val="single" w:sz="4" w:space="0" w:color="auto"/>
              <w:left w:val="single" w:sz="12" w:space="0" w:color="000000"/>
              <w:bottom w:val="single" w:sz="4" w:space="0" w:color="000000"/>
              <w:right w:val="single" w:sz="8" w:space="0" w:color="0070C0"/>
            </w:tcBorders>
            <w:vAlign w:val="center"/>
          </w:tcPr>
          <w:p w14:paraId="1B6FD0DA" w14:textId="436490FB" w:rsidR="00316D00" w:rsidRPr="00E7004E" w:rsidRDefault="00833E24"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Presbyopia management</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2BABEFCC" w14:textId="0C7A2F8B" w:rsidR="00316D00" w:rsidRPr="00E7004E" w:rsidRDefault="00833E24"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7.2%</w:t>
            </w:r>
          </w:p>
        </w:tc>
        <w:tc>
          <w:tcPr>
            <w:tcW w:w="360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7E1B2C36" w14:textId="7F591AB8" w:rsidR="00316D00" w:rsidRPr="00E7004E" w:rsidRDefault="00833E24"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Cosmetics in eyecare</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737C2247" w14:textId="55B8FE5B" w:rsidR="00316D00" w:rsidRPr="00E7004E" w:rsidRDefault="00833E24"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0.1%</w:t>
            </w:r>
          </w:p>
        </w:tc>
      </w:tr>
      <w:tr w:rsidR="00316D00" w:rsidRPr="00E7004E" w14:paraId="3BB79D23" w14:textId="77777777" w:rsidTr="00833E24">
        <w:trPr>
          <w:trHeight w:val="243"/>
          <w:jc w:val="center"/>
        </w:trPr>
        <w:tc>
          <w:tcPr>
            <w:tcW w:w="3600" w:type="dxa"/>
            <w:tcBorders>
              <w:top w:val="single" w:sz="4" w:space="0" w:color="auto"/>
              <w:left w:val="single" w:sz="12" w:space="0" w:color="000000"/>
              <w:bottom w:val="single" w:sz="4" w:space="0" w:color="000000"/>
              <w:right w:val="single" w:sz="8" w:space="0" w:color="0070C0"/>
            </w:tcBorders>
            <w:vAlign w:val="center"/>
          </w:tcPr>
          <w:p w14:paraId="23A5FBBB" w14:textId="14F7CEB3" w:rsidR="00316D00" w:rsidRPr="00E7004E" w:rsidRDefault="00833E24"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Glaucoma</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31B705C8" w14:textId="6300535A" w:rsidR="00316D00" w:rsidRPr="00E7004E" w:rsidRDefault="00833E24"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5.4%</w:t>
            </w:r>
          </w:p>
        </w:tc>
        <w:tc>
          <w:tcPr>
            <w:tcW w:w="360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5565A31F" w14:textId="6D33380A" w:rsidR="00316D00" w:rsidRPr="00E7004E" w:rsidRDefault="00833E24"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Ocular disease</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372FB175" w14:textId="2BB31B3C" w:rsidR="00316D00" w:rsidRPr="00E7004E" w:rsidRDefault="00833E24"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0.1%</w:t>
            </w:r>
          </w:p>
        </w:tc>
      </w:tr>
      <w:tr w:rsidR="00316D00" w:rsidRPr="00E7004E" w14:paraId="57EC6735" w14:textId="77777777" w:rsidTr="00833E24">
        <w:trPr>
          <w:trHeight w:val="243"/>
          <w:jc w:val="center"/>
        </w:trPr>
        <w:tc>
          <w:tcPr>
            <w:tcW w:w="3600"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0E141412" w14:textId="401BA966" w:rsidR="00316D00" w:rsidRPr="00E7004E" w:rsidRDefault="00833E24"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Vision therapy and rehabilitation</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3352AD8A" w14:textId="61E572D3" w:rsidR="00316D00" w:rsidRPr="00E7004E" w:rsidRDefault="00833E24"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3.9%</w:t>
            </w:r>
          </w:p>
        </w:tc>
        <w:tc>
          <w:tcPr>
            <w:tcW w:w="3600" w:type="dxa"/>
            <w:tcBorders>
              <w:top w:val="single" w:sz="4" w:space="0" w:color="000000"/>
              <w:left w:val="single" w:sz="18" w:space="0" w:color="0070C0"/>
              <w:bottom w:val="single" w:sz="12" w:space="0" w:color="000000"/>
              <w:right w:val="single" w:sz="8" w:space="0" w:color="0070C0"/>
            </w:tcBorders>
            <w:shd w:val="clear" w:color="auto" w:fill="D9D9D9" w:themeFill="background1" w:themeFillShade="D9"/>
            <w:vAlign w:val="center"/>
          </w:tcPr>
          <w:p w14:paraId="05D8470D" w14:textId="1DC6496E" w:rsidR="00316D00" w:rsidRPr="00E7004E" w:rsidRDefault="00316D00"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552A6EE0" w14:textId="696D363A" w:rsidR="00316D00" w:rsidRPr="00E7004E" w:rsidRDefault="00316D00"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2340424F" w14:textId="13B0FB58" w:rsidR="00316D00" w:rsidRDefault="00316D00" w:rsidP="00833E24">
      <w:pPr>
        <w:spacing w:after="0" w:line="240" w:lineRule="auto"/>
        <w:ind w:hanging="180"/>
        <w:contextualSpacing/>
        <w:mirrorIndents/>
        <w:rPr>
          <w:rFonts w:ascii="Verdana" w:hAnsi="Verdana"/>
          <w:sz w:val="20"/>
          <w:szCs w:val="20"/>
        </w:rPr>
      </w:pPr>
      <w:r>
        <w:rPr>
          <w:rFonts w:ascii="Verdana" w:hAnsi="Verdana"/>
          <w:sz w:val="16"/>
          <w:szCs w:val="16"/>
        </w:rPr>
        <w:t>Eyes on Eyecare,</w:t>
      </w:r>
      <w:r w:rsidRPr="00E7004E">
        <w:rPr>
          <w:rFonts w:ascii="Verdana" w:hAnsi="Verdana"/>
          <w:sz w:val="16"/>
          <w:szCs w:val="16"/>
        </w:rPr>
        <w:t xml:space="preserve"> </w:t>
      </w:r>
      <w:r>
        <w:rPr>
          <w:rFonts w:ascii="Verdana" w:hAnsi="Verdana"/>
          <w:sz w:val="16"/>
          <w:szCs w:val="16"/>
        </w:rPr>
        <w:t>December 2021</w:t>
      </w:r>
      <w:r w:rsidRPr="00E7004E">
        <w:rPr>
          <w:rFonts w:ascii="Verdana" w:hAnsi="Verdana"/>
          <w:sz w:val="16"/>
          <w:szCs w:val="16"/>
        </w:rPr>
        <w:tab/>
      </w:r>
    </w:p>
    <w:p w14:paraId="1DF4FD81" w14:textId="77777777" w:rsidR="00316D00" w:rsidRDefault="00316D00" w:rsidP="00F94CE8">
      <w:pPr>
        <w:pStyle w:val="NoSpacing"/>
        <w:contextualSpacing/>
        <w:rPr>
          <w:sz w:val="20"/>
          <w:szCs w:val="20"/>
        </w:rPr>
      </w:pPr>
    </w:p>
    <w:p w14:paraId="2AC14BFB" w14:textId="77777777" w:rsidR="00F94CE8" w:rsidRDefault="00F94CE8" w:rsidP="00F94CE8">
      <w:pPr>
        <w:pStyle w:val="NoSpacing"/>
        <w:contextualSpacing/>
        <w:rPr>
          <w:sz w:val="20"/>
          <w:szCs w:val="20"/>
        </w:rPr>
      </w:pPr>
    </w:p>
    <w:p w14:paraId="548CA371" w14:textId="77777777" w:rsidR="00F94CE8" w:rsidRDefault="00F94CE8" w:rsidP="00F94CE8">
      <w:pPr>
        <w:pStyle w:val="NoSpacing"/>
        <w:contextualSpacing/>
        <w:rPr>
          <w:sz w:val="20"/>
          <w:szCs w:val="20"/>
        </w:rPr>
      </w:pPr>
    </w:p>
    <w:p w14:paraId="3266F5ED" w14:textId="77777777" w:rsidR="00F94CE8" w:rsidRDefault="00F94CE8" w:rsidP="00F94CE8">
      <w:pPr>
        <w:pStyle w:val="NoSpacing"/>
        <w:contextualSpacing/>
        <w:rPr>
          <w:sz w:val="20"/>
          <w:szCs w:val="20"/>
        </w:rPr>
      </w:pPr>
    </w:p>
    <w:p w14:paraId="32F550B4" w14:textId="77777777" w:rsidR="00F94CE8" w:rsidRDefault="00F94CE8" w:rsidP="00F94CE8">
      <w:pPr>
        <w:pStyle w:val="NoSpacing"/>
        <w:contextualSpacing/>
        <w:rPr>
          <w:sz w:val="20"/>
          <w:szCs w:val="20"/>
        </w:rPr>
      </w:pPr>
    </w:p>
    <w:p w14:paraId="564917DB" w14:textId="77777777" w:rsidR="00A20445" w:rsidRDefault="00A20445" w:rsidP="00F94CE8">
      <w:pPr>
        <w:pStyle w:val="NoSpacing"/>
        <w:contextualSpacing/>
        <w:rPr>
          <w:sz w:val="20"/>
          <w:szCs w:val="20"/>
        </w:rPr>
      </w:pPr>
    </w:p>
    <w:p w14:paraId="72BAAFC7" w14:textId="59C9E846" w:rsidR="00F94CE8" w:rsidRPr="00604E8D" w:rsidRDefault="00F94CE8" w:rsidP="00F94CE8">
      <w:pPr>
        <w:spacing w:after="0" w:line="240" w:lineRule="auto"/>
        <w:rPr>
          <w:rFonts w:ascii="Verdana" w:hAnsi="Verdana"/>
          <w:sz w:val="16"/>
          <w:szCs w:val="16"/>
        </w:rPr>
      </w:pPr>
      <w:r w:rsidRPr="00604E8D">
        <w:rPr>
          <w:rFonts w:ascii="Verdana" w:hAnsi="Verdana"/>
          <w:i/>
          <w:sz w:val="16"/>
          <w:szCs w:val="16"/>
        </w:rPr>
        <w:t>Sources:</w:t>
      </w:r>
      <w:r w:rsidRPr="00604E8D">
        <w:rPr>
          <w:rFonts w:ascii="Verdana" w:hAnsi="Verdana"/>
          <w:sz w:val="16"/>
          <w:szCs w:val="16"/>
        </w:rPr>
        <w:t xml:space="preserve"> </w:t>
      </w:r>
      <w:r w:rsidR="00604E8D" w:rsidRPr="00604E8D">
        <w:rPr>
          <w:i/>
          <w:iCs/>
          <w:sz w:val="16"/>
          <w:szCs w:val="16"/>
        </w:rPr>
        <w:t>Vision Monday</w:t>
      </w:r>
      <w:r w:rsidR="00604E8D" w:rsidRPr="00604E8D">
        <w:rPr>
          <w:sz w:val="16"/>
          <w:szCs w:val="16"/>
        </w:rPr>
        <w:t xml:space="preserve"> </w:t>
      </w:r>
      <w:r w:rsidRPr="00604E8D">
        <w:rPr>
          <w:rFonts w:ascii="Verdana" w:hAnsi="Verdana"/>
          <w:sz w:val="16"/>
          <w:szCs w:val="16"/>
        </w:rPr>
        <w:t xml:space="preserve">Website, </w:t>
      </w:r>
      <w:r w:rsidR="00923C8D" w:rsidRPr="00604E8D">
        <w:rPr>
          <w:rFonts w:ascii="Verdana" w:hAnsi="Verdana"/>
          <w:sz w:val="16"/>
          <w:szCs w:val="16"/>
        </w:rPr>
        <w:t>1</w:t>
      </w:r>
      <w:r w:rsidR="00B5730B" w:rsidRPr="00604E8D">
        <w:rPr>
          <w:rFonts w:ascii="Verdana" w:hAnsi="Verdana"/>
          <w:sz w:val="16"/>
          <w:szCs w:val="16"/>
        </w:rPr>
        <w:t>/</w:t>
      </w:r>
      <w:r w:rsidR="00AE6B2A" w:rsidRPr="00604E8D">
        <w:rPr>
          <w:rFonts w:ascii="Verdana" w:hAnsi="Verdana"/>
          <w:sz w:val="16"/>
          <w:szCs w:val="16"/>
        </w:rPr>
        <w:t>2</w:t>
      </w:r>
      <w:r w:rsidR="00B5730B" w:rsidRPr="00604E8D">
        <w:rPr>
          <w:rFonts w:ascii="Verdana" w:hAnsi="Verdana"/>
          <w:sz w:val="16"/>
          <w:szCs w:val="16"/>
        </w:rPr>
        <w:t>2</w:t>
      </w:r>
      <w:r w:rsidRPr="00604E8D">
        <w:rPr>
          <w:rFonts w:ascii="Verdana" w:hAnsi="Verdana"/>
          <w:sz w:val="16"/>
          <w:szCs w:val="16"/>
        </w:rPr>
        <w:t xml:space="preserve">; </w:t>
      </w:r>
      <w:r w:rsidR="00604E8D" w:rsidRPr="00604E8D">
        <w:rPr>
          <w:sz w:val="16"/>
          <w:szCs w:val="16"/>
        </w:rPr>
        <w:t xml:space="preserve">U.S. Bureau of Economic Analysis </w:t>
      </w:r>
      <w:r w:rsidRPr="00604E8D">
        <w:rPr>
          <w:rFonts w:ascii="Verdana" w:hAnsi="Verdana"/>
          <w:sz w:val="16"/>
          <w:szCs w:val="16"/>
        </w:rPr>
        <w:t xml:space="preserve">Website, </w:t>
      </w:r>
      <w:r w:rsidR="00923C8D" w:rsidRPr="00604E8D">
        <w:rPr>
          <w:rFonts w:ascii="Verdana" w:hAnsi="Verdana"/>
          <w:sz w:val="16"/>
          <w:szCs w:val="16"/>
        </w:rPr>
        <w:t>1</w:t>
      </w:r>
      <w:r w:rsidR="004E421A" w:rsidRPr="00604E8D">
        <w:rPr>
          <w:rFonts w:ascii="Verdana" w:hAnsi="Verdana"/>
          <w:sz w:val="16"/>
          <w:szCs w:val="16"/>
        </w:rPr>
        <w:t>/</w:t>
      </w:r>
      <w:r w:rsidR="00AE6B2A" w:rsidRPr="00604E8D">
        <w:rPr>
          <w:rFonts w:ascii="Verdana" w:hAnsi="Verdana"/>
          <w:sz w:val="16"/>
          <w:szCs w:val="16"/>
        </w:rPr>
        <w:t>2</w:t>
      </w:r>
      <w:r w:rsidR="00B5730B" w:rsidRPr="00604E8D">
        <w:rPr>
          <w:rFonts w:ascii="Verdana" w:hAnsi="Verdana"/>
          <w:sz w:val="16"/>
          <w:szCs w:val="16"/>
        </w:rPr>
        <w:t>2</w:t>
      </w:r>
      <w:r w:rsidRPr="00604E8D">
        <w:rPr>
          <w:rFonts w:ascii="Verdana" w:hAnsi="Verdana"/>
          <w:sz w:val="16"/>
          <w:szCs w:val="16"/>
        </w:rPr>
        <w:t xml:space="preserve">; </w:t>
      </w:r>
      <w:r w:rsidR="00604E8D" w:rsidRPr="00604E8D">
        <w:rPr>
          <w:i/>
          <w:iCs/>
          <w:sz w:val="16"/>
          <w:szCs w:val="16"/>
        </w:rPr>
        <w:t>Eyecare Business</w:t>
      </w:r>
      <w:r w:rsidR="009A3EBE" w:rsidRPr="00604E8D">
        <w:rPr>
          <w:rFonts w:ascii="Verdana" w:hAnsi="Verdana"/>
          <w:sz w:val="16"/>
          <w:szCs w:val="16"/>
        </w:rPr>
        <w:t xml:space="preserve"> </w:t>
      </w:r>
      <w:r w:rsidRPr="00604E8D">
        <w:rPr>
          <w:rFonts w:ascii="Verdana" w:hAnsi="Verdana"/>
          <w:sz w:val="16"/>
          <w:szCs w:val="16"/>
        </w:rPr>
        <w:t>Website</w:t>
      </w:r>
      <w:r w:rsidR="00A00453" w:rsidRPr="00604E8D">
        <w:rPr>
          <w:rFonts w:ascii="Verdana" w:hAnsi="Verdana"/>
          <w:sz w:val="16"/>
          <w:szCs w:val="16"/>
        </w:rPr>
        <w:t xml:space="preserve">, </w:t>
      </w:r>
      <w:r w:rsidR="00923C8D" w:rsidRPr="00604E8D">
        <w:rPr>
          <w:rFonts w:ascii="Verdana" w:hAnsi="Verdana"/>
          <w:sz w:val="16"/>
          <w:szCs w:val="16"/>
        </w:rPr>
        <w:t>1</w:t>
      </w:r>
      <w:r w:rsidR="00306D88" w:rsidRPr="00604E8D">
        <w:rPr>
          <w:rFonts w:ascii="Verdana" w:hAnsi="Verdana"/>
          <w:sz w:val="16"/>
          <w:szCs w:val="16"/>
        </w:rPr>
        <w:t>/</w:t>
      </w:r>
      <w:r w:rsidR="00AE6B2A" w:rsidRPr="00604E8D">
        <w:rPr>
          <w:rFonts w:ascii="Verdana" w:hAnsi="Verdana"/>
          <w:sz w:val="16"/>
          <w:szCs w:val="16"/>
        </w:rPr>
        <w:t>2</w:t>
      </w:r>
      <w:r w:rsidR="00B5730B" w:rsidRPr="00604E8D">
        <w:rPr>
          <w:rFonts w:ascii="Verdana" w:hAnsi="Verdana"/>
          <w:sz w:val="16"/>
          <w:szCs w:val="16"/>
        </w:rPr>
        <w:t>2</w:t>
      </w:r>
      <w:r w:rsidR="00604E8D">
        <w:rPr>
          <w:rFonts w:ascii="Verdana" w:hAnsi="Verdana"/>
          <w:sz w:val="16"/>
          <w:szCs w:val="16"/>
        </w:rPr>
        <w:t>;</w:t>
      </w:r>
      <w:r w:rsidR="00604E8D" w:rsidRPr="00604E8D">
        <w:rPr>
          <w:rFonts w:ascii="Verdana" w:hAnsi="Verdana"/>
          <w:sz w:val="16"/>
          <w:szCs w:val="16"/>
        </w:rPr>
        <w:t xml:space="preserve"> </w:t>
      </w:r>
      <w:r w:rsidR="00604E8D" w:rsidRPr="00604E8D">
        <w:rPr>
          <w:sz w:val="16"/>
          <w:szCs w:val="16"/>
        </w:rPr>
        <w:t>Eyes on Eyecare Website</w:t>
      </w:r>
      <w:r w:rsidR="00604E8D">
        <w:rPr>
          <w:sz w:val="16"/>
          <w:szCs w:val="16"/>
        </w:rPr>
        <w:t>, 1/22;</w:t>
      </w:r>
      <w:r w:rsidR="00604E8D" w:rsidRPr="00604E8D">
        <w:rPr>
          <w:sz w:val="16"/>
          <w:szCs w:val="16"/>
        </w:rPr>
        <w:t xml:space="preserve"> The Media Audit Website</w:t>
      </w:r>
      <w:r w:rsidR="00604E8D">
        <w:rPr>
          <w:sz w:val="16"/>
          <w:szCs w:val="16"/>
        </w:rPr>
        <w:t>, 1/22.</w:t>
      </w:r>
    </w:p>
    <w:p w14:paraId="7EF64BA4" w14:textId="77777777" w:rsidR="00F94CE8" w:rsidRPr="00690E6A" w:rsidRDefault="00F94CE8" w:rsidP="00F94CE8">
      <w:pPr>
        <w:spacing w:after="0" w:line="240" w:lineRule="auto"/>
        <w:rPr>
          <w:rFonts w:ascii="Verdana" w:hAnsi="Verdana"/>
          <w:sz w:val="16"/>
        </w:rPr>
      </w:pPr>
    </w:p>
    <w:p w14:paraId="49C0D793" w14:textId="6CB9947B"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B5730B">
        <w:rPr>
          <w:rFonts w:ascii="Verdana" w:hAnsi="Verdana"/>
          <w:sz w:val="16"/>
        </w:rPr>
        <w:t>January 2022</w:t>
      </w:r>
    </w:p>
    <w:p w14:paraId="061B0C21" w14:textId="77777777" w:rsidR="00F94CE8" w:rsidRDefault="00F94CE8" w:rsidP="00F94CE8">
      <w:pPr>
        <w:pStyle w:val="NoSpacing"/>
        <w:contextualSpacing/>
        <w:rPr>
          <w:sz w:val="20"/>
          <w:szCs w:val="20"/>
        </w:rPr>
      </w:pPr>
    </w:p>
    <w:p w14:paraId="56AD0CC7" w14:textId="2ADAACD2"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285387">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A6AC" w14:textId="77777777" w:rsidR="00490B78" w:rsidRDefault="00490B78" w:rsidP="00260DE9">
      <w:pPr>
        <w:spacing w:after="0" w:line="240" w:lineRule="auto"/>
      </w:pPr>
      <w:r>
        <w:separator/>
      </w:r>
    </w:p>
  </w:endnote>
  <w:endnote w:type="continuationSeparator" w:id="0">
    <w:p w14:paraId="4D141E6B" w14:textId="77777777" w:rsidR="00490B78" w:rsidRDefault="00490B78"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5D07" w14:textId="77777777" w:rsidR="00490B78" w:rsidRDefault="00490B78" w:rsidP="00260DE9">
      <w:pPr>
        <w:spacing w:after="0" w:line="240" w:lineRule="auto"/>
      </w:pPr>
      <w:r>
        <w:separator/>
      </w:r>
    </w:p>
  </w:footnote>
  <w:footnote w:type="continuationSeparator" w:id="0">
    <w:p w14:paraId="7A44C885" w14:textId="77777777" w:rsidR="00490B78" w:rsidRDefault="00490B78"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52024"/>
    <w:rsid w:val="0005633E"/>
    <w:rsid w:val="00057133"/>
    <w:rsid w:val="000577D6"/>
    <w:rsid w:val="0007198D"/>
    <w:rsid w:val="000830D7"/>
    <w:rsid w:val="000C08F0"/>
    <w:rsid w:val="000C4B96"/>
    <w:rsid w:val="000C7821"/>
    <w:rsid w:val="000D2F3A"/>
    <w:rsid w:val="000D7C07"/>
    <w:rsid w:val="00112A85"/>
    <w:rsid w:val="0012010F"/>
    <w:rsid w:val="00142DEE"/>
    <w:rsid w:val="001531C2"/>
    <w:rsid w:val="00154344"/>
    <w:rsid w:val="00160474"/>
    <w:rsid w:val="00161442"/>
    <w:rsid w:val="0016492E"/>
    <w:rsid w:val="00177D0F"/>
    <w:rsid w:val="001A05E7"/>
    <w:rsid w:val="001A2BD5"/>
    <w:rsid w:val="001B64B0"/>
    <w:rsid w:val="001B6D1C"/>
    <w:rsid w:val="001F5DFA"/>
    <w:rsid w:val="00260DE9"/>
    <w:rsid w:val="00276773"/>
    <w:rsid w:val="00285387"/>
    <w:rsid w:val="00294474"/>
    <w:rsid w:val="00297DC8"/>
    <w:rsid w:val="002A4A73"/>
    <w:rsid w:val="002A6286"/>
    <w:rsid w:val="002B0BCF"/>
    <w:rsid w:val="002B3E1A"/>
    <w:rsid w:val="002B428E"/>
    <w:rsid w:val="002C2A6A"/>
    <w:rsid w:val="002E1F38"/>
    <w:rsid w:val="00306D88"/>
    <w:rsid w:val="00316D00"/>
    <w:rsid w:val="00321F25"/>
    <w:rsid w:val="00327C87"/>
    <w:rsid w:val="00342401"/>
    <w:rsid w:val="00351DD0"/>
    <w:rsid w:val="003630CD"/>
    <w:rsid w:val="0038459A"/>
    <w:rsid w:val="003969D3"/>
    <w:rsid w:val="003B417B"/>
    <w:rsid w:val="003C15ED"/>
    <w:rsid w:val="003C5CC8"/>
    <w:rsid w:val="003D6958"/>
    <w:rsid w:val="003E2E9B"/>
    <w:rsid w:val="003F0FE1"/>
    <w:rsid w:val="00400606"/>
    <w:rsid w:val="00412473"/>
    <w:rsid w:val="00422A36"/>
    <w:rsid w:val="00424E79"/>
    <w:rsid w:val="00432903"/>
    <w:rsid w:val="00451F35"/>
    <w:rsid w:val="0045212B"/>
    <w:rsid w:val="0046193A"/>
    <w:rsid w:val="00481E3D"/>
    <w:rsid w:val="0048482F"/>
    <w:rsid w:val="00490B78"/>
    <w:rsid w:val="00493426"/>
    <w:rsid w:val="00494CA5"/>
    <w:rsid w:val="004C038A"/>
    <w:rsid w:val="004D4671"/>
    <w:rsid w:val="004E421A"/>
    <w:rsid w:val="004E6B1D"/>
    <w:rsid w:val="004F7F58"/>
    <w:rsid w:val="0050254D"/>
    <w:rsid w:val="00520014"/>
    <w:rsid w:val="00553DCC"/>
    <w:rsid w:val="0056258A"/>
    <w:rsid w:val="0057012D"/>
    <w:rsid w:val="00570588"/>
    <w:rsid w:val="00571D6A"/>
    <w:rsid w:val="00592462"/>
    <w:rsid w:val="00596832"/>
    <w:rsid w:val="005C3BA5"/>
    <w:rsid w:val="005E5462"/>
    <w:rsid w:val="00600CFD"/>
    <w:rsid w:val="00601F2D"/>
    <w:rsid w:val="00604E8D"/>
    <w:rsid w:val="00617A94"/>
    <w:rsid w:val="0062064C"/>
    <w:rsid w:val="00635FF3"/>
    <w:rsid w:val="00637CB9"/>
    <w:rsid w:val="006461BB"/>
    <w:rsid w:val="006557DC"/>
    <w:rsid w:val="00657B52"/>
    <w:rsid w:val="0067102D"/>
    <w:rsid w:val="0068770F"/>
    <w:rsid w:val="0069436D"/>
    <w:rsid w:val="006A2C8B"/>
    <w:rsid w:val="006B3A10"/>
    <w:rsid w:val="006D1053"/>
    <w:rsid w:val="006E6275"/>
    <w:rsid w:val="00707104"/>
    <w:rsid w:val="007139CE"/>
    <w:rsid w:val="007257B5"/>
    <w:rsid w:val="00740518"/>
    <w:rsid w:val="00743613"/>
    <w:rsid w:val="007651A4"/>
    <w:rsid w:val="007862CF"/>
    <w:rsid w:val="00793BD0"/>
    <w:rsid w:val="007B6E29"/>
    <w:rsid w:val="007D3185"/>
    <w:rsid w:val="007E5189"/>
    <w:rsid w:val="00823545"/>
    <w:rsid w:val="0082749D"/>
    <w:rsid w:val="00833E24"/>
    <w:rsid w:val="00875007"/>
    <w:rsid w:val="00883193"/>
    <w:rsid w:val="0088350D"/>
    <w:rsid w:val="0088505B"/>
    <w:rsid w:val="0089324F"/>
    <w:rsid w:val="008A3DCA"/>
    <w:rsid w:val="008E04E3"/>
    <w:rsid w:val="009229BB"/>
    <w:rsid w:val="00923C8D"/>
    <w:rsid w:val="00931A86"/>
    <w:rsid w:val="00940985"/>
    <w:rsid w:val="009419F0"/>
    <w:rsid w:val="0097289D"/>
    <w:rsid w:val="009729D9"/>
    <w:rsid w:val="0097480E"/>
    <w:rsid w:val="00984DF0"/>
    <w:rsid w:val="0099377F"/>
    <w:rsid w:val="009A3728"/>
    <w:rsid w:val="009A3EBE"/>
    <w:rsid w:val="009A4526"/>
    <w:rsid w:val="009A6479"/>
    <w:rsid w:val="009C6A17"/>
    <w:rsid w:val="009F3C8C"/>
    <w:rsid w:val="00A00453"/>
    <w:rsid w:val="00A031C1"/>
    <w:rsid w:val="00A06000"/>
    <w:rsid w:val="00A12BB9"/>
    <w:rsid w:val="00A20445"/>
    <w:rsid w:val="00A30B01"/>
    <w:rsid w:val="00A5207C"/>
    <w:rsid w:val="00A55AAE"/>
    <w:rsid w:val="00A55AB4"/>
    <w:rsid w:val="00A61F9B"/>
    <w:rsid w:val="00A71026"/>
    <w:rsid w:val="00A820F9"/>
    <w:rsid w:val="00AB01D8"/>
    <w:rsid w:val="00AC1D7A"/>
    <w:rsid w:val="00AE087E"/>
    <w:rsid w:val="00AE1F72"/>
    <w:rsid w:val="00AE6B2A"/>
    <w:rsid w:val="00AE71B7"/>
    <w:rsid w:val="00AF5FF9"/>
    <w:rsid w:val="00B12A59"/>
    <w:rsid w:val="00B33B46"/>
    <w:rsid w:val="00B36421"/>
    <w:rsid w:val="00B4203D"/>
    <w:rsid w:val="00B5730B"/>
    <w:rsid w:val="00B6421F"/>
    <w:rsid w:val="00B70DE3"/>
    <w:rsid w:val="00B72CB3"/>
    <w:rsid w:val="00B935E0"/>
    <w:rsid w:val="00BC0DB8"/>
    <w:rsid w:val="00BC2144"/>
    <w:rsid w:val="00BD39B3"/>
    <w:rsid w:val="00BE4BEC"/>
    <w:rsid w:val="00BE6652"/>
    <w:rsid w:val="00C11931"/>
    <w:rsid w:val="00C147E3"/>
    <w:rsid w:val="00C20878"/>
    <w:rsid w:val="00C21D13"/>
    <w:rsid w:val="00C412D4"/>
    <w:rsid w:val="00C54007"/>
    <w:rsid w:val="00C567C6"/>
    <w:rsid w:val="00C65128"/>
    <w:rsid w:val="00C77B54"/>
    <w:rsid w:val="00CB1D26"/>
    <w:rsid w:val="00CE3B31"/>
    <w:rsid w:val="00CE7889"/>
    <w:rsid w:val="00D16971"/>
    <w:rsid w:val="00D17DB0"/>
    <w:rsid w:val="00D21494"/>
    <w:rsid w:val="00D22E81"/>
    <w:rsid w:val="00D26223"/>
    <w:rsid w:val="00D37649"/>
    <w:rsid w:val="00D8342E"/>
    <w:rsid w:val="00D93E11"/>
    <w:rsid w:val="00DA1474"/>
    <w:rsid w:val="00DC09DC"/>
    <w:rsid w:val="00DC4F7C"/>
    <w:rsid w:val="00DD5A41"/>
    <w:rsid w:val="00DE0FDD"/>
    <w:rsid w:val="00DF2CA1"/>
    <w:rsid w:val="00E20F93"/>
    <w:rsid w:val="00E21202"/>
    <w:rsid w:val="00E31C88"/>
    <w:rsid w:val="00E43FD6"/>
    <w:rsid w:val="00E45F8D"/>
    <w:rsid w:val="00E80C14"/>
    <w:rsid w:val="00EC1ED3"/>
    <w:rsid w:val="00ED42A4"/>
    <w:rsid w:val="00EF6801"/>
    <w:rsid w:val="00EF6AB9"/>
    <w:rsid w:val="00F056FA"/>
    <w:rsid w:val="00F150A0"/>
    <w:rsid w:val="00F2704A"/>
    <w:rsid w:val="00F2750F"/>
    <w:rsid w:val="00F66EA8"/>
    <w:rsid w:val="00F70E29"/>
    <w:rsid w:val="00F94CE8"/>
    <w:rsid w:val="00FA495C"/>
    <w:rsid w:val="00FB418C"/>
    <w:rsid w:val="00FE727C"/>
    <w:rsid w:val="00FF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2022-01-18T18:17:00Z</dcterms:created>
  <dcterms:modified xsi:type="dcterms:W3CDTF">2022-01-18T18:17:00Z</dcterms:modified>
</cp:coreProperties>
</file>