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1463FE12" w:rsidR="00F94CE8" w:rsidRPr="005F19E9" w:rsidRDefault="00646BD6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Retail Pharmacy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Market 2022</w:t>
      </w:r>
    </w:p>
    <w:p w14:paraId="11DB62D2" w14:textId="77777777" w:rsidR="00F94CE8" w:rsidRPr="00542C2C" w:rsidRDefault="00F94CE8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6CBF13A" w14:textId="77777777" w:rsidR="00542C2C" w:rsidRPr="00542C2C" w:rsidRDefault="00542C2C" w:rsidP="00542C2C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542C2C">
        <w:rPr>
          <w:rFonts w:ascii="Verdana" w:hAnsi="Verdana"/>
          <w:b/>
          <w:bCs/>
          <w:color w:val="0070C0"/>
          <w:sz w:val="20"/>
          <w:szCs w:val="20"/>
        </w:rPr>
        <w:t>Growing, But With Growth Challenges</w:t>
      </w:r>
    </w:p>
    <w:p w14:paraId="48F21703" w14:textId="77777777" w:rsidR="00542C2C" w:rsidRPr="00542C2C" w:rsidRDefault="00542C2C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17C7690" w14:textId="2E277F84" w:rsidR="00542C2C" w:rsidRDefault="00542C2C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US Census Bureau data, total 2021 retail sales at “health and personal care stores (NAICS 446) increased 9.7% from 2020, </w:t>
      </w:r>
      <w:r w:rsidR="002D2C06">
        <w:rPr>
          <w:rFonts w:ascii="Verdana" w:hAnsi="Verdana"/>
          <w:sz w:val="20"/>
          <w:szCs w:val="20"/>
        </w:rPr>
        <w:t>and 11.7%</w:t>
      </w:r>
      <w:r>
        <w:rPr>
          <w:rFonts w:ascii="Verdana" w:hAnsi="Verdana"/>
          <w:sz w:val="20"/>
          <w:szCs w:val="20"/>
        </w:rPr>
        <w:t xml:space="preserve"> from 2019.</w:t>
      </w:r>
      <w:r w:rsidR="00275651">
        <w:rPr>
          <w:rFonts w:ascii="Verdana" w:hAnsi="Verdana"/>
          <w:sz w:val="20"/>
          <w:szCs w:val="20"/>
        </w:rPr>
        <w:t xml:space="preserve"> Sales at “pharmacies and drug stores</w:t>
      </w:r>
      <w:r w:rsidR="002D2C06">
        <w:rPr>
          <w:rFonts w:ascii="Verdana" w:hAnsi="Verdana"/>
          <w:sz w:val="20"/>
          <w:szCs w:val="20"/>
        </w:rPr>
        <w:t>”</w:t>
      </w:r>
      <w:r w:rsidR="00275651">
        <w:rPr>
          <w:rFonts w:ascii="Verdana" w:hAnsi="Verdana"/>
          <w:sz w:val="20"/>
          <w:szCs w:val="20"/>
        </w:rPr>
        <w:t xml:space="preserve"> (NAICS 44611) increased 7.7% and </w:t>
      </w:r>
      <w:r w:rsidR="002D2C06">
        <w:rPr>
          <w:rFonts w:ascii="Verdana" w:hAnsi="Verdana"/>
          <w:sz w:val="20"/>
          <w:szCs w:val="20"/>
        </w:rPr>
        <w:t>14.2</w:t>
      </w:r>
      <w:r w:rsidR="00275651">
        <w:rPr>
          <w:rFonts w:ascii="Verdana" w:hAnsi="Verdana"/>
          <w:sz w:val="20"/>
          <w:szCs w:val="20"/>
        </w:rPr>
        <w:t>%, respectively.</w:t>
      </w:r>
    </w:p>
    <w:p w14:paraId="221FA92A" w14:textId="77777777" w:rsidR="00542C2C" w:rsidRDefault="00542C2C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8EBD0CA" w14:textId="70871834" w:rsidR="00542C2C" w:rsidRDefault="00275651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Drug Channel Institute stated in its 2022 Economic Report $501 billion in US prescription revenues at retail pharmacy chains, grocery stores, mass merchandisers and online/mail-only outlets. </w:t>
      </w:r>
      <w:r w:rsidR="007C2037">
        <w:rPr>
          <w:rFonts w:ascii="Verdana" w:hAnsi="Verdana"/>
          <w:sz w:val="20"/>
          <w:szCs w:val="20"/>
        </w:rPr>
        <w:t>The largest 15 US pharmacies had a 76.9% share.</w:t>
      </w:r>
    </w:p>
    <w:p w14:paraId="09B87E00" w14:textId="05C68A43" w:rsidR="007C2037" w:rsidRDefault="007C2037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CB2F206" w14:textId="5652FA72" w:rsidR="007C2037" w:rsidRDefault="007C2037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retail pharmacy market is extremely competitive, resulting in significant store closures because of over-building</w:t>
      </w:r>
      <w:r w:rsidR="00B65607">
        <w:rPr>
          <w:rFonts w:ascii="Verdana" w:hAnsi="Verdana"/>
          <w:sz w:val="20"/>
          <w:szCs w:val="20"/>
        </w:rPr>
        <w:t>. Almost all prescription</w:t>
      </w:r>
      <w:r w:rsidR="005D07E0">
        <w:rPr>
          <w:rFonts w:ascii="Verdana" w:hAnsi="Verdana"/>
          <w:sz w:val="20"/>
          <w:szCs w:val="20"/>
        </w:rPr>
        <w:t>s</w:t>
      </w:r>
      <w:r w:rsidR="00B65607">
        <w:rPr>
          <w:rFonts w:ascii="Verdana" w:hAnsi="Verdana"/>
          <w:sz w:val="20"/>
          <w:szCs w:val="20"/>
        </w:rPr>
        <w:t xml:space="preserve"> sold at a retail pharmacy are generic drugs, which have low prices and reimbursements from health/drug insurance providers.</w:t>
      </w:r>
    </w:p>
    <w:p w14:paraId="25237817" w14:textId="77777777" w:rsidR="00542C2C" w:rsidRDefault="00542C2C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D8B6C04" w14:textId="15A0F2F5" w:rsidR="00D80A53" w:rsidRPr="00502F18" w:rsidRDefault="007C2FEA" w:rsidP="00D80A53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Comparison of </w:t>
      </w:r>
      <w:r w:rsidR="00D80A53">
        <w:rPr>
          <w:rFonts w:ascii="Verdana" w:hAnsi="Verdana"/>
          <w:b/>
          <w:sz w:val="20"/>
          <w:szCs w:val="20"/>
        </w:rPr>
        <w:t>Pharmacies</w:t>
      </w:r>
      <w:r>
        <w:rPr>
          <w:rFonts w:ascii="Verdana" w:hAnsi="Verdana"/>
          <w:b/>
          <w:sz w:val="20"/>
          <w:szCs w:val="20"/>
        </w:rPr>
        <w:t xml:space="preserve"> and Drug Stores*</w:t>
      </w:r>
      <w:r w:rsidR="00D80A53">
        <w:rPr>
          <w:rFonts w:ascii="Verdana" w:hAnsi="Verdana"/>
          <w:b/>
          <w:sz w:val="20"/>
          <w:szCs w:val="20"/>
        </w:rPr>
        <w:t xml:space="preserve"> Sales, 20</w:t>
      </w:r>
      <w:r>
        <w:rPr>
          <w:rFonts w:ascii="Verdana" w:hAnsi="Verdana"/>
          <w:b/>
          <w:sz w:val="20"/>
          <w:szCs w:val="20"/>
        </w:rPr>
        <w:t>19</w:t>
      </w:r>
      <w:r w:rsidR="00D80A53">
        <w:rPr>
          <w:rFonts w:ascii="Verdana" w:hAnsi="Verdana"/>
          <w:b/>
          <w:sz w:val="20"/>
          <w:szCs w:val="20"/>
        </w:rPr>
        <w:t>–2021</w:t>
      </w:r>
    </w:p>
    <w:tbl>
      <w:tblPr>
        <w:tblW w:w="10882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96"/>
        <w:gridCol w:w="1296"/>
        <w:gridCol w:w="1296"/>
        <w:gridCol w:w="1551"/>
        <w:gridCol w:w="1296"/>
        <w:gridCol w:w="1296"/>
        <w:gridCol w:w="1296"/>
      </w:tblGrid>
      <w:tr w:rsidR="00D80A53" w:rsidRPr="00502F18" w14:paraId="33BEB499" w14:textId="77777777" w:rsidTr="008F599A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shd w:val="clear" w:color="auto" w:fill="auto"/>
            <w:vAlign w:val="center"/>
          </w:tcPr>
          <w:p w14:paraId="08BBA03C" w14:textId="77777777" w:rsidR="00D80A53" w:rsidRPr="00502F18" w:rsidRDefault="00D80A53" w:rsidP="008F5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Period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0FEDBEA" w14:textId="77777777" w:rsidR="00D80A53" w:rsidRDefault="00D80A53" w:rsidP="008F5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 Sales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C4769BC" w14:textId="77777777" w:rsidR="00D80A53" w:rsidRDefault="00D80A53" w:rsidP="008F5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 from 2020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0AB04750" w14:textId="77777777" w:rsidR="00D80A53" w:rsidRPr="00502F18" w:rsidRDefault="00D80A53" w:rsidP="008F5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 from 2019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shd w:val="clear" w:color="auto" w:fill="auto"/>
            <w:vAlign w:val="center"/>
          </w:tcPr>
          <w:p w14:paraId="27AC7ED6" w14:textId="77777777" w:rsidR="00D80A53" w:rsidRPr="00502F18" w:rsidRDefault="00D80A53" w:rsidP="008F5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Period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F8AA91E" w14:textId="77777777" w:rsidR="00D80A53" w:rsidRDefault="00D80A53" w:rsidP="008F5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 Sales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586A16B" w14:textId="77777777" w:rsidR="00D80A53" w:rsidRDefault="00D80A53" w:rsidP="008F5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 from 2020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38EB3E38" w14:textId="77777777" w:rsidR="00D80A53" w:rsidRPr="00502F18" w:rsidRDefault="00D80A53" w:rsidP="008F5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 from 2019</w:t>
            </w:r>
          </w:p>
        </w:tc>
      </w:tr>
      <w:tr w:rsidR="00D80A53" w:rsidRPr="00502F18" w14:paraId="1C6EE4BE" w14:textId="77777777" w:rsidTr="00E02CDA">
        <w:trPr>
          <w:trHeight w:val="243"/>
          <w:jc w:val="center"/>
        </w:trPr>
        <w:tc>
          <w:tcPr>
            <w:tcW w:w="155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36232BA6" w14:textId="409CC04D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Pr="00A55D55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Quarter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vAlign w:val="center"/>
          </w:tcPr>
          <w:p w14:paraId="7E4E3F84" w14:textId="4A9E5DFA" w:rsidR="00D80A53" w:rsidRDefault="007C2FEA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$76.86 B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AE79E58" w14:textId="69C1EA2B" w:rsidR="00D80A53" w:rsidRDefault="00A0351B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+3.0%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42B26551" w14:textId="735829BD" w:rsidR="00D80A53" w:rsidRPr="00502F18" w:rsidRDefault="00A0351B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+9.5%</w:t>
            </w:r>
          </w:p>
        </w:tc>
        <w:tc>
          <w:tcPr>
            <w:tcW w:w="1551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50E5BBFA" w14:textId="6C6BBE2E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A55D55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Quarter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86940B6" w14:textId="0137B257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$81.49 B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8E44642" w14:textId="25CE5745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+8.0%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868180A" w14:textId="4D2F5395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+17.2%</w:t>
            </w:r>
          </w:p>
        </w:tc>
      </w:tr>
      <w:tr w:rsidR="00D80A53" w:rsidRPr="00502F18" w14:paraId="2F18DCF0" w14:textId="77777777" w:rsidTr="00E02CDA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654A0DD6" w14:textId="1C3C92D5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Pr="00A55D55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Quarter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6501A926" w14:textId="7597330C" w:rsidR="00D80A53" w:rsidRDefault="00A0351B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$80.79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BC311EA" w14:textId="75559376" w:rsidR="00D80A53" w:rsidRDefault="00A0351B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+11.9%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55930231" w14:textId="1223B994" w:rsidR="00D80A53" w:rsidRPr="00502F18" w:rsidRDefault="00A0351B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+13.7%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03C7F6E2" w14:textId="555C6355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  <w:r w:rsidRPr="00A55D55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Quarter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956F0DA" w14:textId="63EEA942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$85.03 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762B03E" w14:textId="3CB5C3C9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+8.2%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00FF437" w14:textId="2EC4AB0D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+16.7%</w:t>
            </w:r>
          </w:p>
        </w:tc>
      </w:tr>
      <w:tr w:rsidR="00D80A53" w:rsidRPr="00502F18" w14:paraId="1018AA4C" w14:textId="77777777" w:rsidTr="00E02CDA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67E0BFDF" w14:textId="45CB9C85" w:rsidR="00D80A53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Pr="00A55D55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Half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342DC24D" w14:textId="49DAB0A6" w:rsidR="00D80A53" w:rsidRDefault="00A0351B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$157.65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A83DA37" w14:textId="0A257C87" w:rsidR="00D80A53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+7.4%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0F574C72" w14:textId="118EB42B" w:rsidR="00D80A53" w:rsidRDefault="00A0351B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+11.6%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31C6A70" w14:textId="5AFFD923" w:rsidR="00D80A53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Pr="00A55D55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Half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42C06EF" w14:textId="5B4B27F8" w:rsidR="00D80A53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$166.51 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812B3CC" w14:textId="14E2C290" w:rsidR="00D80A53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+8.1%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0888310" w14:textId="4B2ABA04" w:rsidR="00D80A53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+16.9%</w:t>
            </w:r>
          </w:p>
        </w:tc>
      </w:tr>
      <w:tr w:rsidR="00D80A53" w:rsidRPr="00502F18" w14:paraId="60898104" w14:textId="77777777" w:rsidTr="00E02CDA">
        <w:trPr>
          <w:trHeight w:val="24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1D49E2E8" w14:textId="565E719B" w:rsidR="00D80A53" w:rsidRPr="00502F18" w:rsidRDefault="00D80A53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36928D3A" w14:textId="23F774B4" w:rsidR="00D80A53" w:rsidRPr="00502F18" w:rsidRDefault="00D80A53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2F40A8F9" w14:textId="1757F24F" w:rsidR="00D80A53" w:rsidRPr="00502F18" w:rsidRDefault="00D80A53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D9D9D9" w:themeFill="background1" w:themeFillShade="D9"/>
            <w:vAlign w:val="center"/>
          </w:tcPr>
          <w:p w14:paraId="5E9F31C5" w14:textId="4C95512C" w:rsidR="00D80A53" w:rsidRPr="00502F18" w:rsidRDefault="00D80A53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C454030" w14:textId="56C7DDD0" w:rsidR="00D80A53" w:rsidRPr="00502F18" w:rsidRDefault="007C2FEA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 (All)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7BC4150" w14:textId="5252CD3D" w:rsidR="00D80A53" w:rsidRPr="00502F18" w:rsidRDefault="00A55D5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$324.16 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C2265A9" w14:textId="77CAC821" w:rsidR="00D80A53" w:rsidRPr="00502F18" w:rsidRDefault="002D2C06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+7.7%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EA30F29" w14:textId="0EB87928" w:rsidR="00D80A53" w:rsidRPr="00502F18" w:rsidRDefault="002D2C06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+14.2%</w:t>
            </w:r>
          </w:p>
        </w:tc>
      </w:tr>
    </w:tbl>
    <w:p w14:paraId="39605EDE" w14:textId="07EFE89D" w:rsidR="00542C2C" w:rsidRDefault="00D80A53" w:rsidP="002D2C06">
      <w:pPr>
        <w:spacing w:after="0" w:line="240" w:lineRule="auto"/>
        <w:ind w:hanging="72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>US Census Bureau</w:t>
      </w:r>
      <w:r w:rsidRPr="00502F18">
        <w:rPr>
          <w:rFonts w:ascii="Verdana" w:hAnsi="Verdana"/>
          <w:sz w:val="16"/>
          <w:szCs w:val="16"/>
        </w:rPr>
        <w:t xml:space="preserve">, </w:t>
      </w:r>
      <w:r w:rsidR="002D2C06">
        <w:rPr>
          <w:rFonts w:ascii="Verdana" w:hAnsi="Verdana"/>
          <w:sz w:val="16"/>
          <w:szCs w:val="16"/>
        </w:rPr>
        <w:t>March</w:t>
      </w:r>
      <w:r>
        <w:rPr>
          <w:rFonts w:ascii="Verdana" w:hAnsi="Verdana"/>
          <w:sz w:val="16"/>
          <w:szCs w:val="16"/>
        </w:rPr>
        <w:t xml:space="preserve"> 2022</w:t>
      </w:r>
      <w:r w:rsidRPr="00502F1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*NAICS 44</w:t>
      </w:r>
      <w:r w:rsidR="002D2C06">
        <w:rPr>
          <w:rFonts w:ascii="Verdana" w:hAnsi="Verdana"/>
          <w:sz w:val="16"/>
          <w:szCs w:val="16"/>
        </w:rPr>
        <w:t>611</w:t>
      </w:r>
    </w:p>
    <w:p w14:paraId="6765B7F7" w14:textId="77777777" w:rsidR="00D80A53" w:rsidRDefault="00D80A53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A6998DF" w14:textId="444F7B69" w:rsidR="00542C2C" w:rsidRPr="00AC2337" w:rsidRDefault="00542C2C" w:rsidP="00AC233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C2337">
        <w:rPr>
          <w:rFonts w:ascii="Verdana" w:hAnsi="Verdana"/>
          <w:b/>
          <w:bCs/>
          <w:color w:val="0070C0"/>
          <w:sz w:val="20"/>
          <w:szCs w:val="20"/>
        </w:rPr>
        <w:t>Persistent Pressures on Independent Pharmacies</w:t>
      </w:r>
    </w:p>
    <w:p w14:paraId="101A6121" w14:textId="77777777" w:rsidR="00542C2C" w:rsidRPr="00542C2C" w:rsidRDefault="00542C2C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99B081F" w14:textId="07E5FC3D" w:rsidR="00AC2337" w:rsidRDefault="001C79DF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the latest data available (2020) from the National Community Pharmacists Association (NCPA), there were 19,397 independent pharmacy locations in the US, which represents more than one-third of all locations.</w:t>
      </w:r>
    </w:p>
    <w:p w14:paraId="02FEE151" w14:textId="07168BAA" w:rsidR="001C79DF" w:rsidRDefault="001C79DF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6F8A4D2" w14:textId="77716F55" w:rsidR="001C79DF" w:rsidRDefault="001C79DF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Despite the overwhelming competition f</w:t>
      </w:r>
      <w:r w:rsidR="008F599A">
        <w:rPr>
          <w:rFonts w:ascii="Verdana" w:hAnsi="Verdana"/>
          <w:sz w:val="20"/>
          <w:szCs w:val="20"/>
        </w:rPr>
        <w:t>rom</w:t>
      </w:r>
      <w:r>
        <w:rPr>
          <w:rFonts w:ascii="Verdana" w:hAnsi="Verdana"/>
          <w:sz w:val="20"/>
          <w:szCs w:val="20"/>
        </w:rPr>
        <w:t xml:space="preserve"> the major chains, grocery stores and mass merchants, independent pharmacies’ 2020 gross margin of 21.9% was within the range of the previous four years.</w:t>
      </w:r>
    </w:p>
    <w:p w14:paraId="561AF955" w14:textId="63DC1695" w:rsidR="001C79DF" w:rsidRDefault="001C79DF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D5B30C4" w14:textId="5E6B92B1" w:rsidR="001C79DF" w:rsidRDefault="001C79DF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Administering COVID-19 vaccinations via the US government program has boosted all pharmacies</w:t>
      </w:r>
      <w:r w:rsidR="00E1658B">
        <w:rPr>
          <w:rFonts w:ascii="Verdana" w:hAnsi="Verdana"/>
          <w:sz w:val="20"/>
          <w:szCs w:val="20"/>
        </w:rPr>
        <w:t>’ revenues. They receive $40 for each vaccination with no charge for the supply.</w:t>
      </w:r>
    </w:p>
    <w:p w14:paraId="3E913D04" w14:textId="5FE77E25" w:rsidR="00AC2337" w:rsidRDefault="00AC2337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D57703B" w14:textId="71CAB91A" w:rsidR="00C04340" w:rsidRPr="00CC1ECE" w:rsidRDefault="00C04340" w:rsidP="00C04340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Pharmacies and Administration of COVID-19 Vaccines, March 2022</w:t>
      </w:r>
    </w:p>
    <w:tbl>
      <w:tblPr>
        <w:tblW w:w="8797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0"/>
        <w:gridCol w:w="1267"/>
      </w:tblGrid>
      <w:tr w:rsidR="00C04340" w:rsidRPr="00CC1ECE" w14:paraId="46F37199" w14:textId="77777777" w:rsidTr="007B1412">
        <w:trPr>
          <w:jc w:val="center"/>
        </w:trPr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E797FD9" w14:textId="6528092B" w:rsidR="00C04340" w:rsidRPr="00CC1ECE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Metric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67230E96" w14:textId="247A3715" w:rsidR="00C04340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C04340" w:rsidRPr="00CC1ECE" w14:paraId="18512BA0" w14:textId="77777777" w:rsidTr="00CD7D1A">
        <w:trPr>
          <w:trHeight w:val="243"/>
          <w:jc w:val="center"/>
        </w:trPr>
        <w:tc>
          <w:tcPr>
            <w:tcW w:w="753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14:paraId="0459E403" w14:textId="14EAFE06" w:rsidR="00C04340" w:rsidRPr="00CC1ECE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Children 5–11 have received their vaccination from a pharmacy</w:t>
            </w:r>
            <w:r w:rsidR="007B1412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CE7EBE2" w14:textId="3CCCB159" w:rsidR="00C04340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30%+</w:t>
            </w:r>
          </w:p>
        </w:tc>
      </w:tr>
      <w:tr w:rsidR="00C04340" w:rsidRPr="00CC1ECE" w14:paraId="04BDCEFB" w14:textId="77777777" w:rsidTr="00CD7D1A">
        <w:trPr>
          <w:trHeight w:val="243"/>
          <w:jc w:val="center"/>
        </w:trPr>
        <w:tc>
          <w:tcPr>
            <w:tcW w:w="7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A679C04" w14:textId="23D155BE" w:rsidR="00C04340" w:rsidRPr="00CC1ECE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Pharmacy COVID-19 vaccination sites are located in areas with high social vulnerability.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7D1BFF4" w14:textId="769A7B37" w:rsidR="00C04340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50%</w:t>
            </w:r>
          </w:p>
        </w:tc>
      </w:tr>
      <w:tr w:rsidR="00C04340" w:rsidRPr="00CC1ECE" w14:paraId="3249E327" w14:textId="77777777" w:rsidTr="00CD7D1A">
        <w:trPr>
          <w:trHeight w:val="243"/>
          <w:jc w:val="center"/>
        </w:trPr>
        <w:tc>
          <w:tcPr>
            <w:tcW w:w="7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0BA36C6" w14:textId="681241EC" w:rsidR="00C04340" w:rsidRPr="00CC1ECE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Pharmacy COVID-19 </w:t>
            </w:r>
            <w:r w:rsidR="007B1412">
              <w:rPr>
                <w:rFonts w:ascii="Verdana" w:eastAsia="Times New Roman" w:hAnsi="Verdana"/>
                <w:sz w:val="20"/>
                <w:szCs w:val="20"/>
              </w:rPr>
              <w:t>testing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sites are in areas with moderate to severe social vulnerability.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92D050"/>
            <w:vAlign w:val="center"/>
          </w:tcPr>
          <w:p w14:paraId="56666BFE" w14:textId="5A1CCC5D" w:rsidR="00C04340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70%</w:t>
            </w:r>
          </w:p>
        </w:tc>
      </w:tr>
      <w:tr w:rsidR="00C04340" w:rsidRPr="00CC1ECE" w14:paraId="7432AE86" w14:textId="77777777" w:rsidTr="00CD7D1A">
        <w:trPr>
          <w:trHeight w:val="243"/>
          <w:jc w:val="center"/>
        </w:trPr>
        <w:tc>
          <w:tcPr>
            <w:tcW w:w="7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579C124D" w14:textId="4A2F555F" w:rsidR="00C04340" w:rsidRPr="00CC1ECE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Those vaccinated at pharmacies from racial and ethnic minority groups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92D050"/>
            <w:vAlign w:val="center"/>
          </w:tcPr>
          <w:p w14:paraId="0996AB34" w14:textId="1F77F847" w:rsidR="00C04340" w:rsidRDefault="00C04340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70</w:t>
            </w:r>
            <w:r w:rsidR="007B1412">
              <w:rPr>
                <w:rFonts w:ascii="Verdana" w:eastAsia="Times New Roman" w:hAnsi="Verdana"/>
                <w:sz w:val="20"/>
                <w:szCs w:val="20"/>
              </w:rPr>
              <w:t>%</w:t>
            </w:r>
          </w:p>
        </w:tc>
      </w:tr>
      <w:tr w:rsidR="00C04340" w:rsidRPr="00CC1ECE" w14:paraId="3672D6CF" w14:textId="77777777" w:rsidTr="00CD7D1A">
        <w:trPr>
          <w:trHeight w:val="243"/>
          <w:jc w:val="center"/>
        </w:trPr>
        <w:tc>
          <w:tcPr>
            <w:tcW w:w="75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75E3334" w14:textId="7DF974C4" w:rsidR="00C04340" w:rsidRPr="00CC1ECE" w:rsidRDefault="007B1412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 pharmacy within five miles of all Americans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61DEABD4" w14:textId="13BABD36" w:rsidR="00C04340" w:rsidRDefault="007B1412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90%</w:t>
            </w:r>
          </w:p>
        </w:tc>
      </w:tr>
    </w:tbl>
    <w:p w14:paraId="6EA7812A" w14:textId="1856C55B" w:rsidR="00C04340" w:rsidRDefault="00C04340" w:rsidP="007B1412">
      <w:pPr>
        <w:tabs>
          <w:tab w:val="left" w:pos="270"/>
          <w:tab w:val="left" w:pos="54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="007B1412">
        <w:rPr>
          <w:rFonts w:ascii="Verdana" w:hAnsi="Verdana"/>
          <w:sz w:val="16"/>
          <w:szCs w:val="16"/>
        </w:rPr>
        <w:t>National Association of Chain Drug Stores</w:t>
      </w:r>
      <w:r>
        <w:rPr>
          <w:rFonts w:ascii="Verdana" w:hAnsi="Verdana"/>
          <w:sz w:val="16"/>
          <w:szCs w:val="16"/>
        </w:rPr>
        <w:t>, March 2022</w:t>
      </w:r>
    </w:p>
    <w:p w14:paraId="4EDF3638" w14:textId="642FE7F2" w:rsidR="00E1658B" w:rsidRDefault="00E1658B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F0CF8B7" w14:textId="041FFD6C" w:rsidR="00542C2C" w:rsidRPr="00B63DB9" w:rsidRDefault="00542C2C" w:rsidP="00B63DB9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B63DB9"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Threatened by </w:t>
      </w:r>
      <w:r w:rsidR="008F599A">
        <w:rPr>
          <w:rFonts w:ascii="Verdana" w:hAnsi="Verdana"/>
          <w:b/>
          <w:bCs/>
          <w:color w:val="0070C0"/>
          <w:sz w:val="20"/>
          <w:szCs w:val="20"/>
        </w:rPr>
        <w:t xml:space="preserve">the </w:t>
      </w:r>
      <w:r w:rsidRPr="00B63DB9">
        <w:rPr>
          <w:rFonts w:ascii="Verdana" w:hAnsi="Verdana"/>
          <w:b/>
          <w:bCs/>
          <w:color w:val="0070C0"/>
          <w:sz w:val="20"/>
          <w:szCs w:val="20"/>
        </w:rPr>
        <w:t xml:space="preserve">Online Beauty Products </w:t>
      </w:r>
      <w:r w:rsidR="008F599A">
        <w:rPr>
          <w:rFonts w:ascii="Verdana" w:hAnsi="Verdana"/>
          <w:b/>
          <w:bCs/>
          <w:color w:val="0070C0"/>
          <w:sz w:val="20"/>
          <w:szCs w:val="20"/>
        </w:rPr>
        <w:t>Channel</w:t>
      </w:r>
    </w:p>
    <w:p w14:paraId="0FAE7A7F" w14:textId="1D788FF8" w:rsidR="00542C2C" w:rsidRDefault="00542C2C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537CF26" w14:textId="441D2DF6" w:rsidR="00B63DB9" w:rsidRDefault="008165EB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995D01">
        <w:rPr>
          <w:rFonts w:ascii="Verdana" w:hAnsi="Verdana"/>
          <w:sz w:val="20"/>
          <w:szCs w:val="20"/>
        </w:rPr>
        <w:t xml:space="preserve">ales in the US online channel for beauty and personal care </w:t>
      </w:r>
      <w:r>
        <w:rPr>
          <w:rFonts w:ascii="Verdana" w:hAnsi="Verdana"/>
          <w:sz w:val="20"/>
          <w:szCs w:val="20"/>
        </w:rPr>
        <w:t>products</w:t>
      </w:r>
      <w:r w:rsidR="00995D01">
        <w:rPr>
          <w:rFonts w:ascii="Verdana" w:hAnsi="Verdana"/>
          <w:sz w:val="20"/>
          <w:szCs w:val="20"/>
        </w:rPr>
        <w:t xml:space="preserve"> </w:t>
      </w:r>
      <w:r w:rsidR="008F599A">
        <w:rPr>
          <w:rFonts w:ascii="Verdana" w:hAnsi="Verdana"/>
          <w:sz w:val="20"/>
          <w:szCs w:val="20"/>
        </w:rPr>
        <w:t>increased</w:t>
      </w:r>
      <w:r w:rsidR="00995D01">
        <w:rPr>
          <w:rFonts w:ascii="Verdana" w:hAnsi="Verdana"/>
          <w:sz w:val="20"/>
          <w:szCs w:val="20"/>
        </w:rPr>
        <w:t xml:space="preserve"> 5.6% during 2020</w:t>
      </w:r>
      <w:r w:rsidR="008F599A">
        <w:rPr>
          <w:rFonts w:ascii="Verdana" w:hAnsi="Verdana"/>
          <w:sz w:val="20"/>
          <w:szCs w:val="20"/>
        </w:rPr>
        <w:t>, but</w:t>
      </w:r>
      <w:r w:rsidR="00995D01">
        <w:rPr>
          <w:rFonts w:ascii="Verdana" w:hAnsi="Verdana"/>
          <w:sz w:val="20"/>
          <w:szCs w:val="20"/>
        </w:rPr>
        <w:t xml:space="preserve"> 5.3% during 2021 and </w:t>
      </w:r>
      <w:r>
        <w:rPr>
          <w:rFonts w:ascii="Verdana" w:hAnsi="Verdana"/>
          <w:sz w:val="20"/>
          <w:szCs w:val="20"/>
        </w:rPr>
        <w:t xml:space="preserve">is </w:t>
      </w:r>
      <w:r w:rsidR="00995D01">
        <w:rPr>
          <w:rFonts w:ascii="Verdana" w:hAnsi="Verdana"/>
          <w:sz w:val="20"/>
          <w:szCs w:val="20"/>
        </w:rPr>
        <w:t>forecast to increase 5% during 2022</w:t>
      </w:r>
      <w:r>
        <w:rPr>
          <w:rFonts w:ascii="Verdana" w:hAnsi="Verdana"/>
          <w:sz w:val="20"/>
          <w:szCs w:val="20"/>
        </w:rPr>
        <w:t>.</w:t>
      </w:r>
      <w:r w:rsidR="00995D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="00995D01">
        <w:rPr>
          <w:rFonts w:ascii="Verdana" w:hAnsi="Verdana"/>
          <w:sz w:val="20"/>
          <w:szCs w:val="20"/>
        </w:rPr>
        <w:t>ffline sales have averaged a 1.2% decrease for each year from 2018 to 2021.</w:t>
      </w:r>
    </w:p>
    <w:p w14:paraId="5AD58930" w14:textId="4CFCEB40" w:rsidR="00995D01" w:rsidRDefault="00995D01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DD9D6E9" w14:textId="472B081F" w:rsidR="00995D01" w:rsidRDefault="00C27C99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Retail e-commerce sales for the health, personal care and beauty sector </w:t>
      </w:r>
      <w:r w:rsidR="008165EB"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z w:val="20"/>
          <w:szCs w:val="20"/>
        </w:rPr>
        <w:t xml:space="preserve"> forecast to total $85.52 billion for 2022, a 16.7% increase from 202</w:t>
      </w:r>
      <w:r w:rsidR="00D2653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, with another 15.9% increase for 2023 to a total of $99.12 billion. </w:t>
      </w:r>
    </w:p>
    <w:p w14:paraId="1B573D96" w14:textId="7CE26A99" w:rsidR="00B63DB9" w:rsidRDefault="00B63DB9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52057E3" w14:textId="32AC5D91" w:rsidR="00B63DB9" w:rsidRDefault="006D1B1C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The NPD Group, </w:t>
      </w:r>
      <w:r w:rsidR="00D17571">
        <w:rPr>
          <w:rFonts w:ascii="Verdana" w:hAnsi="Verdana"/>
          <w:sz w:val="20"/>
          <w:szCs w:val="20"/>
        </w:rPr>
        <w:t xml:space="preserve">total 2021 sales for the US prestige beauty industry increased 30% YOY to a total of $22 billion. Consumers are buying more hair care, makeup and similar products because more of them are returning to </w:t>
      </w:r>
      <w:r w:rsidR="00D2653D">
        <w:rPr>
          <w:rFonts w:ascii="Verdana" w:hAnsi="Verdana"/>
          <w:sz w:val="20"/>
          <w:szCs w:val="20"/>
        </w:rPr>
        <w:t>workplaces</w:t>
      </w:r>
      <w:r w:rsidR="00D17571">
        <w:rPr>
          <w:rFonts w:ascii="Verdana" w:hAnsi="Verdana"/>
          <w:sz w:val="20"/>
          <w:szCs w:val="20"/>
        </w:rPr>
        <w:t xml:space="preserve"> </w:t>
      </w:r>
      <w:r w:rsidR="00D2653D">
        <w:rPr>
          <w:rFonts w:ascii="Verdana" w:hAnsi="Verdana"/>
          <w:sz w:val="20"/>
          <w:szCs w:val="20"/>
        </w:rPr>
        <w:t>and</w:t>
      </w:r>
      <w:r w:rsidR="00D17571">
        <w:rPr>
          <w:rFonts w:ascii="Verdana" w:hAnsi="Verdana"/>
          <w:sz w:val="20"/>
          <w:szCs w:val="20"/>
        </w:rPr>
        <w:t xml:space="preserve"> social activities.</w:t>
      </w:r>
    </w:p>
    <w:p w14:paraId="21C779D9" w14:textId="7C9A45BB" w:rsidR="00D17571" w:rsidRDefault="00D17571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1D2D621" w14:textId="77777777" w:rsidR="00AE5BB7" w:rsidRDefault="00AE5BB7" w:rsidP="00AE5BB7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Personal Consumption Expenditures for Selected </w:t>
      </w:r>
    </w:p>
    <w:p w14:paraId="33366F17" w14:textId="7E3DBEEF" w:rsidR="00AE5BB7" w:rsidRPr="00CC1ECE" w:rsidRDefault="00AE5BB7" w:rsidP="00AE5BB7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Personal Care Products, 2021 Compared to 2020 and </w:t>
      </w:r>
      <w:r w:rsidRPr="00CC1ECE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19</w:t>
      </w:r>
    </w:p>
    <w:tbl>
      <w:tblPr>
        <w:tblW w:w="10959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5"/>
        <w:gridCol w:w="1368"/>
        <w:gridCol w:w="1368"/>
        <w:gridCol w:w="1368"/>
      </w:tblGrid>
      <w:tr w:rsidR="00AE5BB7" w:rsidRPr="00CC1ECE" w14:paraId="29E89C9E" w14:textId="77777777" w:rsidTr="00D2653D">
        <w:trPr>
          <w:jc w:val="center"/>
        </w:trPr>
        <w:tc>
          <w:tcPr>
            <w:tcW w:w="685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4A508FFC" w14:textId="77777777" w:rsidR="00AE5BB7" w:rsidRPr="00CC1ECE" w:rsidRDefault="00AE5BB7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Product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shd w:val="clear" w:color="auto" w:fill="auto"/>
            <w:vAlign w:val="center"/>
          </w:tcPr>
          <w:p w14:paraId="0FB08D18" w14:textId="77777777" w:rsidR="00AE5BB7" w:rsidRPr="00CC1ECE" w:rsidRDefault="00AE5BB7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3217D55" w14:textId="77777777" w:rsidR="00AE5BB7" w:rsidRPr="00CC1ECE" w:rsidRDefault="00AE5BB7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 from 2020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36D1CE6A" w14:textId="77777777" w:rsidR="00AE5BB7" w:rsidRDefault="00AE5BB7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 from 2019</w:t>
            </w:r>
          </w:p>
        </w:tc>
      </w:tr>
      <w:tr w:rsidR="00AE5BB7" w:rsidRPr="00CC1ECE" w14:paraId="383EE1DD" w14:textId="77777777" w:rsidTr="00E04195">
        <w:trPr>
          <w:trHeight w:val="243"/>
          <w:jc w:val="center"/>
        </w:trPr>
        <w:tc>
          <w:tcPr>
            <w:tcW w:w="685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5BCD174A" w14:textId="10078202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All personal care products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66034D12" w14:textId="5C43F1A5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$164.72 B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7B0878E" w14:textId="468E58E6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+14.4%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A4D0829" w14:textId="4B9D3EC9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+17.4%</w:t>
            </w:r>
          </w:p>
        </w:tc>
      </w:tr>
      <w:tr w:rsidR="00AE5BB7" w:rsidRPr="00CC1ECE" w14:paraId="4EDAA422" w14:textId="77777777" w:rsidTr="00E04195">
        <w:trPr>
          <w:trHeight w:val="243"/>
          <w:jc w:val="center"/>
        </w:trPr>
        <w:tc>
          <w:tcPr>
            <w:tcW w:w="68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F6BB460" w14:textId="0CBC87CC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Hair, dental, shaving and miscellaneous products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1F39F97" w14:textId="6A670FDF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$89.36 B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A3E4018" w14:textId="137CEB85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+12.6%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2DA334" w14:textId="486FE339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+17.0%</w:t>
            </w:r>
          </w:p>
        </w:tc>
      </w:tr>
      <w:tr w:rsidR="00AE5BB7" w:rsidRPr="00CC1ECE" w14:paraId="0BA6B793" w14:textId="77777777" w:rsidTr="00E04195">
        <w:trPr>
          <w:trHeight w:val="243"/>
          <w:jc w:val="center"/>
        </w:trPr>
        <w:tc>
          <w:tcPr>
            <w:tcW w:w="68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4D78691" w14:textId="56805867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Cosmetics, perfumes, bath and nail preparations and implements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B52424A" w14:textId="3C5DEE40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$63.28 B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DC5F404" w14:textId="14AADC6E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+16.8%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E2EFCD8" w14:textId="65B7ED86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+16.3%</w:t>
            </w:r>
          </w:p>
        </w:tc>
      </w:tr>
      <w:tr w:rsidR="00AE5BB7" w:rsidRPr="00CC1ECE" w14:paraId="702FB131" w14:textId="77777777" w:rsidTr="00E04195">
        <w:trPr>
          <w:trHeight w:val="243"/>
          <w:jc w:val="center"/>
        </w:trPr>
        <w:tc>
          <w:tcPr>
            <w:tcW w:w="6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3DFC9B5" w14:textId="39BA55A2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Electric appliances for personal care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3B49D3F6" w14:textId="6F313C97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$12.08 B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A55487B" w14:textId="31CEA6F9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+15.5%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14:paraId="54CA4E6E" w14:textId="30A72B85" w:rsidR="00AE5BB7" w:rsidRPr="00CC1ECE" w:rsidRDefault="00AE5BB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+27.6%</w:t>
            </w:r>
          </w:p>
        </w:tc>
      </w:tr>
    </w:tbl>
    <w:p w14:paraId="70AD9FD5" w14:textId="77777777" w:rsidR="00AE5BB7" w:rsidRPr="009B464B" w:rsidRDefault="00AE5BB7" w:rsidP="00AE5BB7">
      <w:pPr>
        <w:pStyle w:val="NoSpacing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Bureau of Economic Analysis</w:t>
      </w:r>
      <w:r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March 2022</w:t>
      </w:r>
    </w:p>
    <w:p w14:paraId="45721736" w14:textId="77777777" w:rsidR="00D17571" w:rsidRPr="00542C2C" w:rsidRDefault="00D17571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39E10D6" w14:textId="3597D0AF" w:rsidR="00542C2C" w:rsidRPr="00AE5BB7" w:rsidRDefault="00542C2C" w:rsidP="00AE5BB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E5BB7">
        <w:rPr>
          <w:rFonts w:ascii="Verdana" w:hAnsi="Verdana"/>
          <w:b/>
          <w:bCs/>
          <w:color w:val="0070C0"/>
          <w:sz w:val="20"/>
          <w:szCs w:val="20"/>
        </w:rPr>
        <w:t>Supplements for Health and Sleep</w:t>
      </w:r>
    </w:p>
    <w:p w14:paraId="51F8AC25" w14:textId="4688EFCE" w:rsidR="00542C2C" w:rsidRDefault="00542C2C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E64902D" w14:textId="5B03C80A" w:rsidR="00197618" w:rsidRDefault="00197618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part of their health and wellness strategy during the pandemic, 80% of Americans say they use supplements, according to The Council for Responsible Nutrition’s (CRN) 2021 Consumer Survey on Dietary Supplements, conducted during August 2021.</w:t>
      </w:r>
    </w:p>
    <w:p w14:paraId="3B1DFCC1" w14:textId="087638C8" w:rsidR="00197618" w:rsidRDefault="00197618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A6CFAC4" w14:textId="6302321A" w:rsidR="00197618" w:rsidRDefault="00197618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Vitamin D, zinc and vitamin C were three supplements increasing substantially from 2020 to 2021, or 10 percentage points, 7 percentage points and 5 percentage points, respectively.</w:t>
      </w:r>
    </w:p>
    <w:p w14:paraId="544BBBB3" w14:textId="786CB065" w:rsidR="00197618" w:rsidRDefault="00197618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CB801E2" w14:textId="11DDB5F1" w:rsidR="00197618" w:rsidRDefault="00197618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D2653D">
        <w:rPr>
          <w:rFonts w:ascii="Verdana" w:hAnsi="Verdana"/>
          <w:i/>
          <w:iCs/>
          <w:sz w:val="20"/>
          <w:szCs w:val="20"/>
        </w:rPr>
        <w:t>Nutrition Business Journal</w:t>
      </w:r>
      <w:r>
        <w:rPr>
          <w:rFonts w:ascii="Verdana" w:hAnsi="Verdana"/>
          <w:sz w:val="20"/>
          <w:szCs w:val="20"/>
        </w:rPr>
        <w:t xml:space="preserve"> estimates </w:t>
      </w:r>
      <w:r w:rsidR="0034106E">
        <w:rPr>
          <w:rFonts w:ascii="Verdana" w:hAnsi="Verdana"/>
          <w:sz w:val="20"/>
          <w:szCs w:val="20"/>
        </w:rPr>
        <w:t>2021 sales of sleep supplements increased 13.7% YOY to a total of $1.25 billion. Melatonin generated the most sales at $590 million, but combination herbal formulas increased the most at 117.3% YOY.</w:t>
      </w:r>
    </w:p>
    <w:p w14:paraId="01999C4C" w14:textId="7D0DB67E" w:rsidR="0034106E" w:rsidRDefault="0034106E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3826319" w14:textId="5CE43390" w:rsidR="007E7923" w:rsidRPr="00CC1ECE" w:rsidRDefault="007E7923" w:rsidP="007E7923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Indices of Beauty Vertical Sales, Shopping Trips/Household and Spending/Trip for the Four Weeks of February 2022 Compared to Same Four Weeks of 2021</w:t>
      </w:r>
    </w:p>
    <w:tbl>
      <w:tblPr>
        <w:tblW w:w="6096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267"/>
        <w:gridCol w:w="1267"/>
        <w:gridCol w:w="1267"/>
      </w:tblGrid>
      <w:tr w:rsidR="007E7923" w:rsidRPr="00CC1ECE" w14:paraId="515B0B68" w14:textId="77777777" w:rsidTr="00D2653D">
        <w:trPr>
          <w:jc w:val="center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5C208DE6" w14:textId="0D5DBEE1" w:rsidR="007E7923" w:rsidRPr="00CC1ECE" w:rsidRDefault="007E7923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Week ending: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shd w:val="clear" w:color="auto" w:fill="auto"/>
            <w:vAlign w:val="center"/>
          </w:tcPr>
          <w:p w14:paraId="67F085E5" w14:textId="74515F8A" w:rsidR="007E7923" w:rsidRPr="00CC1ECE" w:rsidRDefault="007E7923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Sales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14D9E20" w14:textId="2060F2CC" w:rsidR="007E7923" w:rsidRPr="00CC1ECE" w:rsidRDefault="007E7923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Trips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69B7F5BC" w14:textId="3274EB9A" w:rsidR="007E7923" w:rsidRDefault="007E7923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Spending</w:t>
            </w:r>
          </w:p>
        </w:tc>
      </w:tr>
      <w:tr w:rsidR="007E7923" w:rsidRPr="00CC1ECE" w14:paraId="637109F1" w14:textId="77777777" w:rsidTr="00E04195">
        <w:trPr>
          <w:trHeight w:val="243"/>
          <w:jc w:val="center"/>
        </w:trPr>
        <w:tc>
          <w:tcPr>
            <w:tcW w:w="229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CD17404" w14:textId="58F8AC15" w:rsidR="007E7923" w:rsidRPr="00CC1ECE" w:rsidRDefault="007E7923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February 6, 2022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D6E3BC" w:themeFill="accent3" w:themeFillTint="66"/>
            <w:vAlign w:val="center"/>
          </w:tcPr>
          <w:p w14:paraId="7A5C921E" w14:textId="23DCF192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C5E92D7" w14:textId="2D10EC4A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3342B61" w14:textId="7AB2AA7E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</w:tr>
      <w:tr w:rsidR="007E7923" w:rsidRPr="00CC1ECE" w14:paraId="1D7D1F05" w14:textId="77777777" w:rsidTr="00E04195">
        <w:trPr>
          <w:trHeight w:val="243"/>
          <w:jc w:val="center"/>
        </w:trPr>
        <w:tc>
          <w:tcPr>
            <w:tcW w:w="22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2975D5D" w14:textId="20A5E876" w:rsidR="007E7923" w:rsidRPr="00CC1ECE" w:rsidRDefault="007E7923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February 13, 2022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C2D69B" w:themeFill="accent3" w:themeFillTint="99"/>
            <w:vAlign w:val="center"/>
          </w:tcPr>
          <w:p w14:paraId="03E5611A" w14:textId="0C101F35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11CACB49" w14:textId="71BB8C83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BE579C4" w14:textId="4F3C52F9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</w:tr>
      <w:tr w:rsidR="007E7923" w:rsidRPr="00CC1ECE" w14:paraId="31957765" w14:textId="77777777" w:rsidTr="00E04195">
        <w:trPr>
          <w:trHeight w:val="243"/>
          <w:jc w:val="center"/>
        </w:trPr>
        <w:tc>
          <w:tcPr>
            <w:tcW w:w="22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41BD799" w14:textId="1C5ABFCF" w:rsidR="007E7923" w:rsidRPr="00CC1ECE" w:rsidRDefault="007E7923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February 20, 2022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C2D69B" w:themeFill="accent3" w:themeFillTint="99"/>
            <w:vAlign w:val="center"/>
          </w:tcPr>
          <w:p w14:paraId="1B2AE36F" w14:textId="54DF95E4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763E932" w14:textId="0038D829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EF61522" w14:textId="5F228433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</w:tr>
      <w:tr w:rsidR="007E7923" w:rsidRPr="00CC1ECE" w14:paraId="2D083F14" w14:textId="77777777" w:rsidTr="00E04195">
        <w:trPr>
          <w:trHeight w:val="243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E122074" w14:textId="22AB24A7" w:rsidR="007E7923" w:rsidRPr="00CC1ECE" w:rsidRDefault="007E7923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February 27, 2022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F2DBDB" w:themeFill="accent2" w:themeFillTint="33"/>
            <w:vAlign w:val="center"/>
          </w:tcPr>
          <w:p w14:paraId="2873D5EA" w14:textId="597C01D8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EE22854" w14:textId="1CD1E068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53212CE" w14:textId="25E270EB" w:rsidR="007E7923" w:rsidRPr="00CC1ECE" w:rsidRDefault="00E04195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</w:tr>
    </w:tbl>
    <w:p w14:paraId="3068BEBA" w14:textId="2FBAC062" w:rsidR="007E7923" w:rsidRPr="009B464B" w:rsidRDefault="00E04195" w:rsidP="00E04195">
      <w:pPr>
        <w:pStyle w:val="NoSpacing"/>
        <w:tabs>
          <w:tab w:val="left" w:pos="1620"/>
        </w:tabs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Numerator</w:t>
      </w:r>
      <w:r w:rsidR="007E7923" w:rsidRPr="00CC1ECE">
        <w:rPr>
          <w:rFonts w:ascii="Verdana" w:hAnsi="Verdana"/>
          <w:sz w:val="16"/>
          <w:szCs w:val="16"/>
        </w:rPr>
        <w:t xml:space="preserve">, </w:t>
      </w:r>
      <w:r w:rsidR="007E7923">
        <w:rPr>
          <w:rFonts w:ascii="Verdana" w:hAnsi="Verdana"/>
          <w:sz w:val="16"/>
          <w:szCs w:val="16"/>
        </w:rPr>
        <w:t>March 2022</w:t>
      </w:r>
    </w:p>
    <w:p w14:paraId="121F0A65" w14:textId="77777777" w:rsidR="0034106E" w:rsidRPr="00542C2C" w:rsidRDefault="0034106E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8B37374" w14:textId="01DB9178" w:rsidR="00AE5BB7" w:rsidRDefault="00AE5BB7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F684AC2" w14:textId="77777777" w:rsidR="0098714A" w:rsidRDefault="0098714A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BF0EF71" w14:textId="333022CA" w:rsidR="00542C2C" w:rsidRPr="0098714A" w:rsidRDefault="00542C2C" w:rsidP="0098714A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98714A">
        <w:rPr>
          <w:rFonts w:ascii="Verdana" w:hAnsi="Verdana"/>
          <w:b/>
          <w:bCs/>
          <w:color w:val="0070C0"/>
          <w:sz w:val="20"/>
          <w:szCs w:val="20"/>
        </w:rPr>
        <w:lastRenderedPageBreak/>
        <w:t>The Drug Store Shopper</w:t>
      </w:r>
    </w:p>
    <w:p w14:paraId="751EA062" w14:textId="77777777" w:rsidR="00542C2C" w:rsidRPr="00542C2C" w:rsidRDefault="00542C2C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4A2AB44" w14:textId="75343077" w:rsidR="0098714A" w:rsidRDefault="000A38A4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representative sample of The Media Audit’s 2021 consumer/market surveys shows the average </w:t>
      </w:r>
      <w:r w:rsidR="00D2653D">
        <w:rPr>
          <w:rFonts w:ascii="Verdana" w:hAnsi="Verdana"/>
          <w:sz w:val="20"/>
          <w:szCs w:val="20"/>
        </w:rPr>
        <w:t xml:space="preserve">age </w:t>
      </w:r>
      <w:r>
        <w:rPr>
          <w:rFonts w:ascii="Verdana" w:hAnsi="Verdana"/>
          <w:sz w:val="20"/>
          <w:szCs w:val="20"/>
        </w:rPr>
        <w:t xml:space="preserve">of adults 18+ who shopped at a drug store during the past four weeks </w:t>
      </w:r>
      <w:r w:rsidR="00D2653D">
        <w:rPr>
          <w:rFonts w:ascii="Verdana" w:hAnsi="Verdana"/>
          <w:sz w:val="20"/>
          <w:szCs w:val="20"/>
        </w:rPr>
        <w:t>wa</w:t>
      </w:r>
      <w:r>
        <w:rPr>
          <w:rFonts w:ascii="Verdana" w:hAnsi="Verdana"/>
          <w:sz w:val="20"/>
          <w:szCs w:val="20"/>
        </w:rPr>
        <w:t xml:space="preserve">s 48. Almost half (46.1%) of these adults </w:t>
      </w:r>
      <w:r w:rsidR="008165EB"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z w:val="20"/>
          <w:szCs w:val="20"/>
        </w:rPr>
        <w:t xml:space="preserve"> 50+, supporting the older skew of this audience.</w:t>
      </w:r>
    </w:p>
    <w:p w14:paraId="4BCD3514" w14:textId="1A7A0F05" w:rsidR="000A38A4" w:rsidRDefault="000A38A4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79EE29F" w14:textId="37BD3F87" w:rsidR="000A38A4" w:rsidRDefault="000A38A4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average</w:t>
      </w:r>
      <w:r w:rsidR="00E149AC">
        <w:rPr>
          <w:rFonts w:ascii="Verdana" w:hAnsi="Verdana"/>
          <w:sz w:val="20"/>
          <w:szCs w:val="20"/>
        </w:rPr>
        <w:t xml:space="preserve"> household</w:t>
      </w:r>
      <w:r>
        <w:rPr>
          <w:rFonts w:ascii="Verdana" w:hAnsi="Verdana"/>
          <w:sz w:val="20"/>
          <w:szCs w:val="20"/>
        </w:rPr>
        <w:t xml:space="preserve"> income of drug-store-shopping adults 18+ </w:t>
      </w:r>
      <w:r w:rsidR="00D2653D">
        <w:rPr>
          <w:rFonts w:ascii="Verdana" w:hAnsi="Verdana"/>
          <w:sz w:val="20"/>
          <w:szCs w:val="20"/>
        </w:rPr>
        <w:t>wa</w:t>
      </w:r>
      <w:r>
        <w:rPr>
          <w:rFonts w:ascii="Verdana" w:hAnsi="Verdana"/>
          <w:sz w:val="20"/>
          <w:szCs w:val="20"/>
        </w:rPr>
        <w:t xml:space="preserve">s a moderate $63,200, which is likely impacted by the many adults 50+ on fixed incomes. </w:t>
      </w:r>
      <w:r w:rsidR="00E149AC">
        <w:rPr>
          <w:rFonts w:ascii="Verdana" w:hAnsi="Verdana"/>
          <w:sz w:val="20"/>
          <w:szCs w:val="20"/>
        </w:rPr>
        <w:t>Men ha</w:t>
      </w:r>
      <w:r w:rsidR="00D2653D">
        <w:rPr>
          <w:rFonts w:ascii="Verdana" w:hAnsi="Verdana"/>
          <w:sz w:val="20"/>
          <w:szCs w:val="20"/>
        </w:rPr>
        <w:t>d</w:t>
      </w:r>
      <w:r w:rsidR="00E149AC">
        <w:rPr>
          <w:rFonts w:ascii="Verdana" w:hAnsi="Verdana"/>
          <w:sz w:val="20"/>
          <w:szCs w:val="20"/>
        </w:rPr>
        <w:t xml:space="preserve"> a much larger average household income than women, or $68,100 and $59,000, respectively.</w:t>
      </w:r>
    </w:p>
    <w:p w14:paraId="14456D73" w14:textId="46847E36" w:rsidR="00715F5E" w:rsidRDefault="00715F5E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3EAC89D" w14:textId="060AF889" w:rsidR="00715F5E" w:rsidRDefault="00715F5E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table below of these older adults’ heavy exposure to media reveals some surprising results, such as audio streaming ha</w:t>
      </w:r>
      <w:r w:rsidR="00D2653D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the largest average index at 110</w:t>
      </w:r>
      <w:r w:rsidR="008165EB">
        <w:rPr>
          <w:rFonts w:ascii="Verdana" w:hAnsi="Verdana"/>
          <w:sz w:val="20"/>
          <w:szCs w:val="20"/>
        </w:rPr>
        <w:t>. T</w:t>
      </w:r>
      <w:r>
        <w:rPr>
          <w:rFonts w:ascii="Verdana" w:hAnsi="Verdana"/>
          <w:sz w:val="20"/>
          <w:szCs w:val="20"/>
        </w:rPr>
        <w:t>hey also over-index</w:t>
      </w:r>
      <w:r w:rsidR="00D2653D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for podcast listening at an average of 108.</w:t>
      </w:r>
    </w:p>
    <w:p w14:paraId="00215D98" w14:textId="77777777" w:rsidR="0098714A" w:rsidRDefault="0098714A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F026D7D" w14:textId="6D21E1E3" w:rsidR="00FF772F" w:rsidRDefault="00FF772F" w:rsidP="00FF772F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Adults 50+ Who Shopped at a Drug Store During the Past 4 Weeks </w:t>
      </w:r>
    </w:p>
    <w:p w14:paraId="0B2F2483" w14:textId="77777777" w:rsidR="00FF772F" w:rsidRPr="005D1511" w:rsidRDefault="00FF772F" w:rsidP="00FF772F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Their Heavy Exposure to Media,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948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492"/>
        <w:gridCol w:w="1498"/>
        <w:gridCol w:w="1498"/>
        <w:gridCol w:w="1498"/>
        <w:gridCol w:w="1498"/>
      </w:tblGrid>
      <w:tr w:rsidR="00FF772F" w:rsidRPr="005D1511" w14:paraId="161EE8A8" w14:textId="77777777" w:rsidTr="00593473">
        <w:trPr>
          <w:jc w:val="center"/>
        </w:trPr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2A986FBC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Media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35035757" w14:textId="0B3BE718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Pittsburgh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C3A687D" w14:textId="284C9D4A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Des Moines, IA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7C772FA" w14:textId="045581F3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Little Rock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992CC6B" w14:textId="23EBF318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1FB8F86B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FF772F" w:rsidRPr="005D1511" w14:paraId="11171DDF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AD028F5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Radio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EC0141F" w14:textId="25E4891B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9D0D04B" w14:textId="71CEB200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AD3775B" w14:textId="0A622481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D96BB0C" w14:textId="5F3FF7D8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A927ECB" w14:textId="5167B225" w:rsidR="00FF772F" w:rsidRPr="004815C1" w:rsidRDefault="00FF772F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</w:tr>
      <w:tr w:rsidR="00FF772F" w:rsidRPr="005D1511" w14:paraId="395DFBB1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EE1AB9C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TV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28150F7" w14:textId="0A42F58A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660C1701" w14:textId="33460A89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8DB6431" w14:textId="55136B7C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39F9C0C" w14:textId="33ABEBA5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D322FBB" w14:textId="5BDEF9B4" w:rsidR="00FF772F" w:rsidRPr="00B00624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</w:tr>
      <w:tr w:rsidR="00FF772F" w:rsidRPr="005D1511" w14:paraId="034F6417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58D785C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Newspaper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F4F5110" w14:textId="5AA0DA57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0E5C561" w14:textId="1C54990A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9D1E9BD" w14:textId="158A841E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715F5E">
              <w:rPr>
                <w:rFonts w:ascii="Verdana" w:eastAsia="Times New Roman" w:hAnsi="Verdana"/>
                <w:sz w:val="20"/>
                <w:szCs w:val="20"/>
              </w:rPr>
              <w:t>0</w:t>
            </w: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500C6C8" w14:textId="2BBD027B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9D6DFAB" w14:textId="48A93AAE" w:rsidR="00FF772F" w:rsidRPr="00B00624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</w:tr>
      <w:tr w:rsidR="006201A2" w:rsidRPr="005D1511" w14:paraId="22935B66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7BF65FA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Outdoor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4B7F454" w14:textId="0254F466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024F017" w14:textId="2948C797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1B7753" w14:textId="2E250A7E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CBD843F" w14:textId="34238A5F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D87173D" w14:textId="7F628926" w:rsidR="00FF772F" w:rsidRPr="00B00624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</w:tr>
      <w:tr w:rsidR="00FF772F" w:rsidRPr="005D1511" w14:paraId="0A7317F3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A262289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Direct mail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407AA5F" w14:textId="6C93EC4F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51FFF16" w14:textId="4D0F3FA0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1789E382" w14:textId="319F5C11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FE9B703" w14:textId="5C56B1A0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41EBE30" w14:textId="118326D3" w:rsidR="00FF772F" w:rsidRPr="00B00624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</w:tr>
      <w:tr w:rsidR="00FF772F" w:rsidRPr="005D1511" w14:paraId="5FEA4E1F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C6A76F4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Internet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B6258E4" w14:textId="3F8CF82E" w:rsidR="00FF772F" w:rsidRPr="004815C1" w:rsidRDefault="00FF772F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6F8EC2F" w14:textId="7FDC046C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6899A3F" w14:textId="1A0E3E4C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7EF2E30" w14:textId="42BEB4B0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DCBD656" w14:textId="401557F3" w:rsidR="00FF772F" w:rsidRPr="00B00624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</w:tr>
      <w:tr w:rsidR="00FF772F" w:rsidRPr="005D1511" w14:paraId="0EEA7745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AC3F3E6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Social Media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A7082F8" w14:textId="49D1BE86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95D115A" w14:textId="1A28EEB7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26F7872" w14:textId="69606C50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96C8395" w14:textId="0A13BF84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300C09F" w14:textId="52E65B88" w:rsidR="00FF772F" w:rsidRPr="00B00624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</w:tr>
      <w:tr w:rsidR="00FF772F" w:rsidRPr="005D1511" w14:paraId="26768E37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3EE4DEF" w14:textId="77777777" w:rsidR="00FF772F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Audio streaming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830A8AE" w14:textId="6DCC73B5" w:rsidR="00FF772F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7DC419C3" w14:textId="5426A8D8" w:rsidR="00FF772F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71D4619" w14:textId="7C4FB89F" w:rsidR="00FF772F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9171B73" w14:textId="27AE8D1A" w:rsidR="00FF772F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684F9F9" w14:textId="2AAC60E8" w:rsidR="00FF772F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</w:tr>
      <w:tr w:rsidR="00FF772F" w:rsidRPr="005D1511" w14:paraId="14DDB02D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D3A95C5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Podcast listening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B906C7A" w14:textId="67DA15BE" w:rsidR="00FF772F" w:rsidRPr="004815C1" w:rsidRDefault="00D55CE3" w:rsidP="00D26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E9E49DB" w14:textId="54831716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9841F9E" w14:textId="20F69B82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CBDA7B2" w14:textId="53D7F2C5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02D73375" w14:textId="034EC458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</w:tr>
      <w:tr w:rsidR="00FF772F" w:rsidRPr="005D1511" w14:paraId="6A105192" w14:textId="77777777" w:rsidTr="00D265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7BC6952" w14:textId="77777777" w:rsidR="00FF772F" w:rsidRPr="004815C1" w:rsidRDefault="00FF772F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Video streaming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32213765" w14:textId="7491A312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F56F7E8" w14:textId="6DE1C538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6714D6F" w14:textId="51417972" w:rsidR="00FF772F" w:rsidRPr="00B00624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3B4601C" w14:textId="60B96180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9D7E244" w14:textId="30E2071C" w:rsidR="00FF772F" w:rsidRPr="004815C1" w:rsidRDefault="00D55CE3" w:rsidP="00D26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</w:tr>
    </w:tbl>
    <w:p w14:paraId="0F164C72" w14:textId="1533103B" w:rsidR="00FF772F" w:rsidRPr="00B2496C" w:rsidRDefault="00FF772F" w:rsidP="00FF772F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</w:r>
      <w:r>
        <w:rPr>
          <w:sz w:val="16"/>
          <w:szCs w:val="16"/>
        </w:rPr>
        <w:t>(see page f</w:t>
      </w:r>
      <w:r w:rsidR="00FB3858">
        <w:rPr>
          <w:sz w:val="16"/>
          <w:szCs w:val="16"/>
        </w:rPr>
        <w:t>ive</w:t>
      </w:r>
      <w:r>
        <w:rPr>
          <w:sz w:val="16"/>
          <w:szCs w:val="16"/>
        </w:rPr>
        <w:t xml:space="preserve"> for heavy exposure </w:t>
      </w:r>
      <w:r w:rsidR="00FB3858">
        <w:rPr>
          <w:sz w:val="16"/>
          <w:szCs w:val="16"/>
        </w:rPr>
        <w:t>descriptions</w:t>
      </w:r>
      <w:r>
        <w:rPr>
          <w:sz w:val="16"/>
          <w:szCs w:val="16"/>
        </w:rPr>
        <w:t>)</w:t>
      </w:r>
    </w:p>
    <w:p w14:paraId="59CBDE6C" w14:textId="77777777" w:rsidR="0098714A" w:rsidRDefault="0098714A" w:rsidP="00542C2C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2FBC3BE" w14:textId="5B86B49D" w:rsidR="00542C2C" w:rsidRPr="0027591F" w:rsidRDefault="00542C2C" w:rsidP="0027591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27591F">
        <w:rPr>
          <w:rFonts w:ascii="Verdana" w:hAnsi="Verdana"/>
          <w:b/>
          <w:bCs/>
          <w:color w:val="0070C0"/>
          <w:sz w:val="20"/>
          <w:szCs w:val="20"/>
        </w:rPr>
        <w:t>Tracking Trends</w:t>
      </w:r>
    </w:p>
    <w:p w14:paraId="286AC9F6" w14:textId="77777777" w:rsidR="00F94CE8" w:rsidRPr="00542C2C" w:rsidRDefault="00F94CE8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0EB648C1" w:rsidR="00F94CE8" w:rsidRPr="00542C2C" w:rsidRDefault="00DA60FF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2022 data from The Centers for Medicare &amp; Medicaid Services (CMS) indicates </w:t>
      </w:r>
      <w:r w:rsidR="00B67A2D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three biggest </w:t>
      </w:r>
      <w:r w:rsidR="00B67A2D">
        <w:rPr>
          <w:rFonts w:ascii="Verdana" w:hAnsi="Verdana"/>
          <w:sz w:val="20"/>
          <w:szCs w:val="20"/>
        </w:rPr>
        <w:t xml:space="preserve">supermarket </w:t>
      </w:r>
      <w:r>
        <w:rPr>
          <w:rFonts w:ascii="Verdana" w:hAnsi="Verdana"/>
          <w:sz w:val="20"/>
          <w:szCs w:val="20"/>
        </w:rPr>
        <w:t>chains (Albertsons, Kroger and Publix) were the preferred pharmacies for the largest share of Medicare Part D</w:t>
      </w:r>
      <w:r w:rsidR="00B67A2D">
        <w:rPr>
          <w:rFonts w:ascii="Verdana" w:hAnsi="Verdana"/>
          <w:sz w:val="20"/>
          <w:szCs w:val="20"/>
        </w:rPr>
        <w:t xml:space="preserve"> prescription drug plans.</w:t>
      </w:r>
    </w:p>
    <w:p w14:paraId="664EB1A4" w14:textId="77777777" w:rsidR="00F94CE8" w:rsidRPr="00542C2C" w:rsidRDefault="00F94CE8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401C3C8" w14:textId="78F4A413" w:rsidR="00F94CE8" w:rsidRPr="00542C2C" w:rsidRDefault="00B67A2D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there are several online digital pharmacies, they don’t have a significant market share; however, venture capital is fueling their growth. How and whether Amazon will affect the market substantially remains to be seen.</w:t>
      </w:r>
    </w:p>
    <w:p w14:paraId="02C0BC62" w14:textId="5C4753C7" w:rsidR="00F94CE8" w:rsidRDefault="00F94CE8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765E245" w14:textId="40A604C6" w:rsidR="00B67A2D" w:rsidRPr="00542C2C" w:rsidRDefault="00085146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Walgreens is showing </w:t>
      </w:r>
      <w:r w:rsidR="005C15F4">
        <w:rPr>
          <w:rFonts w:ascii="Verdana" w:hAnsi="Verdana"/>
          <w:sz w:val="20"/>
          <w:szCs w:val="20"/>
        </w:rPr>
        <w:t>its</w:t>
      </w:r>
      <w:r>
        <w:rPr>
          <w:rFonts w:ascii="Verdana" w:hAnsi="Verdana"/>
          <w:sz w:val="20"/>
          <w:szCs w:val="20"/>
        </w:rPr>
        <w:t xml:space="preserve"> commitment to a better environment </w:t>
      </w:r>
      <w:r w:rsidR="005C15F4">
        <w:rPr>
          <w:rFonts w:ascii="Verdana" w:hAnsi="Verdana"/>
          <w:sz w:val="20"/>
          <w:szCs w:val="20"/>
        </w:rPr>
        <w:t xml:space="preserve">and serving forward-leaning customers </w:t>
      </w:r>
      <w:r>
        <w:rPr>
          <w:rFonts w:ascii="Verdana" w:hAnsi="Verdana"/>
          <w:sz w:val="20"/>
          <w:szCs w:val="20"/>
        </w:rPr>
        <w:t>by partnering wi</w:t>
      </w:r>
      <w:r w:rsidR="005C15F4">
        <w:rPr>
          <w:rFonts w:ascii="Verdana" w:hAnsi="Verdana"/>
          <w:sz w:val="20"/>
          <w:szCs w:val="20"/>
        </w:rPr>
        <w:t xml:space="preserve">th Volta to </w:t>
      </w:r>
      <w:r w:rsidR="00400FCA">
        <w:rPr>
          <w:rFonts w:ascii="Verdana" w:hAnsi="Verdana"/>
          <w:sz w:val="20"/>
          <w:szCs w:val="20"/>
        </w:rPr>
        <w:t>have 1,000 of its DC fast-charging stations installed at more than 500 Walgreens locations across the US.</w:t>
      </w:r>
    </w:p>
    <w:p w14:paraId="37079E4B" w14:textId="77777777" w:rsidR="00F94CE8" w:rsidRPr="00542C2C" w:rsidRDefault="00F94CE8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A5080E9" w14:textId="77777777" w:rsidR="00F94CE8" w:rsidRPr="00542C2C" w:rsidRDefault="00F94CE8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D6E3712" w14:textId="77777777" w:rsidR="00F94CE8" w:rsidRPr="00542C2C" w:rsidRDefault="00F94CE8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484391DE" w14:textId="77777777" w:rsidR="00F94CE8" w:rsidRPr="00542C2C" w:rsidRDefault="00F94CE8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33FD3CD" w14:textId="77777777" w:rsidR="00F94CE8" w:rsidRPr="00542C2C" w:rsidRDefault="00F94CE8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6F0C8D6" w14:textId="77777777" w:rsidR="0027591F" w:rsidRPr="00542C2C" w:rsidRDefault="0027591F" w:rsidP="00542C2C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4A703AC3" w:rsidR="00F94CE8" w:rsidRDefault="00DC5AE0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With consumers even more focused on health and wellness during the pandemic, </w:t>
      </w:r>
      <w:r w:rsidR="00FD4D07">
        <w:rPr>
          <w:sz w:val="20"/>
          <w:szCs w:val="20"/>
        </w:rPr>
        <w:t xml:space="preserve">retail pharmacy chains benefited from their strategic addition of health services at many of their locations during the past few years. </w:t>
      </w:r>
    </w:p>
    <w:p w14:paraId="4E8B2E58" w14:textId="4C7DC833" w:rsidR="00FD4D07" w:rsidRDefault="00FD4D07" w:rsidP="00F94CE8">
      <w:pPr>
        <w:pStyle w:val="NoSpacing"/>
        <w:contextualSpacing/>
        <w:rPr>
          <w:sz w:val="20"/>
          <w:szCs w:val="20"/>
        </w:rPr>
      </w:pPr>
    </w:p>
    <w:p w14:paraId="10762B64" w14:textId="248F7F4C" w:rsidR="00FD4D07" w:rsidRDefault="00FD4D07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According to the J.D. Power 2021 US Pharmacy Study, 51% of surveyed consumers said they had used those services during the past 12 months</w:t>
      </w:r>
      <w:r w:rsidR="00F27E02">
        <w:rPr>
          <w:sz w:val="20"/>
          <w:szCs w:val="20"/>
        </w:rPr>
        <w:t>,</w:t>
      </w:r>
      <w:r>
        <w:rPr>
          <w:sz w:val="20"/>
          <w:szCs w:val="20"/>
        </w:rPr>
        <w:t xml:space="preserve"> as of May 2021.</w:t>
      </w:r>
    </w:p>
    <w:p w14:paraId="72A9D893" w14:textId="1848AFEF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3251A97" w14:textId="77777777" w:rsidR="00FD4D07" w:rsidRDefault="00FD4D07" w:rsidP="00FD4D07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Retail Pharmacy Customer Satisfaction Index Rankings for </w:t>
      </w:r>
    </w:p>
    <w:p w14:paraId="4179BBD7" w14:textId="14BE8EFF" w:rsidR="00FD4D07" w:rsidRPr="00A45ED4" w:rsidRDefault="00FD4D07" w:rsidP="00FD4D07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Brick-and-Mortar Pharmacy Channels, September</w:t>
      </w:r>
      <w:r>
        <w:rPr>
          <w:rFonts w:ascii="Verdana" w:hAnsi="Verdana"/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May </w:t>
      </w:r>
      <w:r w:rsidRPr="00253829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1</w:t>
      </w:r>
    </w:p>
    <w:tbl>
      <w:tblPr>
        <w:tblW w:w="815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67"/>
        <w:gridCol w:w="2790"/>
        <w:gridCol w:w="1267"/>
      </w:tblGrid>
      <w:tr w:rsidR="00FD4D07" w:rsidRPr="00A45ED4" w14:paraId="281F74EB" w14:textId="77777777" w:rsidTr="00F27E02">
        <w:trPr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6280EA8" w14:textId="77777777" w:rsidR="00FD4D07" w:rsidRPr="00A45ED4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Brick-and-Mortar Chain Drug Stores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9C734EB" w14:textId="77777777" w:rsidR="00FD4D07" w:rsidRPr="00755924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Score*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A461F2B" w14:textId="77777777" w:rsidR="00FD4D07" w:rsidRPr="00A45ED4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Brick-and-Mortar Mass Merchandisers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1F26A1F2" w14:textId="77777777" w:rsidR="00FD4D07" w:rsidRPr="00A45ED4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Score*</w:t>
            </w:r>
          </w:p>
        </w:tc>
      </w:tr>
      <w:tr w:rsidR="00FD4D07" w:rsidRPr="00A45ED4" w14:paraId="16B7F9EE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59D51118" w14:textId="77777777" w:rsidR="00FD4D07" w:rsidRPr="00A45ED4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Good Neighbor Pharmacy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5DFDA89F" w14:textId="6A6B5648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279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73AD2F8" w14:textId="77777777" w:rsidR="00FD4D07" w:rsidRPr="007F6723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Sam’s Club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56BC73EC" w14:textId="7C7A97D3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2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</w:t>
            </w:r>
          </w:p>
        </w:tc>
      </w:tr>
      <w:tr w:rsidR="00FD4D07" w:rsidRPr="00A45ED4" w14:paraId="56CC62F8" w14:textId="77777777" w:rsidTr="00F27E02">
        <w:tblPrEx>
          <w:tblBorders>
            <w:top w:val="none" w:sz="0" w:space="0" w:color="auto"/>
          </w:tblBorders>
        </w:tblPrEx>
        <w:trPr>
          <w:trHeight w:val="25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AFBE718" w14:textId="77777777" w:rsidR="00FD4D07" w:rsidRPr="00066442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Health Mart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1CDD5013" w14:textId="697BA6A6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1559FE6" w14:textId="56B6F9A4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CVS Inside Target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CE420D4" w14:textId="432152F3" w:rsidR="00FD4D07" w:rsidRPr="00066442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879</w:t>
            </w:r>
          </w:p>
        </w:tc>
      </w:tr>
      <w:tr w:rsidR="00FD4D07" w:rsidRPr="00A45ED4" w14:paraId="619FCA06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79FDAAF8" w14:textId="77777777" w:rsidR="00FD4D07" w:rsidRPr="00A45ED4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Rite Aid Pharmacy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394D4FF" w14:textId="2DB96C03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FBBF980" w14:textId="4493FE37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Costco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95F8C8C" w14:textId="50EA78B6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877</w:t>
            </w:r>
          </w:p>
        </w:tc>
      </w:tr>
      <w:tr w:rsidR="00FD4D07" w:rsidRPr="00A45ED4" w14:paraId="2E452C78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A162910" w14:textId="01B0CE52" w:rsidR="00FD4D07" w:rsidRPr="00A45ED4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Walgreens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4F321F55" w14:textId="64EA7758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50E8D585" w14:textId="77777777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Segment average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F5440C3" w14:textId="32C6EF42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</w:t>
            </w:r>
          </w:p>
        </w:tc>
      </w:tr>
      <w:tr w:rsidR="00FD4D07" w:rsidRPr="00A45ED4" w14:paraId="40CBFDCE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2EC7B0D7" w14:textId="76E7D5A9" w:rsidR="00FD4D07" w:rsidRPr="00A45ED4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Segment average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BE5F1" w:themeFill="accent1" w:themeFillTint="33"/>
            <w:vAlign w:val="center"/>
          </w:tcPr>
          <w:p w14:paraId="3DD7F941" w14:textId="1F4FEB4C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1820197" w14:textId="77777777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Walmart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383C291" w14:textId="19356CEF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856</w:t>
            </w:r>
          </w:p>
        </w:tc>
      </w:tr>
      <w:tr w:rsidR="00FD4D07" w:rsidRPr="00A45ED4" w14:paraId="621EE0DA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vAlign w:val="center"/>
          </w:tcPr>
          <w:p w14:paraId="6CD4AC76" w14:textId="77777777" w:rsidR="00FD4D07" w:rsidRPr="00A45ED4" w:rsidRDefault="00FD4D07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CVS Pharmacy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5E928E6" w14:textId="3CDA7051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4CD2C71C" w14:textId="77777777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2D68EB" w14:textId="77777777" w:rsidR="00FD4D07" w:rsidRPr="00A45ED4" w:rsidRDefault="00FD4D07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A4F119" w14:textId="08BE12FC" w:rsidR="00FD4D07" w:rsidRDefault="00FD4D07" w:rsidP="00F27E02">
      <w:pPr>
        <w:pStyle w:val="NoSpacing"/>
        <w:tabs>
          <w:tab w:val="left" w:pos="630"/>
        </w:tabs>
        <w:contextualSpacing/>
        <w:rPr>
          <w:sz w:val="20"/>
          <w:szCs w:val="20"/>
        </w:rPr>
      </w:pPr>
      <w:r w:rsidRPr="00A45ED4">
        <w:rPr>
          <w:sz w:val="16"/>
          <w:szCs w:val="16"/>
        </w:rPr>
        <w:tab/>
      </w:r>
      <w:r>
        <w:rPr>
          <w:sz w:val="16"/>
          <w:szCs w:val="16"/>
        </w:rPr>
        <w:t>J.D. Power, August 2021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*based on a 1,000-point scale</w:t>
      </w:r>
    </w:p>
    <w:p w14:paraId="37922576" w14:textId="7CB3FE33" w:rsidR="00FD4D07" w:rsidRDefault="00FD4D07" w:rsidP="00F94CE8">
      <w:pPr>
        <w:pStyle w:val="NoSpacing"/>
        <w:contextualSpacing/>
        <w:rPr>
          <w:sz w:val="20"/>
          <w:szCs w:val="20"/>
        </w:rPr>
      </w:pPr>
    </w:p>
    <w:p w14:paraId="1800A201" w14:textId="77777777" w:rsidR="00FB3858" w:rsidRDefault="00FB3858" w:rsidP="00FB3858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Retail Pharmacy Customer Satisfaction Index Rankings for </w:t>
      </w:r>
    </w:p>
    <w:p w14:paraId="6B53C465" w14:textId="77777777" w:rsidR="00FB3858" w:rsidRPr="00A45ED4" w:rsidRDefault="00FB3858" w:rsidP="00FB3858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Brick-and-Mortar Supermarkets and Mail Order, September</w:t>
      </w:r>
      <w:r>
        <w:rPr>
          <w:rFonts w:ascii="Verdana" w:hAnsi="Verdana"/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May </w:t>
      </w:r>
      <w:r w:rsidRPr="00253829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0</w:t>
      </w:r>
    </w:p>
    <w:tbl>
      <w:tblPr>
        <w:tblW w:w="8924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267"/>
        <w:gridCol w:w="3225"/>
        <w:gridCol w:w="1267"/>
      </w:tblGrid>
      <w:tr w:rsidR="00FB3858" w:rsidRPr="00A45ED4" w14:paraId="08A72965" w14:textId="77777777" w:rsidTr="00F27E02">
        <w:trPr>
          <w:jc w:val="center"/>
        </w:trPr>
        <w:tc>
          <w:tcPr>
            <w:tcW w:w="3165" w:type="dxa"/>
            <w:tcBorders>
              <w:top w:val="single" w:sz="12" w:space="0" w:color="000000"/>
              <w:left w:val="single" w:sz="12" w:space="0" w:color="auto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7A25433" w14:textId="77777777" w:rsidR="00FB3858" w:rsidRPr="00A45ED4" w:rsidRDefault="00FB3858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Brick-and-Mortar Supermarkets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984E597" w14:textId="77777777" w:rsidR="00FB3858" w:rsidRPr="00A45ED4" w:rsidRDefault="00FB3858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Score*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A68D37A" w14:textId="77777777" w:rsidR="00FB3858" w:rsidRDefault="00FB3858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Mail Order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2285F8D1" w14:textId="77777777" w:rsidR="00FB3858" w:rsidRDefault="00FB3858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Score*</w:t>
            </w:r>
          </w:p>
        </w:tc>
      </w:tr>
      <w:tr w:rsidR="00FB3858" w:rsidRPr="00A45ED4" w14:paraId="7C95A263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18" w:space="0" w:color="C0504D" w:themeColor="accent2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0FEBB567" w14:textId="127A8A72" w:rsidR="00FB3858" w:rsidRPr="00A45ED4" w:rsidRDefault="00FB3858" w:rsidP="00FB38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H-E-B 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609ADC40" w14:textId="02547B9C" w:rsidR="00FB3858" w:rsidRPr="00A45ED4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97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322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3000670E" w14:textId="77777777" w:rsidR="00FB3858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Humana Pharmacy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1A7E5BD4" w14:textId="4A255A93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97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906</w:t>
            </w:r>
          </w:p>
        </w:tc>
      </w:tr>
      <w:tr w:rsidR="00FB3858" w:rsidRPr="00A45ED4" w14:paraId="23A31045" w14:textId="77777777" w:rsidTr="00F27E02">
        <w:tblPrEx>
          <w:tblBorders>
            <w:top w:val="none" w:sz="0" w:space="0" w:color="auto"/>
          </w:tblBorders>
        </w:tblPrEx>
        <w:trPr>
          <w:trHeight w:val="251"/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1383B005" w14:textId="021DEB1E" w:rsidR="00FB3858" w:rsidRPr="00A45ED4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Wegmans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3E0473A1" w14:textId="0373F87E" w:rsidR="00FB3858" w:rsidRPr="00A45ED4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4BD4A9B9" w14:textId="47840635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Kaiser Permanente Pharmacy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8800DED" w14:textId="5379B252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887</w:t>
            </w:r>
          </w:p>
        </w:tc>
      </w:tr>
      <w:tr w:rsidR="00FB3858" w:rsidRPr="00A45ED4" w14:paraId="7BC32EAA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41B3F25F" w14:textId="5E43C92F" w:rsidR="00FB3858" w:rsidRPr="00A45ED4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Stop &amp; Shop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2F65EF0B" w14:textId="134AFF09" w:rsidR="00FB3858" w:rsidRPr="00A45ED4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74904C3D" w14:textId="1C5B0B9E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Aetna Rx Home Delivery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EC9B8CB" w14:textId="13973697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884</w:t>
            </w:r>
          </w:p>
        </w:tc>
      </w:tr>
      <w:tr w:rsidR="00FB3858" w:rsidRPr="00A45ED4" w14:paraId="6E58B7F1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09E237AE" w14:textId="37864715" w:rsidR="00FB3858" w:rsidRPr="00A45ED4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Publix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467ED4DE" w14:textId="529FF49B" w:rsidR="00FB3858" w:rsidRPr="00A45ED4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0AB92D81" w14:textId="2405E477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Express Scripts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D137411" w14:textId="0AE1ABC7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878</w:t>
            </w:r>
          </w:p>
        </w:tc>
      </w:tr>
      <w:tr w:rsidR="00355C8B" w:rsidRPr="00A45ED4" w14:paraId="3D96F04D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5C959DD9" w14:textId="27796504" w:rsidR="00355C8B" w:rsidRPr="00A45ED4" w:rsidRDefault="00355C8B" w:rsidP="00355C8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Albertsons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72D56D10" w14:textId="2C1E328E" w:rsidR="00355C8B" w:rsidRPr="00A45ED4" w:rsidRDefault="00355C8B" w:rsidP="00355C8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00C5F9D9" w14:textId="459ECA31" w:rsidR="00355C8B" w:rsidRDefault="00355C8B" w:rsidP="00355C8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Segment average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0EB733" w14:textId="01976779" w:rsidR="00355C8B" w:rsidRDefault="00355C8B" w:rsidP="00355C8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877</w:t>
            </w:r>
          </w:p>
        </w:tc>
      </w:tr>
      <w:tr w:rsidR="00FB3858" w:rsidRPr="00A45ED4" w14:paraId="5AF0F0CE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628D97EE" w14:textId="6989F79F" w:rsidR="00FB3858" w:rsidRPr="00A45ED4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Winn-Dixie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6D0A7D1E" w14:textId="79F3FAED" w:rsidR="00FB3858" w:rsidRPr="00A45ED4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466EEB2C" w14:textId="2EEF0921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OptumRx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840D9D1" w14:textId="48CA1F41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</w:t>
            </w:r>
          </w:p>
        </w:tc>
      </w:tr>
      <w:tr w:rsidR="00FB3858" w:rsidRPr="00A45ED4" w14:paraId="172BEF8A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6852EC6B" w14:textId="3D641C6B" w:rsidR="00FB3858" w:rsidRPr="00A45ED4" w:rsidRDefault="00FB3858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ShopRite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044C00D" w14:textId="119825BE" w:rsidR="00FB3858" w:rsidRPr="00A45ED4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7888A43C" w14:textId="3B521E34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Walmart Pharmacy Mail Services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D11991E" w14:textId="5BA34FA0" w:rsidR="00FB3858" w:rsidRDefault="00355C8B" w:rsidP="005934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862</w:t>
            </w:r>
          </w:p>
        </w:tc>
      </w:tr>
      <w:tr w:rsidR="00FB3858" w:rsidRPr="00A45ED4" w14:paraId="70AA1EBB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0B913A3B" w14:textId="4D8548C0" w:rsidR="00FB3858" w:rsidRPr="00A45ED4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Segment average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BE5F1" w:themeFill="accent1" w:themeFillTint="33"/>
            <w:vAlign w:val="center"/>
          </w:tcPr>
          <w:p w14:paraId="5D73ACA5" w14:textId="506ACCB9" w:rsidR="00FB3858" w:rsidRPr="00A45ED4" w:rsidRDefault="00355C8B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39B30D29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CVS Caremark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50CA1DB" w14:textId="565CCE5A" w:rsidR="00FB3858" w:rsidRDefault="00355C8B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</w:t>
            </w:r>
          </w:p>
        </w:tc>
      </w:tr>
      <w:tr w:rsidR="00FB3858" w:rsidRPr="00A45ED4" w14:paraId="03A6DCB6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969D369" w14:textId="390FB4F3" w:rsidR="00FB3858" w:rsidRPr="00A45ED4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Fry’s Pharmacy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BE03723" w14:textId="77A34C7F" w:rsidR="00FB3858" w:rsidRPr="00A45ED4" w:rsidRDefault="00355C8B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63B02B4E" w14:textId="0CD9D8B3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A3742" w14:textId="585D7CA4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B3858" w:rsidRPr="00A45ED4" w14:paraId="6215696A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336DDDCD" w14:textId="019E82E1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Kroger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18E2D758" w14:textId="7198089B" w:rsidR="00FB3858" w:rsidRDefault="00355C8B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516C0496" w14:textId="7381C540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F8E27B" w14:textId="158391EC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B3858" w:rsidRPr="00A45ED4" w14:paraId="61569E73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6A79F474" w14:textId="4D0FFE2B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Giant Eagle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3A3E406" w14:textId="473F1B7F" w:rsidR="00FB3858" w:rsidRDefault="00355C8B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216FAAE0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B0E0B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B3858" w:rsidRPr="00A45ED4" w14:paraId="43F1E25D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5309958A" w14:textId="2DDAB352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Dillons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31BAC153" w14:textId="36E18085" w:rsidR="00FB3858" w:rsidRDefault="00355C8B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64976019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4E7BD8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B3858" w:rsidRPr="00A45ED4" w14:paraId="06879D10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3185DBE8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Hy-Vee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7752301D" w14:textId="356E91C4" w:rsidR="00FB3858" w:rsidRDefault="00355C8B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270CCAC3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B68FE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B3858" w:rsidRPr="00A45ED4" w14:paraId="043FB525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1BA1188D" w14:textId="735D386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Safeway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0E37935F" w14:textId="4F4105B0" w:rsidR="00FB3858" w:rsidRDefault="00355C8B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051D5531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59FCAF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B3858" w:rsidRPr="00A45ED4" w14:paraId="4D382D01" w14:textId="77777777" w:rsidTr="00F27E0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0070C0"/>
            </w:tcBorders>
            <w:vAlign w:val="center"/>
          </w:tcPr>
          <w:p w14:paraId="1B1511AD" w14:textId="5A49B723" w:rsidR="00FB3858" w:rsidRPr="00A45ED4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King Soopers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1253ED65" w14:textId="4DAA0771" w:rsidR="00FB3858" w:rsidRPr="00A45ED4" w:rsidRDefault="00355C8B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38C70379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D133F" w14:textId="77777777" w:rsidR="00FB3858" w:rsidRDefault="00FB3858" w:rsidP="00FB3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236663" w14:textId="71BE5514" w:rsidR="00FB3858" w:rsidRDefault="00F27E02" w:rsidP="00F27E02">
      <w:pPr>
        <w:pStyle w:val="NoSpacing"/>
        <w:tabs>
          <w:tab w:val="left" w:pos="270"/>
        </w:tabs>
        <w:contextualSpacing/>
        <w:rPr>
          <w:sz w:val="20"/>
          <w:szCs w:val="20"/>
        </w:rPr>
      </w:pPr>
      <w:r>
        <w:rPr>
          <w:sz w:val="16"/>
          <w:szCs w:val="16"/>
        </w:rPr>
        <w:tab/>
      </w:r>
      <w:r w:rsidR="00FB3858">
        <w:rPr>
          <w:sz w:val="16"/>
          <w:szCs w:val="16"/>
        </w:rPr>
        <w:t>J.D. Power, August 2021</w:t>
      </w:r>
      <w:r w:rsidR="00FB3858">
        <w:rPr>
          <w:sz w:val="16"/>
          <w:szCs w:val="16"/>
        </w:rPr>
        <w:tab/>
      </w:r>
      <w:r w:rsidR="00FB3858">
        <w:rPr>
          <w:sz w:val="16"/>
          <w:szCs w:val="16"/>
        </w:rPr>
        <w:tab/>
      </w:r>
      <w:r w:rsidR="00FB3858">
        <w:rPr>
          <w:sz w:val="16"/>
          <w:szCs w:val="16"/>
        </w:rPr>
        <w:tab/>
      </w:r>
      <w:r w:rsidR="00FB3858">
        <w:rPr>
          <w:sz w:val="16"/>
          <w:szCs w:val="16"/>
        </w:rPr>
        <w:tab/>
        <w:t>*based on a 1,000-point scale</w:t>
      </w:r>
    </w:p>
    <w:p w14:paraId="202BDEAB" w14:textId="4E0A0E94" w:rsidR="00FD4D07" w:rsidRDefault="00FD4D07" w:rsidP="00F94CE8">
      <w:pPr>
        <w:pStyle w:val="NoSpacing"/>
        <w:contextualSpacing/>
        <w:rPr>
          <w:sz w:val="20"/>
          <w:szCs w:val="20"/>
        </w:rPr>
      </w:pPr>
    </w:p>
    <w:p w14:paraId="72DE100A" w14:textId="4C1A4C63" w:rsidR="00FD4D07" w:rsidRDefault="00FD4D07" w:rsidP="00F94CE8">
      <w:pPr>
        <w:pStyle w:val="NoSpacing"/>
        <w:contextualSpacing/>
        <w:rPr>
          <w:sz w:val="20"/>
          <w:szCs w:val="20"/>
        </w:rPr>
      </w:pPr>
    </w:p>
    <w:p w14:paraId="27F15C71" w14:textId="717412CB" w:rsidR="00FD4D07" w:rsidRDefault="00FD4D07" w:rsidP="00F94CE8">
      <w:pPr>
        <w:pStyle w:val="NoSpacing"/>
        <w:contextualSpacing/>
        <w:rPr>
          <w:sz w:val="20"/>
          <w:szCs w:val="20"/>
        </w:rPr>
      </w:pPr>
    </w:p>
    <w:p w14:paraId="0D01FB59" w14:textId="201433B7" w:rsidR="00FD4D07" w:rsidRDefault="00FD4D07" w:rsidP="00F94CE8">
      <w:pPr>
        <w:pStyle w:val="NoSpacing"/>
        <w:contextualSpacing/>
        <w:rPr>
          <w:sz w:val="20"/>
          <w:szCs w:val="20"/>
        </w:rPr>
      </w:pPr>
    </w:p>
    <w:p w14:paraId="4210B7AA" w14:textId="1662D9D7" w:rsidR="00FD4D07" w:rsidRDefault="00FD4D07" w:rsidP="00F94CE8">
      <w:pPr>
        <w:pStyle w:val="NoSpacing"/>
        <w:contextualSpacing/>
        <w:rPr>
          <w:sz w:val="20"/>
          <w:szCs w:val="20"/>
        </w:rPr>
      </w:pPr>
    </w:p>
    <w:p w14:paraId="694BC1DA" w14:textId="77777777" w:rsidR="00FD4D07" w:rsidRDefault="00FD4D07" w:rsidP="00F94CE8">
      <w:pPr>
        <w:pStyle w:val="NoSpacing"/>
        <w:contextualSpacing/>
        <w:rPr>
          <w:sz w:val="20"/>
          <w:szCs w:val="20"/>
        </w:rPr>
      </w:pPr>
    </w:p>
    <w:p w14:paraId="78E679E8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F582B19" w14:textId="552A3416" w:rsidR="00DE203C" w:rsidRPr="007F1120" w:rsidRDefault="00DE203C" w:rsidP="00DE203C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The Media Audit: Definitions of Heavy Exposure to Media</w:t>
      </w:r>
      <w:r w:rsidRPr="007F1120">
        <w:rPr>
          <w:rFonts w:ascii="Verdana" w:hAnsi="Verdana"/>
          <w:b/>
          <w:sz w:val="20"/>
          <w:szCs w:val="20"/>
        </w:rPr>
        <w:t>,</w:t>
      </w:r>
      <w:r w:rsidRPr="007F11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</w:p>
    <w:tbl>
      <w:tblPr>
        <w:tblW w:w="493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300"/>
      </w:tblGrid>
      <w:tr w:rsidR="00DE203C" w:rsidRPr="007F1120" w14:paraId="3C40A617" w14:textId="77777777" w:rsidTr="00593473">
        <w:trPr>
          <w:jc w:val="center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447A153B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Media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1A8D5D4A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Time</w:t>
            </w:r>
          </w:p>
        </w:tc>
      </w:tr>
      <w:tr w:rsidR="00DE203C" w:rsidRPr="007F1120" w14:paraId="73EA4F16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730A1C4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Radio</w:t>
            </w:r>
          </w:p>
        </w:tc>
        <w:tc>
          <w:tcPr>
            <w:tcW w:w="330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A94C6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DE203C" w:rsidRPr="007F1120" w14:paraId="16EEB2CB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EE8F30D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C147DD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300+ minutes during an average day</w:t>
            </w:r>
          </w:p>
        </w:tc>
      </w:tr>
      <w:tr w:rsidR="00DE203C" w:rsidRPr="007F1120" w14:paraId="55ABBF05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E4DD07D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Newspaper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4434D5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60+ minutes during an average day</w:t>
            </w:r>
          </w:p>
        </w:tc>
      </w:tr>
      <w:tr w:rsidR="00DE203C" w:rsidRPr="007F1120" w14:paraId="77A274B2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8CC1562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Outdoor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5D2007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200+ miles during an average week</w:t>
            </w:r>
          </w:p>
        </w:tc>
      </w:tr>
      <w:tr w:rsidR="00DE203C" w:rsidRPr="007F1120" w14:paraId="75C83B66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E63CDCC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Direct mail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DACBC6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75+ read weekly</w:t>
            </w:r>
          </w:p>
        </w:tc>
      </w:tr>
      <w:tr w:rsidR="00DE203C" w:rsidRPr="007F1120" w14:paraId="66EF31F8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D9BBB68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Internet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71484A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DE203C" w:rsidRPr="007F1120" w14:paraId="0819D38D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15CF74D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Social media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87F047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DE203C" w:rsidRPr="007F1120" w14:paraId="2FC5FFA3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1D57B8C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Audio streaming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F193F5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DE203C" w:rsidRPr="007F1120" w14:paraId="2CB467E8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9ECDDB0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Podcast listening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01A218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DE203C" w:rsidRPr="007F1120" w14:paraId="132DCC68" w14:textId="77777777" w:rsidTr="00593473">
        <w:trPr>
          <w:trHeight w:val="243"/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0030C6B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Video streaming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00363F" w14:textId="77777777" w:rsidR="00DE203C" w:rsidRPr="00294183" w:rsidRDefault="00DE203C" w:rsidP="005934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</w:tbl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00779A4D" w:rsidR="00F94CE8" w:rsidRPr="00782457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782457">
        <w:rPr>
          <w:rFonts w:ascii="Verdana" w:hAnsi="Verdana"/>
          <w:i/>
          <w:sz w:val="16"/>
          <w:szCs w:val="16"/>
        </w:rPr>
        <w:t>Sources:</w:t>
      </w:r>
      <w:r w:rsidRPr="00782457">
        <w:rPr>
          <w:rFonts w:ascii="Verdana" w:hAnsi="Verdana"/>
          <w:sz w:val="16"/>
          <w:szCs w:val="16"/>
        </w:rPr>
        <w:t xml:space="preserve"> </w:t>
      </w:r>
      <w:r w:rsidR="00782457" w:rsidRPr="00782457">
        <w:rPr>
          <w:sz w:val="16"/>
          <w:szCs w:val="16"/>
        </w:rPr>
        <w:t xml:space="preserve">US Census Bureau </w:t>
      </w:r>
      <w:r w:rsidRPr="00782457">
        <w:rPr>
          <w:rFonts w:ascii="Verdana" w:hAnsi="Verdana"/>
          <w:sz w:val="16"/>
          <w:szCs w:val="16"/>
        </w:rPr>
        <w:t xml:space="preserve">Website, </w:t>
      </w:r>
      <w:r w:rsidR="0045797F" w:rsidRPr="00782457">
        <w:rPr>
          <w:rFonts w:ascii="Verdana" w:hAnsi="Verdana"/>
          <w:sz w:val="16"/>
          <w:szCs w:val="16"/>
        </w:rPr>
        <w:t>3</w:t>
      </w:r>
      <w:r w:rsidR="00306D88" w:rsidRPr="00782457">
        <w:rPr>
          <w:rFonts w:ascii="Verdana" w:hAnsi="Verdana"/>
          <w:sz w:val="16"/>
          <w:szCs w:val="16"/>
        </w:rPr>
        <w:t>/</w:t>
      </w:r>
      <w:r w:rsidR="00AE6B2A" w:rsidRPr="00782457">
        <w:rPr>
          <w:rFonts w:ascii="Verdana" w:hAnsi="Verdana"/>
          <w:sz w:val="16"/>
          <w:szCs w:val="16"/>
        </w:rPr>
        <w:t>2</w:t>
      </w:r>
      <w:r w:rsidR="00C8473A" w:rsidRPr="00782457">
        <w:rPr>
          <w:rFonts w:ascii="Verdana" w:hAnsi="Verdana"/>
          <w:sz w:val="16"/>
          <w:szCs w:val="16"/>
        </w:rPr>
        <w:t>2</w:t>
      </w:r>
      <w:r w:rsidRPr="00782457">
        <w:rPr>
          <w:rFonts w:ascii="Verdana" w:hAnsi="Verdana"/>
          <w:sz w:val="16"/>
          <w:szCs w:val="16"/>
        </w:rPr>
        <w:t xml:space="preserve">; </w:t>
      </w:r>
      <w:r w:rsidR="00782457" w:rsidRPr="00782457">
        <w:rPr>
          <w:sz w:val="16"/>
          <w:szCs w:val="16"/>
        </w:rPr>
        <w:t xml:space="preserve">Drug Channels Institute </w:t>
      </w:r>
      <w:r w:rsidRPr="00782457">
        <w:rPr>
          <w:rFonts w:ascii="Verdana" w:hAnsi="Verdana"/>
          <w:sz w:val="16"/>
          <w:szCs w:val="16"/>
        </w:rPr>
        <w:t xml:space="preserve">Website, </w:t>
      </w:r>
      <w:r w:rsidR="0045797F" w:rsidRPr="00782457">
        <w:rPr>
          <w:rFonts w:ascii="Verdana" w:hAnsi="Verdana"/>
          <w:sz w:val="16"/>
          <w:szCs w:val="16"/>
        </w:rPr>
        <w:t>3</w:t>
      </w:r>
      <w:r w:rsidR="004E421A" w:rsidRPr="00782457">
        <w:rPr>
          <w:rFonts w:ascii="Verdana" w:hAnsi="Verdana"/>
          <w:sz w:val="16"/>
          <w:szCs w:val="16"/>
        </w:rPr>
        <w:t>/</w:t>
      </w:r>
      <w:r w:rsidR="00AE6B2A" w:rsidRPr="00782457">
        <w:rPr>
          <w:rFonts w:ascii="Verdana" w:hAnsi="Verdana"/>
          <w:sz w:val="16"/>
          <w:szCs w:val="16"/>
        </w:rPr>
        <w:t>2</w:t>
      </w:r>
      <w:r w:rsidR="00C8473A" w:rsidRPr="00782457">
        <w:rPr>
          <w:rFonts w:ascii="Verdana" w:hAnsi="Verdana"/>
          <w:sz w:val="16"/>
          <w:szCs w:val="16"/>
        </w:rPr>
        <w:t>2</w:t>
      </w:r>
      <w:r w:rsidRPr="00782457">
        <w:rPr>
          <w:rFonts w:ascii="Verdana" w:hAnsi="Verdana"/>
          <w:sz w:val="16"/>
          <w:szCs w:val="16"/>
        </w:rPr>
        <w:t xml:space="preserve">; </w:t>
      </w:r>
      <w:r w:rsidR="00782457" w:rsidRPr="00782457">
        <w:rPr>
          <w:sz w:val="16"/>
          <w:szCs w:val="16"/>
        </w:rPr>
        <w:t xml:space="preserve">National Association of Chain Drug Stores </w:t>
      </w:r>
      <w:r w:rsidRPr="00782457">
        <w:rPr>
          <w:rFonts w:ascii="Verdana" w:hAnsi="Verdana"/>
          <w:sz w:val="16"/>
          <w:szCs w:val="16"/>
        </w:rPr>
        <w:t>Website</w:t>
      </w:r>
      <w:r w:rsidR="00A00453" w:rsidRPr="00782457">
        <w:rPr>
          <w:rFonts w:ascii="Verdana" w:hAnsi="Verdana"/>
          <w:sz w:val="16"/>
          <w:szCs w:val="16"/>
        </w:rPr>
        <w:t xml:space="preserve">, </w:t>
      </w:r>
      <w:r w:rsidR="0045797F" w:rsidRPr="00782457">
        <w:rPr>
          <w:rFonts w:ascii="Verdana" w:hAnsi="Verdana"/>
          <w:sz w:val="16"/>
          <w:szCs w:val="16"/>
        </w:rPr>
        <w:t>3</w:t>
      </w:r>
      <w:r w:rsidR="00306D88" w:rsidRPr="00782457">
        <w:rPr>
          <w:rFonts w:ascii="Verdana" w:hAnsi="Verdana"/>
          <w:sz w:val="16"/>
          <w:szCs w:val="16"/>
        </w:rPr>
        <w:t>/</w:t>
      </w:r>
      <w:r w:rsidR="00AE6B2A" w:rsidRPr="00782457">
        <w:rPr>
          <w:rFonts w:ascii="Verdana" w:hAnsi="Verdana"/>
          <w:sz w:val="16"/>
          <w:szCs w:val="16"/>
        </w:rPr>
        <w:t>2</w:t>
      </w:r>
      <w:r w:rsidR="00C8473A" w:rsidRPr="00782457">
        <w:rPr>
          <w:rFonts w:ascii="Verdana" w:hAnsi="Verdana"/>
          <w:sz w:val="16"/>
          <w:szCs w:val="16"/>
        </w:rPr>
        <w:t>2</w:t>
      </w:r>
      <w:r w:rsidR="00782457">
        <w:rPr>
          <w:rFonts w:ascii="Verdana" w:hAnsi="Verdana"/>
          <w:sz w:val="16"/>
          <w:szCs w:val="16"/>
        </w:rPr>
        <w:t>;</w:t>
      </w:r>
      <w:r w:rsidR="00782457" w:rsidRPr="00782457">
        <w:rPr>
          <w:rFonts w:ascii="Verdana" w:hAnsi="Verdana"/>
          <w:sz w:val="16"/>
          <w:szCs w:val="16"/>
        </w:rPr>
        <w:t xml:space="preserve"> </w:t>
      </w:r>
      <w:r w:rsidR="00782457" w:rsidRPr="00782457">
        <w:rPr>
          <w:sz w:val="16"/>
          <w:szCs w:val="16"/>
        </w:rPr>
        <w:t>Common Thread Collective Website</w:t>
      </w:r>
      <w:r w:rsidR="00782457" w:rsidRPr="00782457">
        <w:rPr>
          <w:rFonts w:ascii="Verdana" w:hAnsi="Verdana"/>
          <w:sz w:val="16"/>
          <w:szCs w:val="16"/>
        </w:rPr>
        <w:t>, 3/22</w:t>
      </w:r>
      <w:r w:rsidR="00782457">
        <w:rPr>
          <w:rFonts w:ascii="Verdana" w:hAnsi="Verdana"/>
          <w:sz w:val="16"/>
          <w:szCs w:val="16"/>
        </w:rPr>
        <w:t>;</w:t>
      </w:r>
      <w:r w:rsidR="00782457" w:rsidRPr="00782457">
        <w:rPr>
          <w:rFonts w:ascii="Verdana" w:hAnsi="Verdana"/>
          <w:sz w:val="16"/>
          <w:szCs w:val="16"/>
        </w:rPr>
        <w:t xml:space="preserve"> </w:t>
      </w:r>
      <w:r w:rsidR="00782457" w:rsidRPr="00782457">
        <w:rPr>
          <w:sz w:val="16"/>
          <w:szCs w:val="16"/>
        </w:rPr>
        <w:t>The NPD Group Website</w:t>
      </w:r>
      <w:r w:rsidR="00782457" w:rsidRPr="00782457">
        <w:rPr>
          <w:rFonts w:ascii="Verdana" w:hAnsi="Verdana"/>
          <w:sz w:val="16"/>
          <w:szCs w:val="16"/>
        </w:rPr>
        <w:t>, 3/22</w:t>
      </w:r>
      <w:r w:rsidR="00782457">
        <w:rPr>
          <w:rFonts w:ascii="Verdana" w:hAnsi="Verdana"/>
          <w:sz w:val="16"/>
          <w:szCs w:val="16"/>
        </w:rPr>
        <w:t>;</w:t>
      </w:r>
      <w:r w:rsidR="00782457" w:rsidRPr="00782457">
        <w:rPr>
          <w:rFonts w:ascii="Verdana" w:hAnsi="Verdana"/>
          <w:sz w:val="16"/>
          <w:szCs w:val="16"/>
        </w:rPr>
        <w:t xml:space="preserve"> </w:t>
      </w:r>
      <w:r w:rsidR="00782457" w:rsidRPr="00782457">
        <w:rPr>
          <w:sz w:val="16"/>
          <w:szCs w:val="16"/>
        </w:rPr>
        <w:t>The Council for Responsible Nutrition Website</w:t>
      </w:r>
      <w:r w:rsidR="00782457" w:rsidRPr="00782457">
        <w:rPr>
          <w:rFonts w:ascii="Verdana" w:hAnsi="Verdana"/>
          <w:sz w:val="16"/>
          <w:szCs w:val="16"/>
        </w:rPr>
        <w:t>, 3/22</w:t>
      </w:r>
      <w:r w:rsidR="00782457">
        <w:rPr>
          <w:rFonts w:ascii="Verdana" w:hAnsi="Verdana"/>
          <w:sz w:val="16"/>
          <w:szCs w:val="16"/>
        </w:rPr>
        <w:t>;</w:t>
      </w:r>
      <w:r w:rsidR="00782457" w:rsidRPr="00782457">
        <w:rPr>
          <w:rFonts w:ascii="Verdana" w:hAnsi="Verdana"/>
          <w:sz w:val="16"/>
          <w:szCs w:val="16"/>
        </w:rPr>
        <w:t xml:space="preserve"> </w:t>
      </w:r>
      <w:r w:rsidR="00782457" w:rsidRPr="00782457">
        <w:rPr>
          <w:i/>
          <w:iCs/>
          <w:sz w:val="16"/>
          <w:szCs w:val="16"/>
        </w:rPr>
        <w:t>Drug Store News</w:t>
      </w:r>
      <w:r w:rsidR="00782457" w:rsidRPr="00782457">
        <w:rPr>
          <w:sz w:val="16"/>
          <w:szCs w:val="16"/>
        </w:rPr>
        <w:t xml:space="preserve"> Website</w:t>
      </w:r>
      <w:r w:rsidR="00782457" w:rsidRPr="00782457">
        <w:rPr>
          <w:rFonts w:ascii="Verdana" w:hAnsi="Verdana"/>
          <w:sz w:val="16"/>
          <w:szCs w:val="16"/>
        </w:rPr>
        <w:t>, 3/22</w:t>
      </w:r>
      <w:r w:rsidR="00782457">
        <w:rPr>
          <w:rFonts w:ascii="Verdana" w:hAnsi="Verdana"/>
          <w:sz w:val="16"/>
          <w:szCs w:val="16"/>
        </w:rPr>
        <w:t>;</w:t>
      </w:r>
      <w:r w:rsidR="00782457" w:rsidRPr="00782457">
        <w:rPr>
          <w:sz w:val="16"/>
          <w:szCs w:val="16"/>
        </w:rPr>
        <w:t xml:space="preserve"> Numerator Website</w:t>
      </w:r>
      <w:r w:rsidR="00782457" w:rsidRPr="00782457">
        <w:rPr>
          <w:rFonts w:ascii="Verdana" w:hAnsi="Verdana"/>
          <w:sz w:val="16"/>
          <w:szCs w:val="16"/>
        </w:rPr>
        <w:t>, 3/22</w:t>
      </w:r>
      <w:r w:rsidR="00782457">
        <w:rPr>
          <w:rFonts w:ascii="Verdana" w:hAnsi="Verdana"/>
          <w:sz w:val="16"/>
          <w:szCs w:val="16"/>
        </w:rPr>
        <w:t>;</w:t>
      </w:r>
      <w:r w:rsidR="00782457" w:rsidRPr="00782457">
        <w:rPr>
          <w:sz w:val="16"/>
          <w:szCs w:val="16"/>
        </w:rPr>
        <w:t xml:space="preserve"> The Media Audit Website</w:t>
      </w:r>
      <w:r w:rsidR="00782457" w:rsidRPr="00782457">
        <w:rPr>
          <w:rFonts w:ascii="Verdana" w:hAnsi="Verdana"/>
          <w:sz w:val="16"/>
          <w:szCs w:val="16"/>
        </w:rPr>
        <w:t>, 3/22</w:t>
      </w:r>
      <w:r w:rsidR="00782457">
        <w:rPr>
          <w:rFonts w:ascii="Verdana" w:hAnsi="Verdana"/>
          <w:sz w:val="16"/>
          <w:szCs w:val="16"/>
        </w:rPr>
        <w:t>;</w:t>
      </w:r>
      <w:r w:rsidR="00782457" w:rsidRPr="00782457">
        <w:rPr>
          <w:sz w:val="16"/>
          <w:szCs w:val="16"/>
        </w:rPr>
        <w:t xml:space="preserve"> J.D. Power Website</w:t>
      </w:r>
      <w:r w:rsidR="00782457" w:rsidRPr="00782457">
        <w:rPr>
          <w:rFonts w:ascii="Verdana" w:hAnsi="Verdana"/>
          <w:sz w:val="16"/>
          <w:szCs w:val="16"/>
        </w:rPr>
        <w:t>, 3/22</w:t>
      </w:r>
      <w:r w:rsidR="00782457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4F4B89FE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45797F">
        <w:rPr>
          <w:rFonts w:ascii="Verdana" w:hAnsi="Verdana"/>
          <w:sz w:val="16"/>
        </w:rPr>
        <w:t>March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6153" w14:textId="77777777" w:rsidR="00360FB6" w:rsidRDefault="00360FB6" w:rsidP="00260DE9">
      <w:pPr>
        <w:spacing w:after="0" w:line="240" w:lineRule="auto"/>
      </w:pPr>
      <w:r>
        <w:separator/>
      </w:r>
    </w:p>
  </w:endnote>
  <w:endnote w:type="continuationSeparator" w:id="0">
    <w:p w14:paraId="3DB73B12" w14:textId="77777777" w:rsidR="00360FB6" w:rsidRDefault="00360FB6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F026" w14:textId="77777777" w:rsidR="00360FB6" w:rsidRDefault="00360FB6" w:rsidP="00260DE9">
      <w:pPr>
        <w:spacing w:after="0" w:line="240" w:lineRule="auto"/>
      </w:pPr>
      <w:r>
        <w:separator/>
      </w:r>
    </w:p>
  </w:footnote>
  <w:footnote w:type="continuationSeparator" w:id="0">
    <w:p w14:paraId="0C0999C5" w14:textId="77777777" w:rsidR="00360FB6" w:rsidRDefault="00360FB6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52024"/>
    <w:rsid w:val="0005633E"/>
    <w:rsid w:val="000577D6"/>
    <w:rsid w:val="0007198D"/>
    <w:rsid w:val="000830D7"/>
    <w:rsid w:val="00085146"/>
    <w:rsid w:val="000A38A4"/>
    <w:rsid w:val="000C4B96"/>
    <w:rsid w:val="000C7821"/>
    <w:rsid w:val="000D2F3A"/>
    <w:rsid w:val="000D7C07"/>
    <w:rsid w:val="00112A85"/>
    <w:rsid w:val="0012010F"/>
    <w:rsid w:val="00142DEE"/>
    <w:rsid w:val="001531C2"/>
    <w:rsid w:val="00154344"/>
    <w:rsid w:val="00160474"/>
    <w:rsid w:val="00161442"/>
    <w:rsid w:val="0016492E"/>
    <w:rsid w:val="00177D0F"/>
    <w:rsid w:val="00197618"/>
    <w:rsid w:val="001A05E7"/>
    <w:rsid w:val="001B64B0"/>
    <w:rsid w:val="001C2831"/>
    <w:rsid w:val="001C79DF"/>
    <w:rsid w:val="001D53A3"/>
    <w:rsid w:val="001F5DFA"/>
    <w:rsid w:val="00260DE9"/>
    <w:rsid w:val="00275651"/>
    <w:rsid w:val="0027591F"/>
    <w:rsid w:val="00294474"/>
    <w:rsid w:val="002A4A73"/>
    <w:rsid w:val="002A6286"/>
    <w:rsid w:val="002B0BCF"/>
    <w:rsid w:val="002B3E1A"/>
    <w:rsid w:val="002B428E"/>
    <w:rsid w:val="002D2C06"/>
    <w:rsid w:val="002E1F38"/>
    <w:rsid w:val="00306D88"/>
    <w:rsid w:val="00327C87"/>
    <w:rsid w:val="0034106E"/>
    <w:rsid w:val="00355C8B"/>
    <w:rsid w:val="00360FB6"/>
    <w:rsid w:val="003630CD"/>
    <w:rsid w:val="0038459A"/>
    <w:rsid w:val="003B417B"/>
    <w:rsid w:val="003C15ED"/>
    <w:rsid w:val="003D6958"/>
    <w:rsid w:val="003E2E9B"/>
    <w:rsid w:val="003F0FE1"/>
    <w:rsid w:val="00400606"/>
    <w:rsid w:val="00400FCA"/>
    <w:rsid w:val="00412473"/>
    <w:rsid w:val="00422A36"/>
    <w:rsid w:val="00424E79"/>
    <w:rsid w:val="00432903"/>
    <w:rsid w:val="0045212B"/>
    <w:rsid w:val="0045797F"/>
    <w:rsid w:val="0046193A"/>
    <w:rsid w:val="0048482F"/>
    <w:rsid w:val="00493426"/>
    <w:rsid w:val="00494CA5"/>
    <w:rsid w:val="004A7BFC"/>
    <w:rsid w:val="004D4671"/>
    <w:rsid w:val="004E421A"/>
    <w:rsid w:val="004F7F58"/>
    <w:rsid w:val="0050254D"/>
    <w:rsid w:val="00520014"/>
    <w:rsid w:val="00542C2C"/>
    <w:rsid w:val="0056258A"/>
    <w:rsid w:val="0057012D"/>
    <w:rsid w:val="00571D6A"/>
    <w:rsid w:val="00583CFD"/>
    <w:rsid w:val="00592462"/>
    <w:rsid w:val="00596832"/>
    <w:rsid w:val="005C15F4"/>
    <w:rsid w:val="005C3BA5"/>
    <w:rsid w:val="005D07E0"/>
    <w:rsid w:val="005F19E9"/>
    <w:rsid w:val="00600CFD"/>
    <w:rsid w:val="00601F2D"/>
    <w:rsid w:val="006201A2"/>
    <w:rsid w:val="00635FF3"/>
    <w:rsid w:val="00637CB9"/>
    <w:rsid w:val="00646BD6"/>
    <w:rsid w:val="006557DC"/>
    <w:rsid w:val="00657B52"/>
    <w:rsid w:val="0067102D"/>
    <w:rsid w:val="0068770F"/>
    <w:rsid w:val="0069436D"/>
    <w:rsid w:val="006B3A10"/>
    <w:rsid w:val="006D1053"/>
    <w:rsid w:val="006D1B1C"/>
    <w:rsid w:val="006E6275"/>
    <w:rsid w:val="00707104"/>
    <w:rsid w:val="007139CE"/>
    <w:rsid w:val="00715F5E"/>
    <w:rsid w:val="007257B5"/>
    <w:rsid w:val="007511F5"/>
    <w:rsid w:val="007651A4"/>
    <w:rsid w:val="00782457"/>
    <w:rsid w:val="007862CF"/>
    <w:rsid w:val="00793BD0"/>
    <w:rsid w:val="007B1412"/>
    <w:rsid w:val="007B6E29"/>
    <w:rsid w:val="007C2037"/>
    <w:rsid w:val="007C2FEA"/>
    <w:rsid w:val="007D3185"/>
    <w:rsid w:val="007E7923"/>
    <w:rsid w:val="008165EB"/>
    <w:rsid w:val="0082749D"/>
    <w:rsid w:val="00875007"/>
    <w:rsid w:val="0088350D"/>
    <w:rsid w:val="0088505B"/>
    <w:rsid w:val="0089324F"/>
    <w:rsid w:val="008F599A"/>
    <w:rsid w:val="009229BB"/>
    <w:rsid w:val="00923C8D"/>
    <w:rsid w:val="00931A86"/>
    <w:rsid w:val="009419F0"/>
    <w:rsid w:val="0097289D"/>
    <w:rsid w:val="0097480E"/>
    <w:rsid w:val="00984DF0"/>
    <w:rsid w:val="0098714A"/>
    <w:rsid w:val="0099377F"/>
    <w:rsid w:val="00995D01"/>
    <w:rsid w:val="009A3728"/>
    <w:rsid w:val="009A3EBE"/>
    <w:rsid w:val="009A4526"/>
    <w:rsid w:val="009A6479"/>
    <w:rsid w:val="009C3094"/>
    <w:rsid w:val="009C6A17"/>
    <w:rsid w:val="009F3C8C"/>
    <w:rsid w:val="00A00453"/>
    <w:rsid w:val="00A031C1"/>
    <w:rsid w:val="00A0351B"/>
    <w:rsid w:val="00A12BB9"/>
    <w:rsid w:val="00A30B01"/>
    <w:rsid w:val="00A42B6F"/>
    <w:rsid w:val="00A55AAE"/>
    <w:rsid w:val="00A55AB4"/>
    <w:rsid w:val="00A55D55"/>
    <w:rsid w:val="00A61F9B"/>
    <w:rsid w:val="00A71026"/>
    <w:rsid w:val="00A820F9"/>
    <w:rsid w:val="00AB01D8"/>
    <w:rsid w:val="00AC2337"/>
    <w:rsid w:val="00AE087E"/>
    <w:rsid w:val="00AE1F72"/>
    <w:rsid w:val="00AE5BB7"/>
    <w:rsid w:val="00AE6B2A"/>
    <w:rsid w:val="00AE71B7"/>
    <w:rsid w:val="00B12A59"/>
    <w:rsid w:val="00B33B46"/>
    <w:rsid w:val="00B36421"/>
    <w:rsid w:val="00B4203D"/>
    <w:rsid w:val="00B63DB9"/>
    <w:rsid w:val="00B6421F"/>
    <w:rsid w:val="00B65607"/>
    <w:rsid w:val="00B67A2D"/>
    <w:rsid w:val="00BC0DB8"/>
    <w:rsid w:val="00BC2144"/>
    <w:rsid w:val="00BE4BEC"/>
    <w:rsid w:val="00BE6652"/>
    <w:rsid w:val="00C04340"/>
    <w:rsid w:val="00C11931"/>
    <w:rsid w:val="00C147E3"/>
    <w:rsid w:val="00C20878"/>
    <w:rsid w:val="00C21D13"/>
    <w:rsid w:val="00C27C99"/>
    <w:rsid w:val="00C412D4"/>
    <w:rsid w:val="00C54007"/>
    <w:rsid w:val="00C65128"/>
    <w:rsid w:val="00C77B54"/>
    <w:rsid w:val="00C8473A"/>
    <w:rsid w:val="00CD7D1A"/>
    <w:rsid w:val="00CE3B31"/>
    <w:rsid w:val="00CE7889"/>
    <w:rsid w:val="00D16971"/>
    <w:rsid w:val="00D17571"/>
    <w:rsid w:val="00D17DB0"/>
    <w:rsid w:val="00D22E81"/>
    <w:rsid w:val="00D26223"/>
    <w:rsid w:val="00D2653D"/>
    <w:rsid w:val="00D37649"/>
    <w:rsid w:val="00D55CE3"/>
    <w:rsid w:val="00D80A53"/>
    <w:rsid w:val="00D8342E"/>
    <w:rsid w:val="00D93E11"/>
    <w:rsid w:val="00DA1474"/>
    <w:rsid w:val="00DA60FF"/>
    <w:rsid w:val="00DC4F7C"/>
    <w:rsid w:val="00DC5AE0"/>
    <w:rsid w:val="00DD5A41"/>
    <w:rsid w:val="00DE0FDD"/>
    <w:rsid w:val="00DE203C"/>
    <w:rsid w:val="00E02CDA"/>
    <w:rsid w:val="00E04195"/>
    <w:rsid w:val="00E13B28"/>
    <w:rsid w:val="00E149AC"/>
    <w:rsid w:val="00E1658B"/>
    <w:rsid w:val="00E20F93"/>
    <w:rsid w:val="00E21202"/>
    <w:rsid w:val="00E31C88"/>
    <w:rsid w:val="00E45F8D"/>
    <w:rsid w:val="00E80C14"/>
    <w:rsid w:val="00ED42A4"/>
    <w:rsid w:val="00EE7B8A"/>
    <w:rsid w:val="00EF6801"/>
    <w:rsid w:val="00EF6AB9"/>
    <w:rsid w:val="00F056FA"/>
    <w:rsid w:val="00F2704A"/>
    <w:rsid w:val="00F27E02"/>
    <w:rsid w:val="00F66EA8"/>
    <w:rsid w:val="00F70E29"/>
    <w:rsid w:val="00F77984"/>
    <w:rsid w:val="00F90828"/>
    <w:rsid w:val="00F94CE8"/>
    <w:rsid w:val="00FA495C"/>
    <w:rsid w:val="00FB3858"/>
    <w:rsid w:val="00FB418C"/>
    <w:rsid w:val="00FD4D0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2022-03-22T16:26:00Z</dcterms:created>
  <dcterms:modified xsi:type="dcterms:W3CDTF">2022-03-22T16:26:00Z</dcterms:modified>
</cp:coreProperties>
</file>