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1425A" w14:textId="35A9734B" w:rsidR="00F94CE8" w:rsidRPr="005F19E9" w:rsidRDefault="0099163D" w:rsidP="00C11931">
      <w:pPr>
        <w:pStyle w:val="NoSpacing"/>
        <w:contextualSpacing/>
        <w:mirrorIndents/>
        <w:rPr>
          <w:rFonts w:ascii="Verdana" w:hAnsi="Verdana"/>
          <w:b/>
          <w:bCs/>
          <w:color w:val="FF0000"/>
          <w:sz w:val="20"/>
          <w:szCs w:val="20"/>
        </w:rPr>
      </w:pPr>
      <w:r>
        <w:rPr>
          <w:rFonts w:ascii="Verdana" w:hAnsi="Verdana"/>
          <w:b/>
          <w:bCs/>
          <w:color w:val="FF0000"/>
          <w:sz w:val="20"/>
          <w:szCs w:val="20"/>
        </w:rPr>
        <w:t xml:space="preserve">The Mechanical Trades: </w:t>
      </w:r>
      <w:r w:rsidRPr="00B72C6C">
        <w:rPr>
          <w:b/>
          <w:color w:val="FF0000"/>
          <w:sz w:val="20"/>
          <w:szCs w:val="20"/>
        </w:rPr>
        <w:t>Electrical, Plumbing and HVAC Contractors</w:t>
      </w:r>
      <w:r w:rsidR="005F19E9" w:rsidRPr="005F19E9">
        <w:rPr>
          <w:rFonts w:ascii="Verdana" w:hAnsi="Verdana"/>
          <w:b/>
          <w:bCs/>
          <w:color w:val="FF0000"/>
          <w:sz w:val="20"/>
          <w:szCs w:val="20"/>
        </w:rPr>
        <w:t xml:space="preserve"> 2022</w:t>
      </w:r>
    </w:p>
    <w:p w14:paraId="11DB62D2" w14:textId="77777777" w:rsidR="00F94CE8" w:rsidRPr="00997401" w:rsidRDefault="00F94CE8" w:rsidP="00997401">
      <w:pPr>
        <w:pStyle w:val="NoSpacing"/>
        <w:contextualSpacing/>
        <w:mirrorIndents/>
        <w:rPr>
          <w:rFonts w:ascii="Verdana" w:hAnsi="Verdana"/>
          <w:sz w:val="20"/>
          <w:szCs w:val="20"/>
        </w:rPr>
      </w:pPr>
    </w:p>
    <w:p w14:paraId="4723C184" w14:textId="77777777" w:rsidR="00997401" w:rsidRPr="00997401" w:rsidRDefault="00997401" w:rsidP="00997401">
      <w:pPr>
        <w:spacing w:after="0" w:line="240" w:lineRule="auto"/>
        <w:contextualSpacing/>
        <w:mirrorIndents/>
        <w:jc w:val="center"/>
        <w:rPr>
          <w:rFonts w:ascii="Verdana" w:hAnsi="Verdana"/>
          <w:b/>
          <w:bCs/>
          <w:color w:val="0070C0"/>
          <w:sz w:val="20"/>
          <w:szCs w:val="20"/>
        </w:rPr>
      </w:pPr>
      <w:r w:rsidRPr="00997401">
        <w:rPr>
          <w:rFonts w:ascii="Verdana" w:hAnsi="Verdana"/>
          <w:b/>
          <w:bCs/>
          <w:color w:val="0070C0"/>
          <w:sz w:val="20"/>
          <w:szCs w:val="20"/>
        </w:rPr>
        <w:t>Overall Construction Sector Upbeat About 2022</w:t>
      </w:r>
    </w:p>
    <w:p w14:paraId="41C3CE74" w14:textId="77777777" w:rsidR="00997401" w:rsidRPr="00997401" w:rsidRDefault="00997401" w:rsidP="00997401">
      <w:pPr>
        <w:spacing w:after="0" w:line="240" w:lineRule="auto"/>
        <w:contextualSpacing/>
        <w:mirrorIndents/>
        <w:rPr>
          <w:rFonts w:ascii="Verdana" w:hAnsi="Verdana"/>
          <w:sz w:val="20"/>
          <w:szCs w:val="20"/>
        </w:rPr>
      </w:pPr>
    </w:p>
    <w:p w14:paraId="3058E089" w14:textId="5B432554" w:rsidR="00997401" w:rsidRDefault="00997401" w:rsidP="00997401">
      <w:pPr>
        <w:spacing w:after="0" w:line="240" w:lineRule="auto"/>
        <w:contextualSpacing/>
        <w:mirrorIndents/>
        <w:rPr>
          <w:rFonts w:ascii="Verdana" w:hAnsi="Verdana"/>
          <w:sz w:val="20"/>
          <w:szCs w:val="20"/>
        </w:rPr>
      </w:pPr>
      <w:r>
        <w:rPr>
          <w:rFonts w:ascii="Verdana" w:hAnsi="Verdana"/>
          <w:sz w:val="20"/>
          <w:szCs w:val="20"/>
        </w:rPr>
        <w:t>Construction companies,</w:t>
      </w:r>
      <w:r w:rsidR="00CF0AD6">
        <w:rPr>
          <w:rFonts w:ascii="Verdana" w:hAnsi="Verdana"/>
          <w:sz w:val="20"/>
          <w:szCs w:val="20"/>
        </w:rPr>
        <w:t xml:space="preserve"> </w:t>
      </w:r>
      <w:r w:rsidR="00027DCD">
        <w:rPr>
          <w:rFonts w:ascii="Verdana" w:hAnsi="Verdana"/>
          <w:sz w:val="20"/>
          <w:szCs w:val="20"/>
        </w:rPr>
        <w:t>which</w:t>
      </w:r>
      <w:r>
        <w:rPr>
          <w:rFonts w:ascii="Verdana" w:hAnsi="Verdana"/>
          <w:sz w:val="20"/>
          <w:szCs w:val="20"/>
        </w:rPr>
        <w:t xml:space="preserve"> hire mechanical tradespeople, are much more optimistic about 2022 than they were at the beginning of 2021, according to </w:t>
      </w:r>
      <w:r w:rsidR="00B22E6C">
        <w:rPr>
          <w:rFonts w:ascii="Verdana" w:hAnsi="Verdana"/>
          <w:sz w:val="20"/>
          <w:szCs w:val="20"/>
        </w:rPr>
        <w:t xml:space="preserve">the Associated General Contractors of America’s (AGC) 2022 Construction Hiring and Business Outlook. </w:t>
      </w:r>
    </w:p>
    <w:p w14:paraId="5FAEB434" w14:textId="4C441B29" w:rsidR="00B22E6C" w:rsidRDefault="00B22E6C" w:rsidP="00997401">
      <w:pPr>
        <w:spacing w:after="0" w:line="240" w:lineRule="auto"/>
        <w:contextualSpacing/>
        <w:mirrorIndents/>
        <w:rPr>
          <w:rFonts w:ascii="Verdana" w:hAnsi="Verdana"/>
          <w:sz w:val="20"/>
          <w:szCs w:val="20"/>
        </w:rPr>
      </w:pPr>
    </w:p>
    <w:p w14:paraId="6BD2DFCA" w14:textId="32D6693F" w:rsidR="00B22E6C" w:rsidRDefault="00B22E6C" w:rsidP="00997401">
      <w:pPr>
        <w:spacing w:after="0" w:line="240" w:lineRule="auto"/>
        <w:contextualSpacing/>
        <w:mirrorIndents/>
        <w:rPr>
          <w:rFonts w:ascii="Verdana" w:hAnsi="Verdana"/>
          <w:sz w:val="20"/>
          <w:szCs w:val="20"/>
        </w:rPr>
      </w:pPr>
      <w:r>
        <w:rPr>
          <w:rFonts w:ascii="Verdana" w:hAnsi="Verdana"/>
          <w:sz w:val="20"/>
          <w:szCs w:val="20"/>
        </w:rPr>
        <w:t>A major source of that optimism is the US government’s substantial funding of infrastructure projects. As with many other industries, however, construction companies are experiencing supply chain issues</w:t>
      </w:r>
      <w:r w:rsidR="002945EA">
        <w:rPr>
          <w:rFonts w:ascii="Verdana" w:hAnsi="Verdana"/>
          <w:sz w:val="20"/>
          <w:szCs w:val="20"/>
        </w:rPr>
        <w:t xml:space="preserve">, increasing </w:t>
      </w:r>
      <w:r w:rsidR="00027DCD">
        <w:rPr>
          <w:rFonts w:ascii="Verdana" w:hAnsi="Verdana"/>
          <w:sz w:val="20"/>
          <w:szCs w:val="20"/>
        </w:rPr>
        <w:t xml:space="preserve">materials </w:t>
      </w:r>
      <w:r w:rsidR="002945EA">
        <w:rPr>
          <w:rFonts w:ascii="Verdana" w:hAnsi="Verdana"/>
          <w:sz w:val="20"/>
          <w:szCs w:val="20"/>
        </w:rPr>
        <w:t xml:space="preserve">costs and </w:t>
      </w:r>
      <w:r>
        <w:rPr>
          <w:rFonts w:ascii="Verdana" w:hAnsi="Verdana"/>
          <w:sz w:val="20"/>
          <w:szCs w:val="20"/>
        </w:rPr>
        <w:t>labor shortage</w:t>
      </w:r>
      <w:r w:rsidR="002945EA">
        <w:rPr>
          <w:rFonts w:ascii="Verdana" w:hAnsi="Verdana"/>
          <w:sz w:val="20"/>
          <w:szCs w:val="20"/>
        </w:rPr>
        <w:t>s</w:t>
      </w:r>
      <w:r>
        <w:rPr>
          <w:rFonts w:ascii="Verdana" w:hAnsi="Verdana"/>
          <w:sz w:val="20"/>
          <w:szCs w:val="20"/>
        </w:rPr>
        <w:t>.</w:t>
      </w:r>
    </w:p>
    <w:p w14:paraId="1B290DFF" w14:textId="77777777" w:rsidR="00997401" w:rsidRDefault="00997401" w:rsidP="00997401">
      <w:pPr>
        <w:spacing w:after="0" w:line="240" w:lineRule="auto"/>
        <w:contextualSpacing/>
        <w:mirrorIndents/>
        <w:rPr>
          <w:rFonts w:ascii="Verdana" w:hAnsi="Verdana"/>
          <w:sz w:val="20"/>
          <w:szCs w:val="20"/>
        </w:rPr>
      </w:pPr>
    </w:p>
    <w:p w14:paraId="62B2A397" w14:textId="67CF398B" w:rsidR="00997401" w:rsidRDefault="00B22E6C" w:rsidP="00997401">
      <w:pPr>
        <w:spacing w:after="0" w:line="240" w:lineRule="auto"/>
        <w:contextualSpacing/>
        <w:mirrorIndents/>
        <w:rPr>
          <w:rFonts w:ascii="Verdana" w:hAnsi="Verdana"/>
          <w:sz w:val="20"/>
          <w:szCs w:val="20"/>
        </w:rPr>
      </w:pPr>
      <w:r>
        <w:rPr>
          <w:rFonts w:ascii="Verdana" w:hAnsi="Verdana"/>
          <w:sz w:val="20"/>
          <w:szCs w:val="20"/>
        </w:rPr>
        <w:t>Of those construction companies responding to the AGC survey</w:t>
      </w:r>
      <w:r w:rsidR="00D85C19">
        <w:rPr>
          <w:rFonts w:ascii="Verdana" w:hAnsi="Verdana"/>
          <w:sz w:val="20"/>
          <w:szCs w:val="20"/>
        </w:rPr>
        <w:t xml:space="preserve">, 63% expect more highway and bridge projects and 51% </w:t>
      </w:r>
      <w:r w:rsidR="00E37D6F">
        <w:rPr>
          <w:rFonts w:ascii="Verdana" w:hAnsi="Verdana"/>
          <w:sz w:val="20"/>
          <w:szCs w:val="20"/>
        </w:rPr>
        <w:t xml:space="preserve">more </w:t>
      </w:r>
      <w:r w:rsidR="00D85C19">
        <w:rPr>
          <w:rFonts w:ascii="Verdana" w:hAnsi="Verdana"/>
          <w:sz w:val="20"/>
          <w:szCs w:val="20"/>
        </w:rPr>
        <w:t>transportation projects from the infrastructure legislation to offer larger dollar values and 41% from warehouses and healthcare in the private sector.</w:t>
      </w:r>
    </w:p>
    <w:p w14:paraId="5C85F375" w14:textId="19D9A659" w:rsidR="00D85C19" w:rsidRDefault="00D85C19" w:rsidP="00997401">
      <w:pPr>
        <w:spacing w:after="0" w:line="240" w:lineRule="auto"/>
        <w:contextualSpacing/>
        <w:mirrorIndents/>
        <w:rPr>
          <w:rFonts w:ascii="Verdana" w:hAnsi="Verdana"/>
          <w:sz w:val="20"/>
          <w:szCs w:val="20"/>
        </w:rPr>
      </w:pPr>
    </w:p>
    <w:p w14:paraId="270219D0" w14:textId="113E3AF8" w:rsidR="00304042" w:rsidRPr="00412C44" w:rsidRDefault="00304042" w:rsidP="00304042">
      <w:pPr>
        <w:pStyle w:val="Header"/>
        <w:jc w:val="center"/>
        <w:rPr>
          <w:b/>
          <w:sz w:val="20"/>
          <w:szCs w:val="20"/>
        </w:rPr>
      </w:pPr>
      <w:r>
        <w:rPr>
          <w:b/>
          <w:sz w:val="20"/>
          <w:szCs w:val="20"/>
        </w:rPr>
        <w:t>Top 10 2022 Concerns of Construction Companies, January 2022</w:t>
      </w:r>
    </w:p>
    <w:tbl>
      <w:tblPr>
        <w:tblW w:w="10939"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4200"/>
        <w:gridCol w:w="1267"/>
        <w:gridCol w:w="4205"/>
        <w:gridCol w:w="1267"/>
      </w:tblGrid>
      <w:tr w:rsidR="00304042" w:rsidRPr="00FA1897" w14:paraId="35EBF390" w14:textId="77777777" w:rsidTr="002945EA">
        <w:trPr>
          <w:trHeight w:val="249"/>
          <w:jc w:val="center"/>
        </w:trPr>
        <w:tc>
          <w:tcPr>
            <w:tcW w:w="4200" w:type="dxa"/>
            <w:tcBorders>
              <w:top w:val="single" w:sz="12" w:space="0" w:color="000000"/>
              <w:left w:val="single" w:sz="12" w:space="0" w:color="000000"/>
              <w:bottom w:val="single" w:sz="18" w:space="0" w:color="C0504D" w:themeColor="accent2"/>
              <w:right w:val="single" w:sz="8" w:space="0" w:color="0070C0"/>
            </w:tcBorders>
            <w:vAlign w:val="center"/>
          </w:tcPr>
          <w:p w14:paraId="16A50A85" w14:textId="28B9143D" w:rsidR="00304042" w:rsidRPr="00FA1897" w:rsidRDefault="00304042" w:rsidP="005B42D8">
            <w:pPr>
              <w:widowControl w:val="0"/>
              <w:tabs>
                <w:tab w:val="left" w:pos="220"/>
                <w:tab w:val="left" w:pos="720"/>
              </w:tabs>
              <w:autoSpaceDE w:val="0"/>
              <w:autoSpaceDN w:val="0"/>
              <w:adjustRightInd w:val="0"/>
              <w:spacing w:after="0" w:line="240" w:lineRule="auto"/>
              <w:jc w:val="center"/>
              <w:rPr>
                <w:rFonts w:ascii="Verdana" w:eastAsia="Times New Roman" w:hAnsi="Verdana"/>
                <w:sz w:val="20"/>
                <w:szCs w:val="20"/>
              </w:rPr>
            </w:pPr>
            <w:r>
              <w:rPr>
                <w:rFonts w:ascii="Verdana" w:eastAsia="Times New Roman" w:hAnsi="Verdana"/>
                <w:sz w:val="20"/>
                <w:szCs w:val="20"/>
              </w:rPr>
              <w:t>Concern</w:t>
            </w:r>
          </w:p>
        </w:tc>
        <w:tc>
          <w:tcPr>
            <w:tcW w:w="1267" w:type="dxa"/>
            <w:tcBorders>
              <w:top w:val="single" w:sz="12" w:space="0" w:color="000000"/>
              <w:left w:val="single" w:sz="8" w:space="0" w:color="0070C0"/>
              <w:bottom w:val="single" w:sz="18" w:space="0" w:color="C0504D" w:themeColor="accent2"/>
              <w:right w:val="single" w:sz="18" w:space="0" w:color="0070C0"/>
            </w:tcBorders>
            <w:vAlign w:val="center"/>
          </w:tcPr>
          <w:p w14:paraId="54914E82" w14:textId="77777777" w:rsidR="00304042" w:rsidRPr="00FA1897" w:rsidRDefault="00304042" w:rsidP="005B42D8">
            <w:pPr>
              <w:widowControl w:val="0"/>
              <w:tabs>
                <w:tab w:val="left" w:pos="220"/>
                <w:tab w:val="left" w:pos="720"/>
              </w:tabs>
              <w:autoSpaceDE w:val="0"/>
              <w:autoSpaceDN w:val="0"/>
              <w:adjustRightInd w:val="0"/>
              <w:spacing w:after="0" w:line="240" w:lineRule="auto"/>
              <w:jc w:val="center"/>
              <w:rPr>
                <w:rFonts w:ascii="Verdana" w:eastAsia="Times New Roman" w:hAnsi="Verdana"/>
                <w:sz w:val="20"/>
                <w:szCs w:val="20"/>
              </w:rPr>
            </w:pPr>
            <w:r>
              <w:rPr>
                <w:rFonts w:ascii="Verdana" w:eastAsia="Times New Roman" w:hAnsi="Verdana"/>
                <w:sz w:val="20"/>
                <w:szCs w:val="20"/>
              </w:rPr>
              <w:t>Percent</w:t>
            </w:r>
          </w:p>
        </w:tc>
        <w:tc>
          <w:tcPr>
            <w:tcW w:w="4205" w:type="dxa"/>
            <w:tcBorders>
              <w:top w:val="single" w:sz="12" w:space="0" w:color="000000"/>
              <w:left w:val="single" w:sz="18" w:space="0" w:color="0070C0"/>
              <w:bottom w:val="single" w:sz="18" w:space="0" w:color="C0504D" w:themeColor="accent2"/>
              <w:right w:val="single" w:sz="8" w:space="0" w:color="0070C0"/>
            </w:tcBorders>
            <w:vAlign w:val="center"/>
          </w:tcPr>
          <w:p w14:paraId="657DA1EC" w14:textId="6A489485" w:rsidR="00304042" w:rsidRPr="00FA1897" w:rsidRDefault="00304042" w:rsidP="005B42D8">
            <w:pPr>
              <w:widowControl w:val="0"/>
              <w:tabs>
                <w:tab w:val="left" w:pos="220"/>
                <w:tab w:val="left" w:pos="720"/>
              </w:tabs>
              <w:autoSpaceDE w:val="0"/>
              <w:autoSpaceDN w:val="0"/>
              <w:adjustRightInd w:val="0"/>
              <w:spacing w:after="0" w:line="240" w:lineRule="auto"/>
              <w:jc w:val="center"/>
              <w:rPr>
                <w:rFonts w:ascii="Verdana" w:eastAsia="Times New Roman" w:hAnsi="Verdana"/>
                <w:sz w:val="20"/>
                <w:szCs w:val="20"/>
              </w:rPr>
            </w:pPr>
            <w:r>
              <w:rPr>
                <w:rFonts w:ascii="Verdana" w:eastAsia="Times New Roman" w:hAnsi="Verdana"/>
                <w:sz w:val="20"/>
                <w:szCs w:val="20"/>
              </w:rPr>
              <w:t>Concern</w:t>
            </w:r>
          </w:p>
        </w:tc>
        <w:tc>
          <w:tcPr>
            <w:tcW w:w="1267" w:type="dxa"/>
            <w:tcBorders>
              <w:top w:val="single" w:sz="12" w:space="0" w:color="000000"/>
              <w:left w:val="single" w:sz="8" w:space="0" w:color="0070C0"/>
              <w:bottom w:val="single" w:sz="18" w:space="0" w:color="C0504D" w:themeColor="accent2"/>
              <w:right w:val="single" w:sz="12" w:space="0" w:color="auto"/>
            </w:tcBorders>
            <w:vAlign w:val="center"/>
          </w:tcPr>
          <w:p w14:paraId="1FB9CCA1" w14:textId="77777777" w:rsidR="00304042" w:rsidRPr="00FA1897" w:rsidRDefault="00304042" w:rsidP="005B42D8">
            <w:pPr>
              <w:widowControl w:val="0"/>
              <w:tabs>
                <w:tab w:val="left" w:pos="220"/>
                <w:tab w:val="left" w:pos="720"/>
              </w:tabs>
              <w:autoSpaceDE w:val="0"/>
              <w:autoSpaceDN w:val="0"/>
              <w:adjustRightInd w:val="0"/>
              <w:spacing w:after="0" w:line="240" w:lineRule="auto"/>
              <w:jc w:val="center"/>
              <w:rPr>
                <w:rFonts w:ascii="Verdana" w:eastAsia="Times New Roman" w:hAnsi="Verdana"/>
                <w:sz w:val="20"/>
                <w:szCs w:val="20"/>
              </w:rPr>
            </w:pPr>
            <w:r>
              <w:rPr>
                <w:rFonts w:ascii="Verdana" w:eastAsia="Times New Roman" w:hAnsi="Verdana"/>
                <w:sz w:val="20"/>
                <w:szCs w:val="20"/>
              </w:rPr>
              <w:t>Percent</w:t>
            </w:r>
          </w:p>
        </w:tc>
      </w:tr>
      <w:tr w:rsidR="00304042" w:rsidRPr="00FA1897" w14:paraId="71110C2E" w14:textId="77777777" w:rsidTr="00F7565E">
        <w:tblPrEx>
          <w:tblBorders>
            <w:top w:val="none" w:sz="0" w:space="0" w:color="auto"/>
          </w:tblBorders>
        </w:tblPrEx>
        <w:trPr>
          <w:trHeight w:val="249"/>
          <w:jc w:val="center"/>
        </w:trPr>
        <w:tc>
          <w:tcPr>
            <w:tcW w:w="4200" w:type="dxa"/>
            <w:tcBorders>
              <w:top w:val="single" w:sz="18" w:space="0" w:color="C0504D" w:themeColor="accent2"/>
              <w:left w:val="single" w:sz="12" w:space="0" w:color="000000"/>
              <w:bottom w:val="single" w:sz="4" w:space="0" w:color="000000"/>
              <w:right w:val="single" w:sz="8" w:space="0" w:color="0070C0"/>
            </w:tcBorders>
            <w:shd w:val="clear" w:color="auto" w:fill="auto"/>
            <w:vAlign w:val="center"/>
          </w:tcPr>
          <w:p w14:paraId="37EBA232" w14:textId="6B625484" w:rsidR="00304042" w:rsidRPr="00FA1897" w:rsidRDefault="002945EA" w:rsidP="005B42D8">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#1: Material costs</w:t>
            </w:r>
          </w:p>
        </w:tc>
        <w:tc>
          <w:tcPr>
            <w:tcW w:w="1267" w:type="dxa"/>
            <w:tcBorders>
              <w:top w:val="single" w:sz="18" w:space="0" w:color="C0504D" w:themeColor="accent2"/>
              <w:left w:val="single" w:sz="8" w:space="0" w:color="0070C0"/>
              <w:bottom w:val="single" w:sz="4" w:space="0" w:color="000000"/>
              <w:right w:val="single" w:sz="18" w:space="0" w:color="0070C0"/>
            </w:tcBorders>
            <w:shd w:val="clear" w:color="auto" w:fill="FF0000"/>
            <w:vAlign w:val="center"/>
          </w:tcPr>
          <w:p w14:paraId="65BA2B8F" w14:textId="754772A1" w:rsidR="00304042" w:rsidRPr="00FA1897" w:rsidRDefault="002945EA" w:rsidP="005B42D8">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86%</w:t>
            </w:r>
          </w:p>
        </w:tc>
        <w:tc>
          <w:tcPr>
            <w:tcW w:w="4205" w:type="dxa"/>
            <w:tcBorders>
              <w:top w:val="single" w:sz="18" w:space="0" w:color="C0504D" w:themeColor="accent2"/>
              <w:left w:val="single" w:sz="18" w:space="0" w:color="0070C0"/>
              <w:bottom w:val="single" w:sz="4" w:space="0" w:color="000000"/>
              <w:right w:val="single" w:sz="8" w:space="0" w:color="0070C0"/>
            </w:tcBorders>
            <w:shd w:val="clear" w:color="auto" w:fill="auto"/>
            <w:vAlign w:val="center"/>
          </w:tcPr>
          <w:p w14:paraId="3225ED29" w14:textId="49AE11B3" w:rsidR="00304042" w:rsidRPr="00FA1897" w:rsidRDefault="002945EA" w:rsidP="005B42D8">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#6: Increasing direct labor costs</w:t>
            </w:r>
          </w:p>
        </w:tc>
        <w:tc>
          <w:tcPr>
            <w:tcW w:w="1267" w:type="dxa"/>
            <w:tcBorders>
              <w:top w:val="single" w:sz="18" w:space="0" w:color="C0504D" w:themeColor="accent2"/>
              <w:left w:val="single" w:sz="8" w:space="0" w:color="0070C0"/>
              <w:bottom w:val="single" w:sz="4" w:space="0" w:color="000000"/>
              <w:right w:val="single" w:sz="12" w:space="0" w:color="auto"/>
            </w:tcBorders>
            <w:shd w:val="clear" w:color="auto" w:fill="D99594" w:themeFill="accent2" w:themeFillTint="99"/>
            <w:vAlign w:val="center"/>
          </w:tcPr>
          <w:p w14:paraId="7407FA0F" w14:textId="16D5AC01" w:rsidR="00304042" w:rsidRPr="00FA1897" w:rsidRDefault="002945EA" w:rsidP="005B42D8">
            <w:pPr>
              <w:widowControl w:val="0"/>
              <w:tabs>
                <w:tab w:val="left" w:pos="220"/>
                <w:tab w:val="left" w:pos="720"/>
              </w:tabs>
              <w:autoSpaceDE w:val="0"/>
              <w:autoSpaceDN w:val="0"/>
              <w:adjustRightInd w:val="0"/>
              <w:spacing w:after="0" w:line="240" w:lineRule="auto"/>
              <w:ind w:left="-113"/>
              <w:jc w:val="right"/>
              <w:rPr>
                <w:rFonts w:ascii="Verdana" w:eastAsia="Times New Roman" w:hAnsi="Verdana"/>
                <w:sz w:val="20"/>
                <w:szCs w:val="20"/>
              </w:rPr>
            </w:pPr>
            <w:r>
              <w:rPr>
                <w:rFonts w:ascii="Verdana" w:eastAsia="Times New Roman" w:hAnsi="Verdana"/>
                <w:sz w:val="20"/>
                <w:szCs w:val="20"/>
              </w:rPr>
              <w:t>58%</w:t>
            </w:r>
          </w:p>
        </w:tc>
      </w:tr>
      <w:tr w:rsidR="00304042" w:rsidRPr="00FA1897" w14:paraId="6506DB61" w14:textId="77777777" w:rsidTr="00F7565E">
        <w:tblPrEx>
          <w:tblBorders>
            <w:top w:val="none" w:sz="0" w:space="0" w:color="auto"/>
          </w:tblBorders>
        </w:tblPrEx>
        <w:trPr>
          <w:trHeight w:val="249"/>
          <w:jc w:val="center"/>
        </w:trPr>
        <w:tc>
          <w:tcPr>
            <w:tcW w:w="4200" w:type="dxa"/>
            <w:tcBorders>
              <w:top w:val="single" w:sz="4" w:space="0" w:color="000000"/>
              <w:left w:val="single" w:sz="12" w:space="0" w:color="000000"/>
              <w:bottom w:val="single" w:sz="4" w:space="0" w:color="000000"/>
              <w:right w:val="single" w:sz="8" w:space="0" w:color="0070C0"/>
            </w:tcBorders>
            <w:shd w:val="clear" w:color="auto" w:fill="auto"/>
            <w:vAlign w:val="center"/>
          </w:tcPr>
          <w:p w14:paraId="360D2EEE" w14:textId="57E49DAF" w:rsidR="00304042" w:rsidRPr="00FA1897" w:rsidRDefault="002945EA" w:rsidP="005B42D8">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#2: Supply-chain disruptions</w:t>
            </w:r>
          </w:p>
        </w:tc>
        <w:tc>
          <w:tcPr>
            <w:tcW w:w="1267" w:type="dxa"/>
            <w:tcBorders>
              <w:top w:val="single" w:sz="4" w:space="0" w:color="000000"/>
              <w:left w:val="single" w:sz="8" w:space="0" w:color="0070C0"/>
              <w:bottom w:val="single" w:sz="4" w:space="0" w:color="000000"/>
              <w:right w:val="single" w:sz="18" w:space="0" w:color="0070C0"/>
            </w:tcBorders>
            <w:shd w:val="clear" w:color="auto" w:fill="FF0000"/>
            <w:vAlign w:val="center"/>
          </w:tcPr>
          <w:p w14:paraId="32CE41CB" w14:textId="1B426779" w:rsidR="00304042" w:rsidRPr="00FA1897" w:rsidRDefault="002945EA" w:rsidP="005B42D8">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79%</w:t>
            </w:r>
          </w:p>
        </w:tc>
        <w:tc>
          <w:tcPr>
            <w:tcW w:w="4205"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2DBEE0B7" w14:textId="340E637A" w:rsidR="00304042" w:rsidRPr="00FA1897" w:rsidRDefault="002945EA" w:rsidP="005B42D8">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#7: Worker quality</w:t>
            </w:r>
          </w:p>
        </w:tc>
        <w:tc>
          <w:tcPr>
            <w:tcW w:w="1267" w:type="dxa"/>
            <w:tcBorders>
              <w:top w:val="single" w:sz="4" w:space="0" w:color="000000"/>
              <w:left w:val="single" w:sz="8" w:space="0" w:color="0070C0"/>
              <w:bottom w:val="single" w:sz="4" w:space="0" w:color="000000"/>
              <w:right w:val="single" w:sz="12" w:space="0" w:color="auto"/>
            </w:tcBorders>
            <w:shd w:val="clear" w:color="auto" w:fill="D99594" w:themeFill="accent2" w:themeFillTint="99"/>
            <w:vAlign w:val="center"/>
          </w:tcPr>
          <w:p w14:paraId="0EBF8967" w14:textId="1CB8DA1B" w:rsidR="00304042" w:rsidRPr="00FA1897" w:rsidRDefault="002945EA" w:rsidP="005B42D8">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52%</w:t>
            </w:r>
          </w:p>
        </w:tc>
      </w:tr>
      <w:tr w:rsidR="00304042" w:rsidRPr="00FA1897" w14:paraId="7EFD2AA1" w14:textId="77777777" w:rsidTr="00F7565E">
        <w:tblPrEx>
          <w:tblBorders>
            <w:top w:val="none" w:sz="0" w:space="0" w:color="auto"/>
          </w:tblBorders>
        </w:tblPrEx>
        <w:trPr>
          <w:trHeight w:val="249"/>
          <w:jc w:val="center"/>
        </w:trPr>
        <w:tc>
          <w:tcPr>
            <w:tcW w:w="4200" w:type="dxa"/>
            <w:tcBorders>
              <w:top w:val="single" w:sz="4" w:space="0" w:color="000000"/>
              <w:left w:val="single" w:sz="12" w:space="0" w:color="000000"/>
              <w:bottom w:val="single" w:sz="4" w:space="0" w:color="000000"/>
              <w:right w:val="single" w:sz="8" w:space="0" w:color="0070C0"/>
            </w:tcBorders>
            <w:shd w:val="clear" w:color="auto" w:fill="auto"/>
            <w:vAlign w:val="center"/>
          </w:tcPr>
          <w:p w14:paraId="531B0376" w14:textId="196F89D7" w:rsidR="00304042" w:rsidRPr="00FA1897" w:rsidRDefault="002945EA" w:rsidP="005B42D8">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#3: Continuing impact of pandemic</w:t>
            </w:r>
          </w:p>
        </w:tc>
        <w:tc>
          <w:tcPr>
            <w:tcW w:w="1267" w:type="dxa"/>
            <w:tcBorders>
              <w:top w:val="single" w:sz="4" w:space="0" w:color="000000"/>
              <w:left w:val="single" w:sz="8" w:space="0" w:color="0070C0"/>
              <w:bottom w:val="single" w:sz="4" w:space="0" w:color="000000"/>
              <w:right w:val="single" w:sz="18" w:space="0" w:color="0070C0"/>
            </w:tcBorders>
            <w:shd w:val="clear" w:color="auto" w:fill="FF0000"/>
            <w:vAlign w:val="center"/>
          </w:tcPr>
          <w:p w14:paraId="4E609CEF" w14:textId="598D1810" w:rsidR="00304042" w:rsidRPr="00FA1897" w:rsidRDefault="002945EA" w:rsidP="005B42D8">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79%</w:t>
            </w:r>
          </w:p>
        </w:tc>
        <w:tc>
          <w:tcPr>
            <w:tcW w:w="4205"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6B715935" w14:textId="0704AB77" w:rsidR="00304042" w:rsidRPr="00FA1897" w:rsidRDefault="002945EA" w:rsidP="005B42D8">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#8: Other business/operational costs</w:t>
            </w:r>
          </w:p>
        </w:tc>
        <w:tc>
          <w:tcPr>
            <w:tcW w:w="1267" w:type="dxa"/>
            <w:tcBorders>
              <w:top w:val="single" w:sz="4" w:space="0" w:color="000000"/>
              <w:left w:val="single" w:sz="8" w:space="0" w:color="0070C0"/>
              <w:bottom w:val="single" w:sz="4" w:space="0" w:color="000000"/>
              <w:right w:val="single" w:sz="12" w:space="0" w:color="auto"/>
            </w:tcBorders>
            <w:shd w:val="clear" w:color="auto" w:fill="E5B8B7" w:themeFill="accent2" w:themeFillTint="66"/>
            <w:vAlign w:val="center"/>
          </w:tcPr>
          <w:p w14:paraId="76784508" w14:textId="53A993D3" w:rsidR="00304042" w:rsidRPr="00FA1897" w:rsidRDefault="002945EA" w:rsidP="005B42D8">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46%</w:t>
            </w:r>
          </w:p>
        </w:tc>
      </w:tr>
      <w:tr w:rsidR="00304042" w:rsidRPr="00FA1897" w14:paraId="35029E0D" w14:textId="77777777" w:rsidTr="00F7565E">
        <w:tblPrEx>
          <w:tblBorders>
            <w:top w:val="none" w:sz="0" w:space="0" w:color="auto"/>
          </w:tblBorders>
        </w:tblPrEx>
        <w:trPr>
          <w:trHeight w:val="249"/>
          <w:jc w:val="center"/>
        </w:trPr>
        <w:tc>
          <w:tcPr>
            <w:tcW w:w="4200" w:type="dxa"/>
            <w:tcBorders>
              <w:top w:val="single" w:sz="4" w:space="0" w:color="000000"/>
              <w:left w:val="single" w:sz="12" w:space="0" w:color="000000"/>
              <w:bottom w:val="single" w:sz="4" w:space="0" w:color="000000"/>
              <w:right w:val="single" w:sz="8" w:space="0" w:color="0070C0"/>
            </w:tcBorders>
            <w:shd w:val="clear" w:color="auto" w:fill="auto"/>
            <w:vAlign w:val="center"/>
          </w:tcPr>
          <w:p w14:paraId="515963E4" w14:textId="1215CAC0" w:rsidR="00304042" w:rsidRPr="00FA1897" w:rsidRDefault="002945EA" w:rsidP="005B42D8">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#4: Worker shortages</w:t>
            </w:r>
          </w:p>
        </w:tc>
        <w:tc>
          <w:tcPr>
            <w:tcW w:w="1267" w:type="dxa"/>
            <w:tcBorders>
              <w:top w:val="single" w:sz="4" w:space="0" w:color="000000"/>
              <w:left w:val="single" w:sz="8" w:space="0" w:color="0070C0"/>
              <w:bottom w:val="single" w:sz="4" w:space="0" w:color="000000"/>
              <w:right w:val="single" w:sz="18" w:space="0" w:color="0070C0"/>
            </w:tcBorders>
            <w:shd w:val="clear" w:color="auto" w:fill="D99594" w:themeFill="accent2" w:themeFillTint="99"/>
            <w:vAlign w:val="center"/>
          </w:tcPr>
          <w:p w14:paraId="6D59EFFA" w14:textId="16B618FC" w:rsidR="00304042" w:rsidRPr="00FA1897" w:rsidRDefault="002945EA" w:rsidP="005B42D8">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73%</w:t>
            </w:r>
          </w:p>
        </w:tc>
        <w:tc>
          <w:tcPr>
            <w:tcW w:w="4205"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2E5834F8" w14:textId="09703C9A" w:rsidR="00304042" w:rsidRPr="00FA1897" w:rsidRDefault="002945EA" w:rsidP="005B42D8">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#9: Federal regulations</w:t>
            </w:r>
          </w:p>
        </w:tc>
        <w:tc>
          <w:tcPr>
            <w:tcW w:w="1267" w:type="dxa"/>
            <w:tcBorders>
              <w:top w:val="single" w:sz="4" w:space="0" w:color="000000"/>
              <w:left w:val="single" w:sz="8" w:space="0" w:color="0070C0"/>
              <w:bottom w:val="single" w:sz="4" w:space="0" w:color="000000"/>
              <w:right w:val="single" w:sz="12" w:space="0" w:color="auto"/>
            </w:tcBorders>
            <w:shd w:val="clear" w:color="auto" w:fill="E5B8B7" w:themeFill="accent2" w:themeFillTint="66"/>
            <w:vAlign w:val="center"/>
          </w:tcPr>
          <w:p w14:paraId="08F4DE58" w14:textId="5BF60F96" w:rsidR="00304042" w:rsidRPr="00FA1897" w:rsidRDefault="002945EA" w:rsidP="005B42D8">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41%</w:t>
            </w:r>
          </w:p>
        </w:tc>
      </w:tr>
      <w:tr w:rsidR="00304042" w:rsidRPr="00FA1897" w14:paraId="70FACAD0" w14:textId="77777777" w:rsidTr="00F7565E">
        <w:tblPrEx>
          <w:tblBorders>
            <w:top w:val="none" w:sz="0" w:space="0" w:color="auto"/>
          </w:tblBorders>
        </w:tblPrEx>
        <w:trPr>
          <w:trHeight w:val="249"/>
          <w:jc w:val="center"/>
        </w:trPr>
        <w:tc>
          <w:tcPr>
            <w:tcW w:w="4200" w:type="dxa"/>
            <w:tcBorders>
              <w:top w:val="single" w:sz="4" w:space="0" w:color="000000"/>
              <w:left w:val="single" w:sz="12" w:space="0" w:color="000000"/>
              <w:bottom w:val="single" w:sz="12" w:space="0" w:color="000000"/>
              <w:right w:val="single" w:sz="8" w:space="0" w:color="0070C0"/>
            </w:tcBorders>
            <w:shd w:val="clear" w:color="auto" w:fill="auto"/>
            <w:vAlign w:val="center"/>
          </w:tcPr>
          <w:p w14:paraId="40762886" w14:textId="1F3E1BDF" w:rsidR="00304042" w:rsidRPr="00FA1897" w:rsidRDefault="002945EA" w:rsidP="005B42D8">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#5: Workers’ vaccination requirements</w:t>
            </w:r>
          </w:p>
        </w:tc>
        <w:tc>
          <w:tcPr>
            <w:tcW w:w="1267" w:type="dxa"/>
            <w:tcBorders>
              <w:top w:val="single" w:sz="4" w:space="0" w:color="000000"/>
              <w:left w:val="single" w:sz="8" w:space="0" w:color="0070C0"/>
              <w:bottom w:val="single" w:sz="12" w:space="0" w:color="000000"/>
              <w:right w:val="single" w:sz="18" w:space="0" w:color="0070C0"/>
            </w:tcBorders>
            <w:shd w:val="clear" w:color="auto" w:fill="D99594" w:themeFill="accent2" w:themeFillTint="99"/>
            <w:vAlign w:val="center"/>
          </w:tcPr>
          <w:p w14:paraId="0FFD6151" w14:textId="072C1BE8" w:rsidR="00304042" w:rsidRPr="00FA1897" w:rsidRDefault="002945EA" w:rsidP="005B42D8">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66%</w:t>
            </w:r>
          </w:p>
        </w:tc>
        <w:tc>
          <w:tcPr>
            <w:tcW w:w="4205" w:type="dxa"/>
            <w:tcBorders>
              <w:top w:val="single" w:sz="4" w:space="0" w:color="000000"/>
              <w:left w:val="single" w:sz="18" w:space="0" w:color="0070C0"/>
              <w:bottom w:val="single" w:sz="12" w:space="0" w:color="000000"/>
              <w:right w:val="single" w:sz="8" w:space="0" w:color="0070C0"/>
            </w:tcBorders>
            <w:shd w:val="clear" w:color="auto" w:fill="auto"/>
            <w:vAlign w:val="center"/>
          </w:tcPr>
          <w:p w14:paraId="068B2297" w14:textId="1D089574" w:rsidR="00304042" w:rsidRPr="00FA1897" w:rsidRDefault="002945EA" w:rsidP="005B42D8">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#10: Subcontractors’ availability</w:t>
            </w:r>
          </w:p>
        </w:tc>
        <w:tc>
          <w:tcPr>
            <w:tcW w:w="1267" w:type="dxa"/>
            <w:tcBorders>
              <w:top w:val="single" w:sz="4" w:space="0" w:color="000000"/>
              <w:left w:val="single" w:sz="8" w:space="0" w:color="0070C0"/>
              <w:bottom w:val="single" w:sz="12" w:space="0" w:color="000000"/>
              <w:right w:val="single" w:sz="12" w:space="0" w:color="auto"/>
            </w:tcBorders>
            <w:shd w:val="clear" w:color="auto" w:fill="E5B8B7" w:themeFill="accent2" w:themeFillTint="66"/>
            <w:vAlign w:val="center"/>
          </w:tcPr>
          <w:p w14:paraId="22BABD3E" w14:textId="2DC3E1E4" w:rsidR="00304042" w:rsidRPr="00FA1897" w:rsidRDefault="002945EA" w:rsidP="005B42D8">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39%</w:t>
            </w:r>
          </w:p>
        </w:tc>
      </w:tr>
    </w:tbl>
    <w:p w14:paraId="60437EDA" w14:textId="3FBAB7B9" w:rsidR="00304042" w:rsidRDefault="002945EA" w:rsidP="002945EA">
      <w:pPr>
        <w:spacing w:after="0" w:line="240" w:lineRule="auto"/>
        <w:ind w:hanging="810"/>
        <w:contextualSpacing/>
        <w:mirrorIndents/>
        <w:rPr>
          <w:rFonts w:ascii="Verdana" w:hAnsi="Verdana"/>
          <w:sz w:val="20"/>
          <w:szCs w:val="20"/>
        </w:rPr>
      </w:pPr>
      <w:r>
        <w:rPr>
          <w:rFonts w:ascii="Verdana" w:hAnsi="Verdana"/>
          <w:sz w:val="16"/>
          <w:szCs w:val="16"/>
        </w:rPr>
        <w:t>Equipment World (Associated General Contractors of America)</w:t>
      </w:r>
      <w:r w:rsidR="00304042">
        <w:rPr>
          <w:rFonts w:ascii="Verdana" w:hAnsi="Verdana"/>
          <w:sz w:val="16"/>
          <w:szCs w:val="16"/>
        </w:rPr>
        <w:t>,</w:t>
      </w:r>
      <w:r w:rsidR="00304042" w:rsidRPr="00FA1897">
        <w:rPr>
          <w:rFonts w:ascii="Verdana" w:hAnsi="Verdana"/>
          <w:sz w:val="16"/>
          <w:szCs w:val="16"/>
        </w:rPr>
        <w:t xml:space="preserve"> </w:t>
      </w:r>
      <w:r>
        <w:rPr>
          <w:rFonts w:ascii="Verdana" w:hAnsi="Verdana"/>
          <w:sz w:val="16"/>
          <w:szCs w:val="16"/>
        </w:rPr>
        <w:t>March 2022</w:t>
      </w:r>
    </w:p>
    <w:p w14:paraId="4DCF6BD0" w14:textId="77777777" w:rsidR="00D85C19" w:rsidRDefault="00D85C19" w:rsidP="00997401">
      <w:pPr>
        <w:spacing w:after="0" w:line="240" w:lineRule="auto"/>
        <w:contextualSpacing/>
        <w:mirrorIndents/>
        <w:rPr>
          <w:rFonts w:ascii="Verdana" w:hAnsi="Verdana"/>
          <w:sz w:val="20"/>
          <w:szCs w:val="20"/>
        </w:rPr>
      </w:pPr>
    </w:p>
    <w:p w14:paraId="0FD40864" w14:textId="3C8453A2" w:rsidR="00997401" w:rsidRPr="000D19C7" w:rsidRDefault="00997401" w:rsidP="000D19C7">
      <w:pPr>
        <w:spacing w:after="0" w:line="240" w:lineRule="auto"/>
        <w:contextualSpacing/>
        <w:mirrorIndents/>
        <w:jc w:val="center"/>
        <w:rPr>
          <w:rFonts w:ascii="Verdana" w:hAnsi="Verdana"/>
          <w:b/>
          <w:bCs/>
          <w:color w:val="0070C0"/>
          <w:sz w:val="20"/>
          <w:szCs w:val="20"/>
        </w:rPr>
      </w:pPr>
      <w:r w:rsidRPr="000D19C7">
        <w:rPr>
          <w:rFonts w:ascii="Verdana" w:hAnsi="Verdana"/>
          <w:b/>
          <w:bCs/>
          <w:color w:val="0070C0"/>
          <w:sz w:val="20"/>
          <w:szCs w:val="20"/>
        </w:rPr>
        <w:t>Trades</w:t>
      </w:r>
      <w:r w:rsidR="00994C05">
        <w:rPr>
          <w:rFonts w:ascii="Verdana" w:hAnsi="Verdana"/>
          <w:b/>
          <w:bCs/>
          <w:color w:val="0070C0"/>
          <w:sz w:val="20"/>
          <w:szCs w:val="20"/>
        </w:rPr>
        <w:t xml:space="preserve">’ </w:t>
      </w:r>
      <w:r w:rsidR="00981872">
        <w:rPr>
          <w:rFonts w:ascii="Verdana" w:hAnsi="Verdana"/>
          <w:b/>
          <w:bCs/>
          <w:color w:val="0070C0"/>
          <w:sz w:val="20"/>
          <w:szCs w:val="20"/>
        </w:rPr>
        <w:t xml:space="preserve">Business </w:t>
      </w:r>
      <w:r w:rsidRPr="000D19C7">
        <w:rPr>
          <w:rFonts w:ascii="Verdana" w:hAnsi="Verdana"/>
          <w:b/>
          <w:bCs/>
          <w:color w:val="0070C0"/>
          <w:sz w:val="20"/>
          <w:szCs w:val="20"/>
        </w:rPr>
        <w:t>Confidence</w:t>
      </w:r>
      <w:r w:rsidR="00994C05">
        <w:rPr>
          <w:rFonts w:ascii="Verdana" w:hAnsi="Verdana"/>
          <w:b/>
          <w:bCs/>
          <w:color w:val="0070C0"/>
          <w:sz w:val="20"/>
          <w:szCs w:val="20"/>
        </w:rPr>
        <w:t xml:space="preserve"> Moderates</w:t>
      </w:r>
    </w:p>
    <w:p w14:paraId="5452AC69" w14:textId="77777777" w:rsidR="00997401" w:rsidRPr="00997401" w:rsidRDefault="00997401" w:rsidP="00997401">
      <w:pPr>
        <w:spacing w:after="0" w:line="240" w:lineRule="auto"/>
        <w:contextualSpacing/>
        <w:mirrorIndents/>
        <w:rPr>
          <w:rFonts w:ascii="Verdana" w:hAnsi="Verdana"/>
          <w:sz w:val="20"/>
          <w:szCs w:val="20"/>
        </w:rPr>
      </w:pPr>
    </w:p>
    <w:p w14:paraId="7CC347BA" w14:textId="0281FF99" w:rsidR="000D19C7" w:rsidRDefault="000D19C7" w:rsidP="00997401">
      <w:pPr>
        <w:spacing w:after="0" w:line="240" w:lineRule="auto"/>
        <w:contextualSpacing/>
        <w:mirrorIndents/>
        <w:rPr>
          <w:rFonts w:ascii="Verdana" w:hAnsi="Verdana"/>
          <w:sz w:val="20"/>
          <w:szCs w:val="20"/>
        </w:rPr>
      </w:pPr>
      <w:r>
        <w:rPr>
          <w:rFonts w:ascii="Verdana" w:hAnsi="Verdana"/>
          <w:sz w:val="20"/>
          <w:szCs w:val="20"/>
        </w:rPr>
        <w:t>In The Farnsworth Group’s Q</w:t>
      </w:r>
      <w:r w:rsidR="00994C05">
        <w:rPr>
          <w:rFonts w:ascii="Verdana" w:hAnsi="Verdana"/>
          <w:sz w:val="20"/>
          <w:szCs w:val="20"/>
        </w:rPr>
        <w:t>1</w:t>
      </w:r>
      <w:r>
        <w:rPr>
          <w:rFonts w:ascii="Verdana" w:hAnsi="Verdana"/>
          <w:sz w:val="20"/>
          <w:szCs w:val="20"/>
        </w:rPr>
        <w:t xml:space="preserve"> 202</w:t>
      </w:r>
      <w:r w:rsidR="00994C05">
        <w:rPr>
          <w:rFonts w:ascii="Verdana" w:hAnsi="Verdana"/>
          <w:sz w:val="20"/>
          <w:szCs w:val="20"/>
        </w:rPr>
        <w:t>2</w:t>
      </w:r>
      <w:r>
        <w:rPr>
          <w:rFonts w:ascii="Verdana" w:hAnsi="Verdana"/>
          <w:sz w:val="20"/>
          <w:szCs w:val="20"/>
        </w:rPr>
        <w:t xml:space="preserve"> Contractor Index, </w:t>
      </w:r>
      <w:r w:rsidR="00994C05">
        <w:rPr>
          <w:rFonts w:ascii="Verdana" w:hAnsi="Verdana"/>
          <w:sz w:val="20"/>
          <w:szCs w:val="20"/>
        </w:rPr>
        <w:t>47</w:t>
      </w:r>
      <w:r w:rsidR="004242E3">
        <w:rPr>
          <w:rFonts w:ascii="Verdana" w:hAnsi="Verdana"/>
          <w:sz w:val="20"/>
          <w:szCs w:val="20"/>
        </w:rPr>
        <w:t>% of surveyed mechanical tradespeople expected their company revenues to change during the next 12 month</w:t>
      </w:r>
      <w:r w:rsidR="00CF0AD6">
        <w:rPr>
          <w:rFonts w:ascii="Verdana" w:hAnsi="Verdana"/>
          <w:sz w:val="20"/>
          <w:szCs w:val="20"/>
        </w:rPr>
        <w:t>s</w:t>
      </w:r>
      <w:r w:rsidR="00994C05">
        <w:rPr>
          <w:rFonts w:ascii="Verdana" w:hAnsi="Verdana"/>
          <w:sz w:val="20"/>
          <w:szCs w:val="20"/>
        </w:rPr>
        <w:t>, compared to 69% in the Q4 2021 survey</w:t>
      </w:r>
      <w:r w:rsidR="004242E3">
        <w:rPr>
          <w:rFonts w:ascii="Verdana" w:hAnsi="Verdana"/>
          <w:sz w:val="20"/>
          <w:szCs w:val="20"/>
        </w:rPr>
        <w:t xml:space="preserve"> and 3</w:t>
      </w:r>
      <w:r w:rsidR="00994C05">
        <w:rPr>
          <w:rFonts w:ascii="Verdana" w:hAnsi="Verdana"/>
          <w:sz w:val="20"/>
          <w:szCs w:val="20"/>
        </w:rPr>
        <w:t>2</w:t>
      </w:r>
      <w:r w:rsidR="004242E3">
        <w:rPr>
          <w:rFonts w:ascii="Verdana" w:hAnsi="Verdana"/>
          <w:sz w:val="20"/>
          <w:szCs w:val="20"/>
        </w:rPr>
        <w:t xml:space="preserve">% expected them to increase </w:t>
      </w:r>
      <w:r w:rsidR="00994C05">
        <w:rPr>
          <w:rFonts w:ascii="Verdana" w:hAnsi="Verdana"/>
          <w:sz w:val="20"/>
          <w:szCs w:val="20"/>
        </w:rPr>
        <w:t>11</w:t>
      </w:r>
      <w:r w:rsidR="004242E3">
        <w:rPr>
          <w:rFonts w:ascii="Verdana" w:hAnsi="Verdana"/>
          <w:sz w:val="20"/>
          <w:szCs w:val="20"/>
        </w:rPr>
        <w:t>%–</w:t>
      </w:r>
      <w:r w:rsidR="00994C05">
        <w:rPr>
          <w:rFonts w:ascii="Verdana" w:hAnsi="Verdana"/>
          <w:sz w:val="20"/>
          <w:szCs w:val="20"/>
        </w:rPr>
        <w:t>2</w:t>
      </w:r>
      <w:r w:rsidR="004242E3">
        <w:rPr>
          <w:rFonts w:ascii="Verdana" w:hAnsi="Verdana"/>
          <w:sz w:val="20"/>
          <w:szCs w:val="20"/>
        </w:rPr>
        <w:t>0%.</w:t>
      </w:r>
    </w:p>
    <w:p w14:paraId="21DE76A5" w14:textId="79F7F313" w:rsidR="000D19C7" w:rsidRDefault="000D19C7" w:rsidP="00997401">
      <w:pPr>
        <w:spacing w:after="0" w:line="240" w:lineRule="auto"/>
        <w:contextualSpacing/>
        <w:mirrorIndents/>
        <w:rPr>
          <w:rFonts w:ascii="Verdana" w:hAnsi="Verdana"/>
          <w:sz w:val="20"/>
          <w:szCs w:val="20"/>
        </w:rPr>
      </w:pPr>
    </w:p>
    <w:p w14:paraId="38351637" w14:textId="48F8C83C" w:rsidR="004242E3" w:rsidRDefault="00994C05" w:rsidP="00997401">
      <w:pPr>
        <w:spacing w:after="0" w:line="240" w:lineRule="auto"/>
        <w:contextualSpacing/>
        <w:mirrorIndents/>
        <w:rPr>
          <w:rFonts w:ascii="Verdana" w:hAnsi="Verdana"/>
          <w:sz w:val="20"/>
          <w:szCs w:val="20"/>
        </w:rPr>
      </w:pPr>
      <w:r>
        <w:rPr>
          <w:rFonts w:ascii="Verdana" w:hAnsi="Verdana"/>
          <w:sz w:val="20"/>
          <w:szCs w:val="20"/>
        </w:rPr>
        <w:t>33</w:t>
      </w:r>
      <w:r w:rsidR="004242E3">
        <w:rPr>
          <w:rFonts w:ascii="Verdana" w:hAnsi="Verdana"/>
          <w:sz w:val="20"/>
          <w:szCs w:val="20"/>
        </w:rPr>
        <w:t xml:space="preserve">% said their average revenue per project had increased during the past 12 months, compared to </w:t>
      </w:r>
      <w:r>
        <w:rPr>
          <w:rFonts w:ascii="Verdana" w:hAnsi="Verdana"/>
          <w:sz w:val="20"/>
          <w:szCs w:val="20"/>
        </w:rPr>
        <w:t>26</w:t>
      </w:r>
      <w:r w:rsidR="004242E3">
        <w:rPr>
          <w:rFonts w:ascii="Verdana" w:hAnsi="Verdana"/>
          <w:sz w:val="20"/>
          <w:szCs w:val="20"/>
        </w:rPr>
        <w:t xml:space="preserve">% who said they had decreased. This was a </w:t>
      </w:r>
      <w:r>
        <w:rPr>
          <w:rFonts w:ascii="Verdana" w:hAnsi="Verdana"/>
          <w:sz w:val="20"/>
          <w:szCs w:val="20"/>
        </w:rPr>
        <w:t>significant decline</w:t>
      </w:r>
      <w:r w:rsidR="004242E3">
        <w:rPr>
          <w:rFonts w:ascii="Verdana" w:hAnsi="Verdana"/>
          <w:sz w:val="20"/>
          <w:szCs w:val="20"/>
        </w:rPr>
        <w:t xml:space="preserve"> </w:t>
      </w:r>
      <w:r>
        <w:rPr>
          <w:rFonts w:ascii="Verdana" w:hAnsi="Verdana"/>
          <w:sz w:val="20"/>
          <w:szCs w:val="20"/>
        </w:rPr>
        <w:t>from</w:t>
      </w:r>
      <w:r w:rsidR="004242E3">
        <w:rPr>
          <w:rFonts w:ascii="Verdana" w:hAnsi="Verdana"/>
          <w:sz w:val="20"/>
          <w:szCs w:val="20"/>
        </w:rPr>
        <w:t xml:space="preserve"> Q</w:t>
      </w:r>
      <w:r>
        <w:rPr>
          <w:rFonts w:ascii="Verdana" w:hAnsi="Verdana"/>
          <w:sz w:val="20"/>
          <w:szCs w:val="20"/>
        </w:rPr>
        <w:t>4</w:t>
      </w:r>
      <w:r w:rsidR="004242E3">
        <w:rPr>
          <w:rFonts w:ascii="Verdana" w:hAnsi="Verdana"/>
          <w:sz w:val="20"/>
          <w:szCs w:val="20"/>
        </w:rPr>
        <w:t xml:space="preserve"> 2021 when </w:t>
      </w:r>
      <w:r>
        <w:rPr>
          <w:rFonts w:ascii="Verdana" w:hAnsi="Verdana"/>
          <w:sz w:val="20"/>
          <w:szCs w:val="20"/>
        </w:rPr>
        <w:t>51</w:t>
      </w:r>
      <w:r w:rsidR="004242E3">
        <w:rPr>
          <w:rFonts w:ascii="Verdana" w:hAnsi="Verdana"/>
          <w:sz w:val="20"/>
          <w:szCs w:val="20"/>
        </w:rPr>
        <w:t xml:space="preserve">% said they had increased and </w:t>
      </w:r>
      <w:r>
        <w:rPr>
          <w:rFonts w:ascii="Verdana" w:hAnsi="Verdana"/>
          <w:sz w:val="20"/>
          <w:szCs w:val="20"/>
        </w:rPr>
        <w:t>13</w:t>
      </w:r>
      <w:r w:rsidR="004242E3">
        <w:rPr>
          <w:rFonts w:ascii="Verdana" w:hAnsi="Verdana"/>
          <w:sz w:val="20"/>
          <w:szCs w:val="20"/>
        </w:rPr>
        <w:t>% decreased.</w:t>
      </w:r>
    </w:p>
    <w:p w14:paraId="09638931" w14:textId="4A92C7BC" w:rsidR="004242E3" w:rsidRDefault="004242E3" w:rsidP="00997401">
      <w:pPr>
        <w:spacing w:after="0" w:line="240" w:lineRule="auto"/>
        <w:contextualSpacing/>
        <w:mirrorIndents/>
        <w:rPr>
          <w:rFonts w:ascii="Verdana" w:hAnsi="Verdana"/>
          <w:sz w:val="20"/>
          <w:szCs w:val="20"/>
        </w:rPr>
      </w:pPr>
    </w:p>
    <w:p w14:paraId="7C055434" w14:textId="0AFCCAC8" w:rsidR="004242E3" w:rsidRDefault="004242E3" w:rsidP="00997401">
      <w:pPr>
        <w:spacing w:after="0" w:line="240" w:lineRule="auto"/>
        <w:contextualSpacing/>
        <w:mirrorIndents/>
        <w:rPr>
          <w:rFonts w:ascii="Verdana" w:hAnsi="Verdana"/>
          <w:sz w:val="20"/>
          <w:szCs w:val="20"/>
        </w:rPr>
      </w:pPr>
      <w:r>
        <w:rPr>
          <w:rFonts w:ascii="Verdana" w:hAnsi="Verdana"/>
          <w:sz w:val="20"/>
          <w:szCs w:val="20"/>
        </w:rPr>
        <w:t xml:space="preserve">On a 10-point scale, mechanical tradespeople indicated they were extremely busy </w:t>
      </w:r>
      <w:r w:rsidR="00CF0AD6">
        <w:rPr>
          <w:rFonts w:ascii="Verdana" w:hAnsi="Verdana"/>
          <w:sz w:val="20"/>
          <w:szCs w:val="20"/>
        </w:rPr>
        <w:t>with</w:t>
      </w:r>
      <w:r>
        <w:rPr>
          <w:rFonts w:ascii="Verdana" w:hAnsi="Verdana"/>
          <w:sz w:val="20"/>
          <w:szCs w:val="20"/>
        </w:rPr>
        <w:t xml:space="preserve"> a score of 7.</w:t>
      </w:r>
      <w:r w:rsidR="00994C05">
        <w:rPr>
          <w:rFonts w:ascii="Verdana" w:hAnsi="Verdana"/>
          <w:sz w:val="20"/>
          <w:szCs w:val="20"/>
        </w:rPr>
        <w:t>1</w:t>
      </w:r>
      <w:r w:rsidR="00150417">
        <w:rPr>
          <w:rFonts w:ascii="Verdana" w:hAnsi="Verdana"/>
          <w:sz w:val="20"/>
          <w:szCs w:val="20"/>
        </w:rPr>
        <w:t xml:space="preserve">, compared to </w:t>
      </w:r>
      <w:r w:rsidR="00994C05">
        <w:rPr>
          <w:rFonts w:ascii="Verdana" w:hAnsi="Verdana"/>
          <w:sz w:val="20"/>
          <w:szCs w:val="20"/>
        </w:rPr>
        <w:t>7.4</w:t>
      </w:r>
      <w:r w:rsidR="00150417">
        <w:rPr>
          <w:rFonts w:ascii="Verdana" w:hAnsi="Verdana"/>
          <w:sz w:val="20"/>
          <w:szCs w:val="20"/>
        </w:rPr>
        <w:t xml:space="preserve"> for Q</w:t>
      </w:r>
      <w:r w:rsidR="00994C05">
        <w:rPr>
          <w:rFonts w:ascii="Verdana" w:hAnsi="Verdana"/>
          <w:sz w:val="20"/>
          <w:szCs w:val="20"/>
        </w:rPr>
        <w:t>4</w:t>
      </w:r>
      <w:r w:rsidR="00150417">
        <w:rPr>
          <w:rFonts w:ascii="Verdana" w:hAnsi="Verdana"/>
          <w:sz w:val="20"/>
          <w:szCs w:val="20"/>
        </w:rPr>
        <w:t xml:space="preserve"> 2021 and their score for improving project closings was </w:t>
      </w:r>
      <w:r w:rsidR="00994C05">
        <w:rPr>
          <w:rFonts w:ascii="Verdana" w:hAnsi="Verdana"/>
          <w:sz w:val="20"/>
          <w:szCs w:val="20"/>
        </w:rPr>
        <w:t>6.1</w:t>
      </w:r>
      <w:r w:rsidR="00150417">
        <w:rPr>
          <w:rFonts w:ascii="Verdana" w:hAnsi="Verdana"/>
          <w:sz w:val="20"/>
          <w:szCs w:val="20"/>
        </w:rPr>
        <w:t xml:space="preserve">, compared to </w:t>
      </w:r>
      <w:r w:rsidR="00994C05">
        <w:rPr>
          <w:rFonts w:ascii="Verdana" w:hAnsi="Verdana"/>
          <w:sz w:val="20"/>
          <w:szCs w:val="20"/>
        </w:rPr>
        <w:t>7.2</w:t>
      </w:r>
      <w:r w:rsidR="00150417">
        <w:rPr>
          <w:rFonts w:ascii="Verdana" w:hAnsi="Verdana"/>
          <w:sz w:val="20"/>
          <w:szCs w:val="20"/>
        </w:rPr>
        <w:t xml:space="preserve"> for Q</w:t>
      </w:r>
      <w:r w:rsidR="00994C05">
        <w:rPr>
          <w:rFonts w:ascii="Verdana" w:hAnsi="Verdana"/>
          <w:sz w:val="20"/>
          <w:szCs w:val="20"/>
        </w:rPr>
        <w:t>4</w:t>
      </w:r>
      <w:r w:rsidR="00150417">
        <w:rPr>
          <w:rFonts w:ascii="Verdana" w:hAnsi="Verdana"/>
          <w:sz w:val="20"/>
          <w:szCs w:val="20"/>
        </w:rPr>
        <w:t xml:space="preserve"> 2021.</w:t>
      </w:r>
    </w:p>
    <w:p w14:paraId="348D0BDB" w14:textId="220C9CC3" w:rsidR="00150417" w:rsidRDefault="00150417" w:rsidP="00997401">
      <w:pPr>
        <w:spacing w:after="0" w:line="240" w:lineRule="auto"/>
        <w:contextualSpacing/>
        <w:mirrorIndents/>
        <w:rPr>
          <w:rFonts w:ascii="Verdana" w:hAnsi="Verdana"/>
          <w:sz w:val="20"/>
          <w:szCs w:val="20"/>
        </w:rPr>
      </w:pPr>
    </w:p>
    <w:p w14:paraId="0EBD589D" w14:textId="77777777" w:rsidR="00994C05" w:rsidRDefault="00150417" w:rsidP="00994C05">
      <w:pPr>
        <w:pStyle w:val="Header"/>
        <w:jc w:val="center"/>
        <w:rPr>
          <w:b/>
          <w:sz w:val="20"/>
          <w:szCs w:val="20"/>
        </w:rPr>
      </w:pPr>
      <w:r>
        <w:rPr>
          <w:b/>
          <w:sz w:val="20"/>
          <w:szCs w:val="20"/>
        </w:rPr>
        <w:t xml:space="preserve">Mechanical Trades’ Increase in Average Revenue/Project </w:t>
      </w:r>
    </w:p>
    <w:p w14:paraId="19A11351" w14:textId="64999E72" w:rsidR="00150417" w:rsidRPr="00412C44" w:rsidRDefault="00150417" w:rsidP="00994C05">
      <w:pPr>
        <w:pStyle w:val="Header"/>
        <w:jc w:val="center"/>
        <w:rPr>
          <w:b/>
          <w:sz w:val="20"/>
          <w:szCs w:val="20"/>
        </w:rPr>
      </w:pPr>
      <w:r>
        <w:rPr>
          <w:b/>
          <w:sz w:val="20"/>
          <w:szCs w:val="20"/>
        </w:rPr>
        <w:t xml:space="preserve">During </w:t>
      </w:r>
      <w:r w:rsidR="00CF0AD6">
        <w:rPr>
          <w:b/>
          <w:sz w:val="20"/>
          <w:szCs w:val="20"/>
        </w:rPr>
        <w:t xml:space="preserve">the </w:t>
      </w:r>
      <w:r>
        <w:rPr>
          <w:b/>
          <w:sz w:val="20"/>
          <w:szCs w:val="20"/>
        </w:rPr>
        <w:t>Past 12 Months, Q</w:t>
      </w:r>
      <w:r w:rsidR="00994C05">
        <w:rPr>
          <w:b/>
          <w:sz w:val="20"/>
          <w:szCs w:val="20"/>
        </w:rPr>
        <w:t>1</w:t>
      </w:r>
      <w:r>
        <w:rPr>
          <w:b/>
          <w:sz w:val="20"/>
          <w:szCs w:val="20"/>
        </w:rPr>
        <w:t xml:space="preserve"> 202</w:t>
      </w:r>
      <w:r w:rsidR="00994C05">
        <w:rPr>
          <w:b/>
          <w:sz w:val="20"/>
          <w:szCs w:val="20"/>
        </w:rPr>
        <w:t>2 vs. Q</w:t>
      </w:r>
      <w:r w:rsidR="003B631A">
        <w:rPr>
          <w:b/>
          <w:sz w:val="20"/>
          <w:szCs w:val="20"/>
        </w:rPr>
        <w:t>4</w:t>
      </w:r>
      <w:r w:rsidR="00994C05">
        <w:rPr>
          <w:b/>
          <w:sz w:val="20"/>
          <w:szCs w:val="20"/>
        </w:rPr>
        <w:t xml:space="preserve"> 2021</w:t>
      </w:r>
    </w:p>
    <w:tbl>
      <w:tblPr>
        <w:tblW w:w="8524"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1728"/>
        <w:gridCol w:w="1267"/>
        <w:gridCol w:w="1267"/>
        <w:gridCol w:w="1728"/>
        <w:gridCol w:w="1267"/>
        <w:gridCol w:w="1267"/>
      </w:tblGrid>
      <w:tr w:rsidR="003B631A" w:rsidRPr="00FA1897" w14:paraId="09B5156F" w14:textId="77777777" w:rsidTr="003B631A">
        <w:trPr>
          <w:trHeight w:val="249"/>
          <w:jc w:val="center"/>
        </w:trPr>
        <w:tc>
          <w:tcPr>
            <w:tcW w:w="1728" w:type="dxa"/>
            <w:tcBorders>
              <w:top w:val="single" w:sz="12" w:space="0" w:color="000000"/>
              <w:left w:val="single" w:sz="12" w:space="0" w:color="000000"/>
              <w:bottom w:val="single" w:sz="18" w:space="0" w:color="C0504D" w:themeColor="accent2"/>
              <w:right w:val="single" w:sz="12" w:space="0" w:color="0070C0"/>
            </w:tcBorders>
            <w:vAlign w:val="center"/>
          </w:tcPr>
          <w:p w14:paraId="536ED068" w14:textId="77777777" w:rsidR="003B631A" w:rsidRPr="00FA1897" w:rsidRDefault="003B631A" w:rsidP="003B631A">
            <w:pPr>
              <w:widowControl w:val="0"/>
              <w:tabs>
                <w:tab w:val="left" w:pos="220"/>
                <w:tab w:val="left" w:pos="720"/>
              </w:tabs>
              <w:autoSpaceDE w:val="0"/>
              <w:autoSpaceDN w:val="0"/>
              <w:adjustRightInd w:val="0"/>
              <w:spacing w:after="0" w:line="240" w:lineRule="auto"/>
              <w:jc w:val="center"/>
              <w:rPr>
                <w:rFonts w:ascii="Verdana" w:eastAsia="Times New Roman" w:hAnsi="Verdana"/>
                <w:sz w:val="20"/>
                <w:szCs w:val="20"/>
              </w:rPr>
            </w:pPr>
            <w:r>
              <w:rPr>
                <w:rFonts w:ascii="Verdana" w:eastAsia="Times New Roman" w:hAnsi="Verdana"/>
                <w:sz w:val="20"/>
                <w:szCs w:val="20"/>
              </w:rPr>
              <w:t>Increase Range</w:t>
            </w:r>
          </w:p>
        </w:tc>
        <w:tc>
          <w:tcPr>
            <w:tcW w:w="1267" w:type="dxa"/>
            <w:tcBorders>
              <w:top w:val="single" w:sz="12" w:space="0" w:color="000000"/>
              <w:left w:val="single" w:sz="12" w:space="0" w:color="0070C0"/>
              <w:bottom w:val="single" w:sz="18" w:space="0" w:color="C0504D" w:themeColor="accent2"/>
              <w:right w:val="single" w:sz="8" w:space="0" w:color="0070C0"/>
            </w:tcBorders>
            <w:vAlign w:val="center"/>
          </w:tcPr>
          <w:p w14:paraId="4786C5A0" w14:textId="32773C2D" w:rsidR="003B631A" w:rsidRDefault="003B631A" w:rsidP="003B631A">
            <w:pPr>
              <w:widowControl w:val="0"/>
              <w:tabs>
                <w:tab w:val="left" w:pos="220"/>
                <w:tab w:val="left" w:pos="720"/>
              </w:tabs>
              <w:autoSpaceDE w:val="0"/>
              <w:autoSpaceDN w:val="0"/>
              <w:adjustRightInd w:val="0"/>
              <w:spacing w:after="0" w:line="240" w:lineRule="auto"/>
              <w:jc w:val="center"/>
              <w:rPr>
                <w:rFonts w:ascii="Verdana" w:eastAsia="Times New Roman" w:hAnsi="Verdana"/>
                <w:sz w:val="20"/>
                <w:szCs w:val="20"/>
              </w:rPr>
            </w:pPr>
            <w:r>
              <w:rPr>
                <w:rFonts w:ascii="Verdana" w:eastAsia="Times New Roman" w:hAnsi="Verdana"/>
                <w:sz w:val="20"/>
                <w:szCs w:val="20"/>
              </w:rPr>
              <w:t>Q1 2022</w:t>
            </w:r>
          </w:p>
        </w:tc>
        <w:tc>
          <w:tcPr>
            <w:tcW w:w="1267" w:type="dxa"/>
            <w:tcBorders>
              <w:top w:val="single" w:sz="12" w:space="0" w:color="000000"/>
              <w:left w:val="single" w:sz="8" w:space="0" w:color="0070C0"/>
              <w:bottom w:val="single" w:sz="18" w:space="0" w:color="C0504D" w:themeColor="accent2"/>
              <w:right w:val="single" w:sz="18" w:space="0" w:color="0070C0"/>
            </w:tcBorders>
            <w:vAlign w:val="center"/>
          </w:tcPr>
          <w:p w14:paraId="5D3E18A5" w14:textId="22D5F579" w:rsidR="003B631A" w:rsidRPr="00FA1897" w:rsidRDefault="003B631A" w:rsidP="003B631A">
            <w:pPr>
              <w:widowControl w:val="0"/>
              <w:tabs>
                <w:tab w:val="left" w:pos="220"/>
                <w:tab w:val="left" w:pos="720"/>
              </w:tabs>
              <w:autoSpaceDE w:val="0"/>
              <w:autoSpaceDN w:val="0"/>
              <w:adjustRightInd w:val="0"/>
              <w:spacing w:after="0" w:line="240" w:lineRule="auto"/>
              <w:jc w:val="center"/>
              <w:rPr>
                <w:rFonts w:ascii="Verdana" w:eastAsia="Times New Roman" w:hAnsi="Verdana"/>
                <w:sz w:val="20"/>
                <w:szCs w:val="20"/>
              </w:rPr>
            </w:pPr>
            <w:r>
              <w:rPr>
                <w:rFonts w:ascii="Verdana" w:eastAsia="Times New Roman" w:hAnsi="Verdana"/>
                <w:sz w:val="20"/>
                <w:szCs w:val="20"/>
              </w:rPr>
              <w:t>Q4 2021</w:t>
            </w:r>
          </w:p>
        </w:tc>
        <w:tc>
          <w:tcPr>
            <w:tcW w:w="1728" w:type="dxa"/>
            <w:tcBorders>
              <w:top w:val="single" w:sz="12" w:space="0" w:color="000000"/>
              <w:left w:val="single" w:sz="18" w:space="0" w:color="0070C0"/>
              <w:bottom w:val="single" w:sz="18" w:space="0" w:color="C0504D" w:themeColor="accent2"/>
              <w:right w:val="single" w:sz="12" w:space="0" w:color="0070C0"/>
            </w:tcBorders>
            <w:vAlign w:val="center"/>
          </w:tcPr>
          <w:p w14:paraId="32445D3D" w14:textId="77777777" w:rsidR="003B631A" w:rsidRPr="00FA1897" w:rsidRDefault="003B631A" w:rsidP="003B631A">
            <w:pPr>
              <w:widowControl w:val="0"/>
              <w:tabs>
                <w:tab w:val="left" w:pos="220"/>
                <w:tab w:val="left" w:pos="720"/>
              </w:tabs>
              <w:autoSpaceDE w:val="0"/>
              <w:autoSpaceDN w:val="0"/>
              <w:adjustRightInd w:val="0"/>
              <w:spacing w:after="0" w:line="240" w:lineRule="auto"/>
              <w:jc w:val="center"/>
              <w:rPr>
                <w:rFonts w:ascii="Verdana" w:eastAsia="Times New Roman" w:hAnsi="Verdana"/>
                <w:sz w:val="20"/>
                <w:szCs w:val="20"/>
              </w:rPr>
            </w:pPr>
            <w:r>
              <w:rPr>
                <w:rFonts w:ascii="Verdana" w:eastAsia="Times New Roman" w:hAnsi="Verdana"/>
                <w:sz w:val="20"/>
                <w:szCs w:val="20"/>
              </w:rPr>
              <w:t>Increased Range</w:t>
            </w:r>
          </w:p>
        </w:tc>
        <w:tc>
          <w:tcPr>
            <w:tcW w:w="1267" w:type="dxa"/>
            <w:tcBorders>
              <w:top w:val="single" w:sz="12" w:space="0" w:color="000000"/>
              <w:left w:val="single" w:sz="12" w:space="0" w:color="0070C0"/>
              <w:bottom w:val="single" w:sz="18" w:space="0" w:color="C0504D" w:themeColor="accent2"/>
              <w:right w:val="single" w:sz="8" w:space="0" w:color="0070C0"/>
            </w:tcBorders>
            <w:vAlign w:val="center"/>
          </w:tcPr>
          <w:p w14:paraId="44B1BDD6" w14:textId="23B607B6" w:rsidR="003B631A" w:rsidRDefault="003B631A" w:rsidP="003B631A">
            <w:pPr>
              <w:widowControl w:val="0"/>
              <w:tabs>
                <w:tab w:val="left" w:pos="220"/>
                <w:tab w:val="left" w:pos="720"/>
              </w:tabs>
              <w:autoSpaceDE w:val="0"/>
              <w:autoSpaceDN w:val="0"/>
              <w:adjustRightInd w:val="0"/>
              <w:spacing w:after="0" w:line="240" w:lineRule="auto"/>
              <w:jc w:val="center"/>
              <w:rPr>
                <w:rFonts w:ascii="Verdana" w:eastAsia="Times New Roman" w:hAnsi="Verdana"/>
                <w:sz w:val="20"/>
                <w:szCs w:val="20"/>
              </w:rPr>
            </w:pPr>
            <w:r>
              <w:rPr>
                <w:rFonts w:ascii="Verdana" w:eastAsia="Times New Roman" w:hAnsi="Verdana"/>
                <w:sz w:val="20"/>
                <w:szCs w:val="20"/>
              </w:rPr>
              <w:t>Q1 2022</w:t>
            </w:r>
          </w:p>
        </w:tc>
        <w:tc>
          <w:tcPr>
            <w:tcW w:w="1267" w:type="dxa"/>
            <w:tcBorders>
              <w:top w:val="single" w:sz="12" w:space="0" w:color="000000"/>
              <w:left w:val="single" w:sz="8" w:space="0" w:color="0070C0"/>
              <w:bottom w:val="single" w:sz="18" w:space="0" w:color="C0504D" w:themeColor="accent2"/>
              <w:right w:val="single" w:sz="12" w:space="0" w:color="auto"/>
            </w:tcBorders>
            <w:vAlign w:val="center"/>
          </w:tcPr>
          <w:p w14:paraId="03B9CB33" w14:textId="0EC0E0DE" w:rsidR="003B631A" w:rsidRPr="00FA1897" w:rsidRDefault="003B631A" w:rsidP="003B631A">
            <w:pPr>
              <w:widowControl w:val="0"/>
              <w:tabs>
                <w:tab w:val="left" w:pos="220"/>
                <w:tab w:val="left" w:pos="720"/>
              </w:tabs>
              <w:autoSpaceDE w:val="0"/>
              <w:autoSpaceDN w:val="0"/>
              <w:adjustRightInd w:val="0"/>
              <w:spacing w:after="0" w:line="240" w:lineRule="auto"/>
              <w:jc w:val="center"/>
              <w:rPr>
                <w:rFonts w:ascii="Verdana" w:eastAsia="Times New Roman" w:hAnsi="Verdana"/>
                <w:sz w:val="20"/>
                <w:szCs w:val="20"/>
              </w:rPr>
            </w:pPr>
            <w:r>
              <w:rPr>
                <w:rFonts w:ascii="Verdana" w:eastAsia="Times New Roman" w:hAnsi="Verdana"/>
                <w:sz w:val="20"/>
                <w:szCs w:val="20"/>
              </w:rPr>
              <w:t>Q4 2021</w:t>
            </w:r>
          </w:p>
        </w:tc>
      </w:tr>
      <w:tr w:rsidR="00994C05" w:rsidRPr="00FA1897" w14:paraId="4DA3F831" w14:textId="77777777" w:rsidTr="002F44B2">
        <w:tblPrEx>
          <w:tblBorders>
            <w:top w:val="none" w:sz="0" w:space="0" w:color="auto"/>
          </w:tblBorders>
        </w:tblPrEx>
        <w:trPr>
          <w:trHeight w:val="249"/>
          <w:jc w:val="center"/>
        </w:trPr>
        <w:tc>
          <w:tcPr>
            <w:tcW w:w="1728" w:type="dxa"/>
            <w:tcBorders>
              <w:top w:val="single" w:sz="18" w:space="0" w:color="C0504D" w:themeColor="accent2"/>
              <w:left w:val="single" w:sz="12" w:space="0" w:color="000000"/>
              <w:bottom w:val="single" w:sz="4" w:space="0" w:color="000000"/>
              <w:right w:val="single" w:sz="12" w:space="0" w:color="0070C0"/>
            </w:tcBorders>
            <w:shd w:val="clear" w:color="auto" w:fill="auto"/>
            <w:vAlign w:val="center"/>
          </w:tcPr>
          <w:p w14:paraId="0303F5C1" w14:textId="77777777" w:rsidR="00994C05" w:rsidRPr="00FA1897" w:rsidRDefault="00994C05" w:rsidP="005B42D8">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0</w:t>
            </w:r>
            <w:r>
              <w:rPr>
                <w:rFonts w:ascii="Verdana" w:hAnsi="Verdana"/>
                <w:sz w:val="20"/>
                <w:szCs w:val="20"/>
              </w:rPr>
              <w:t>–5%</w:t>
            </w:r>
          </w:p>
        </w:tc>
        <w:tc>
          <w:tcPr>
            <w:tcW w:w="1267" w:type="dxa"/>
            <w:tcBorders>
              <w:top w:val="single" w:sz="18" w:space="0" w:color="C0504D" w:themeColor="accent2"/>
              <w:left w:val="single" w:sz="12" w:space="0" w:color="0070C0"/>
              <w:bottom w:val="single" w:sz="4" w:space="0" w:color="000000"/>
              <w:right w:val="single" w:sz="8" w:space="0" w:color="0070C0"/>
            </w:tcBorders>
            <w:shd w:val="clear" w:color="auto" w:fill="C2D69B" w:themeFill="accent3" w:themeFillTint="99"/>
            <w:vAlign w:val="center"/>
          </w:tcPr>
          <w:p w14:paraId="1037BFA6" w14:textId="6472AAF4" w:rsidR="00994C05" w:rsidRDefault="00994C05" w:rsidP="002F44B2">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28%</w:t>
            </w:r>
          </w:p>
        </w:tc>
        <w:tc>
          <w:tcPr>
            <w:tcW w:w="1267" w:type="dxa"/>
            <w:tcBorders>
              <w:top w:val="single" w:sz="18" w:space="0" w:color="C0504D" w:themeColor="accent2"/>
              <w:left w:val="single" w:sz="8" w:space="0" w:color="0070C0"/>
              <w:bottom w:val="single" w:sz="4" w:space="0" w:color="000000"/>
              <w:right w:val="single" w:sz="18" w:space="0" w:color="0070C0"/>
            </w:tcBorders>
            <w:shd w:val="clear" w:color="auto" w:fill="EAF1DD" w:themeFill="accent3" w:themeFillTint="33"/>
            <w:vAlign w:val="center"/>
          </w:tcPr>
          <w:p w14:paraId="49F7A9F4" w14:textId="16549BED" w:rsidR="00994C05" w:rsidRPr="00FA1897" w:rsidRDefault="003B631A" w:rsidP="002F44B2">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4.8%</w:t>
            </w:r>
          </w:p>
        </w:tc>
        <w:tc>
          <w:tcPr>
            <w:tcW w:w="1728" w:type="dxa"/>
            <w:tcBorders>
              <w:top w:val="single" w:sz="18" w:space="0" w:color="C0504D" w:themeColor="accent2"/>
              <w:left w:val="single" w:sz="18" w:space="0" w:color="0070C0"/>
              <w:bottom w:val="single" w:sz="4" w:space="0" w:color="000000"/>
              <w:right w:val="single" w:sz="12" w:space="0" w:color="0070C0"/>
            </w:tcBorders>
            <w:shd w:val="clear" w:color="auto" w:fill="auto"/>
            <w:vAlign w:val="center"/>
          </w:tcPr>
          <w:p w14:paraId="3D3FE25D" w14:textId="77777777" w:rsidR="00994C05" w:rsidRPr="00FA1897" w:rsidRDefault="00994C05" w:rsidP="005B42D8">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21</w:t>
            </w:r>
            <w:r>
              <w:rPr>
                <w:rFonts w:ascii="Verdana" w:hAnsi="Verdana"/>
                <w:sz w:val="20"/>
                <w:szCs w:val="20"/>
              </w:rPr>
              <w:t>–30%</w:t>
            </w:r>
          </w:p>
        </w:tc>
        <w:tc>
          <w:tcPr>
            <w:tcW w:w="1267" w:type="dxa"/>
            <w:tcBorders>
              <w:top w:val="single" w:sz="18" w:space="0" w:color="C0504D" w:themeColor="accent2"/>
              <w:left w:val="single" w:sz="12" w:space="0" w:color="0070C0"/>
              <w:bottom w:val="single" w:sz="4" w:space="0" w:color="000000"/>
              <w:right w:val="single" w:sz="8" w:space="0" w:color="0070C0"/>
            </w:tcBorders>
            <w:shd w:val="clear" w:color="auto" w:fill="EAF1DD" w:themeFill="accent3" w:themeFillTint="33"/>
            <w:vAlign w:val="center"/>
          </w:tcPr>
          <w:p w14:paraId="51EE1878" w14:textId="43000CB1" w:rsidR="00994C05" w:rsidRDefault="003B631A" w:rsidP="002F44B2">
            <w:pPr>
              <w:widowControl w:val="0"/>
              <w:tabs>
                <w:tab w:val="left" w:pos="220"/>
                <w:tab w:val="left" w:pos="720"/>
              </w:tabs>
              <w:autoSpaceDE w:val="0"/>
              <w:autoSpaceDN w:val="0"/>
              <w:adjustRightInd w:val="0"/>
              <w:spacing w:after="0" w:line="240" w:lineRule="auto"/>
              <w:ind w:left="-113"/>
              <w:jc w:val="right"/>
              <w:rPr>
                <w:rFonts w:ascii="Verdana" w:eastAsia="Times New Roman" w:hAnsi="Verdana"/>
                <w:sz w:val="20"/>
                <w:szCs w:val="20"/>
              </w:rPr>
            </w:pPr>
            <w:r>
              <w:rPr>
                <w:rFonts w:ascii="Verdana" w:eastAsia="Times New Roman" w:hAnsi="Verdana"/>
                <w:sz w:val="20"/>
                <w:szCs w:val="20"/>
              </w:rPr>
              <w:t>8%</w:t>
            </w:r>
          </w:p>
        </w:tc>
        <w:tc>
          <w:tcPr>
            <w:tcW w:w="1267" w:type="dxa"/>
            <w:tcBorders>
              <w:top w:val="single" w:sz="18" w:space="0" w:color="C0504D" w:themeColor="accent2"/>
              <w:left w:val="single" w:sz="8" w:space="0" w:color="0070C0"/>
              <w:bottom w:val="single" w:sz="4" w:space="0" w:color="000000"/>
              <w:right w:val="single" w:sz="12" w:space="0" w:color="auto"/>
            </w:tcBorders>
            <w:shd w:val="clear" w:color="auto" w:fill="C2D69B" w:themeFill="accent3" w:themeFillTint="99"/>
            <w:vAlign w:val="center"/>
          </w:tcPr>
          <w:p w14:paraId="56DBE9C4" w14:textId="24C2C363" w:rsidR="00994C05" w:rsidRPr="00FA1897" w:rsidRDefault="003B631A" w:rsidP="002F44B2">
            <w:pPr>
              <w:widowControl w:val="0"/>
              <w:tabs>
                <w:tab w:val="left" w:pos="220"/>
                <w:tab w:val="left" w:pos="720"/>
              </w:tabs>
              <w:autoSpaceDE w:val="0"/>
              <w:autoSpaceDN w:val="0"/>
              <w:adjustRightInd w:val="0"/>
              <w:spacing w:after="0" w:line="240" w:lineRule="auto"/>
              <w:ind w:left="-113"/>
              <w:jc w:val="right"/>
              <w:rPr>
                <w:rFonts w:ascii="Verdana" w:eastAsia="Times New Roman" w:hAnsi="Verdana"/>
                <w:sz w:val="20"/>
                <w:szCs w:val="20"/>
              </w:rPr>
            </w:pPr>
            <w:r>
              <w:rPr>
                <w:rFonts w:ascii="Verdana" w:eastAsia="Times New Roman" w:hAnsi="Verdana"/>
                <w:sz w:val="20"/>
                <w:szCs w:val="20"/>
              </w:rPr>
              <w:t>33.3%</w:t>
            </w:r>
          </w:p>
        </w:tc>
      </w:tr>
      <w:tr w:rsidR="00994C05" w:rsidRPr="00FA1897" w14:paraId="7F06AF67" w14:textId="77777777" w:rsidTr="002F44B2">
        <w:tblPrEx>
          <w:tblBorders>
            <w:top w:val="none" w:sz="0" w:space="0" w:color="auto"/>
          </w:tblBorders>
        </w:tblPrEx>
        <w:trPr>
          <w:trHeight w:val="249"/>
          <w:jc w:val="center"/>
        </w:trPr>
        <w:tc>
          <w:tcPr>
            <w:tcW w:w="1728" w:type="dxa"/>
            <w:tcBorders>
              <w:top w:val="single" w:sz="4" w:space="0" w:color="000000"/>
              <w:left w:val="single" w:sz="12" w:space="0" w:color="000000"/>
              <w:bottom w:val="single" w:sz="4" w:space="0" w:color="000000"/>
              <w:right w:val="single" w:sz="12" w:space="0" w:color="0070C0"/>
            </w:tcBorders>
            <w:shd w:val="clear" w:color="auto" w:fill="auto"/>
            <w:vAlign w:val="center"/>
          </w:tcPr>
          <w:p w14:paraId="26755089" w14:textId="77777777" w:rsidR="00994C05" w:rsidRPr="00FA1897" w:rsidRDefault="00994C05" w:rsidP="005B42D8">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6</w:t>
            </w:r>
            <w:r>
              <w:rPr>
                <w:rFonts w:ascii="Verdana" w:hAnsi="Verdana"/>
                <w:sz w:val="20"/>
                <w:szCs w:val="20"/>
              </w:rPr>
              <w:t>–10%</w:t>
            </w:r>
          </w:p>
        </w:tc>
        <w:tc>
          <w:tcPr>
            <w:tcW w:w="1267" w:type="dxa"/>
            <w:tcBorders>
              <w:top w:val="single" w:sz="4" w:space="0" w:color="000000"/>
              <w:left w:val="single" w:sz="12" w:space="0" w:color="0070C0"/>
              <w:bottom w:val="single" w:sz="4" w:space="0" w:color="000000"/>
              <w:right w:val="single" w:sz="8" w:space="0" w:color="0070C0"/>
            </w:tcBorders>
            <w:shd w:val="clear" w:color="auto" w:fill="D6E3BC" w:themeFill="accent3" w:themeFillTint="66"/>
            <w:vAlign w:val="center"/>
          </w:tcPr>
          <w:p w14:paraId="7317498C" w14:textId="0779F41D" w:rsidR="00994C05" w:rsidRDefault="003B631A" w:rsidP="002F44B2">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24%</w:t>
            </w:r>
          </w:p>
        </w:tc>
        <w:tc>
          <w:tcPr>
            <w:tcW w:w="1267" w:type="dxa"/>
            <w:tcBorders>
              <w:top w:val="single" w:sz="4" w:space="0" w:color="000000"/>
              <w:left w:val="single" w:sz="8" w:space="0" w:color="0070C0"/>
              <w:bottom w:val="single" w:sz="4" w:space="0" w:color="000000"/>
              <w:right w:val="single" w:sz="18" w:space="0" w:color="0070C0"/>
            </w:tcBorders>
            <w:shd w:val="clear" w:color="auto" w:fill="D6E3BC" w:themeFill="accent3" w:themeFillTint="66"/>
            <w:vAlign w:val="center"/>
          </w:tcPr>
          <w:p w14:paraId="7D9F5E59" w14:textId="31B4E1D1" w:rsidR="00994C05" w:rsidRPr="00FA1897" w:rsidRDefault="00994C05" w:rsidP="002F44B2">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2</w:t>
            </w:r>
            <w:r w:rsidR="003B631A">
              <w:rPr>
                <w:rFonts w:ascii="Verdana" w:eastAsia="Times New Roman" w:hAnsi="Verdana"/>
                <w:sz w:val="20"/>
                <w:szCs w:val="20"/>
              </w:rPr>
              <w:t>1.4</w:t>
            </w:r>
            <w:r>
              <w:rPr>
                <w:rFonts w:ascii="Verdana" w:eastAsia="Times New Roman" w:hAnsi="Verdana"/>
                <w:sz w:val="20"/>
                <w:szCs w:val="20"/>
              </w:rPr>
              <w:t>%</w:t>
            </w:r>
          </w:p>
        </w:tc>
        <w:tc>
          <w:tcPr>
            <w:tcW w:w="1728" w:type="dxa"/>
            <w:tcBorders>
              <w:top w:val="single" w:sz="4" w:space="0" w:color="000000"/>
              <w:left w:val="single" w:sz="18" w:space="0" w:color="0070C0"/>
              <w:bottom w:val="single" w:sz="4" w:space="0" w:color="000000"/>
              <w:right w:val="single" w:sz="12" w:space="0" w:color="0070C0"/>
            </w:tcBorders>
            <w:shd w:val="clear" w:color="auto" w:fill="auto"/>
            <w:vAlign w:val="center"/>
          </w:tcPr>
          <w:p w14:paraId="65F38094" w14:textId="77777777" w:rsidR="00994C05" w:rsidRPr="00FA1897" w:rsidRDefault="00994C05" w:rsidP="005B42D8">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31</w:t>
            </w:r>
            <w:r>
              <w:rPr>
                <w:rFonts w:ascii="Verdana" w:hAnsi="Verdana"/>
                <w:sz w:val="20"/>
                <w:szCs w:val="20"/>
              </w:rPr>
              <w:t>–50%</w:t>
            </w:r>
          </w:p>
        </w:tc>
        <w:tc>
          <w:tcPr>
            <w:tcW w:w="1267" w:type="dxa"/>
            <w:tcBorders>
              <w:top w:val="single" w:sz="4" w:space="0" w:color="000000"/>
              <w:left w:val="single" w:sz="12" w:space="0" w:color="0070C0"/>
              <w:bottom w:val="single" w:sz="4" w:space="0" w:color="000000"/>
              <w:right w:val="single" w:sz="8" w:space="0" w:color="0070C0"/>
            </w:tcBorders>
            <w:shd w:val="clear" w:color="auto" w:fill="F2F2F2" w:themeFill="background1" w:themeFillShade="F2"/>
            <w:vAlign w:val="center"/>
          </w:tcPr>
          <w:p w14:paraId="100185AF" w14:textId="6615BED0" w:rsidR="00994C05" w:rsidRDefault="003B631A" w:rsidP="002F44B2">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0%</w:t>
            </w:r>
          </w:p>
        </w:tc>
        <w:tc>
          <w:tcPr>
            <w:tcW w:w="1267" w:type="dxa"/>
            <w:tcBorders>
              <w:top w:val="single" w:sz="4" w:space="0" w:color="000000"/>
              <w:left w:val="single" w:sz="8" w:space="0" w:color="0070C0"/>
              <w:bottom w:val="single" w:sz="4" w:space="0" w:color="000000"/>
              <w:right w:val="single" w:sz="12" w:space="0" w:color="auto"/>
            </w:tcBorders>
            <w:shd w:val="clear" w:color="auto" w:fill="EAF1DD" w:themeFill="accent3" w:themeFillTint="33"/>
            <w:vAlign w:val="center"/>
          </w:tcPr>
          <w:p w14:paraId="49989E88" w14:textId="4BFA3279" w:rsidR="00994C05" w:rsidRPr="00FA1897" w:rsidRDefault="003B631A" w:rsidP="002F44B2">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7.1</w:t>
            </w:r>
            <w:r w:rsidR="00994C05">
              <w:rPr>
                <w:rFonts w:ascii="Verdana" w:eastAsia="Times New Roman" w:hAnsi="Verdana"/>
                <w:sz w:val="20"/>
                <w:szCs w:val="20"/>
              </w:rPr>
              <w:t>%</w:t>
            </w:r>
          </w:p>
        </w:tc>
      </w:tr>
      <w:tr w:rsidR="00994C05" w:rsidRPr="00FA1897" w14:paraId="638735D9" w14:textId="77777777" w:rsidTr="002F44B2">
        <w:tblPrEx>
          <w:tblBorders>
            <w:top w:val="none" w:sz="0" w:space="0" w:color="auto"/>
          </w:tblBorders>
        </w:tblPrEx>
        <w:trPr>
          <w:trHeight w:val="249"/>
          <w:jc w:val="center"/>
        </w:trPr>
        <w:tc>
          <w:tcPr>
            <w:tcW w:w="1728" w:type="dxa"/>
            <w:tcBorders>
              <w:top w:val="single" w:sz="4" w:space="0" w:color="000000"/>
              <w:left w:val="single" w:sz="12" w:space="0" w:color="000000"/>
              <w:bottom w:val="single" w:sz="12" w:space="0" w:color="000000"/>
              <w:right w:val="single" w:sz="12" w:space="0" w:color="0070C0"/>
            </w:tcBorders>
            <w:shd w:val="clear" w:color="auto" w:fill="auto"/>
            <w:vAlign w:val="center"/>
          </w:tcPr>
          <w:p w14:paraId="3E84071E" w14:textId="77777777" w:rsidR="00994C05" w:rsidRPr="00FA1897" w:rsidRDefault="00994C05" w:rsidP="005B42D8">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11</w:t>
            </w:r>
            <w:r>
              <w:rPr>
                <w:rFonts w:ascii="Verdana" w:hAnsi="Verdana"/>
                <w:sz w:val="20"/>
                <w:szCs w:val="20"/>
              </w:rPr>
              <w:t>–20%</w:t>
            </w:r>
          </w:p>
        </w:tc>
        <w:tc>
          <w:tcPr>
            <w:tcW w:w="1267" w:type="dxa"/>
            <w:tcBorders>
              <w:top w:val="single" w:sz="4" w:space="0" w:color="000000"/>
              <w:left w:val="single" w:sz="12" w:space="0" w:color="0070C0"/>
              <w:bottom w:val="single" w:sz="12" w:space="0" w:color="000000"/>
              <w:right w:val="single" w:sz="8" w:space="0" w:color="0070C0"/>
            </w:tcBorders>
            <w:shd w:val="clear" w:color="auto" w:fill="00B050"/>
            <w:vAlign w:val="center"/>
          </w:tcPr>
          <w:p w14:paraId="0383DDD8" w14:textId="4D51C7DF" w:rsidR="00994C05" w:rsidRDefault="003B631A" w:rsidP="002F44B2">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40%</w:t>
            </w:r>
          </w:p>
        </w:tc>
        <w:tc>
          <w:tcPr>
            <w:tcW w:w="1267" w:type="dxa"/>
            <w:tcBorders>
              <w:top w:val="single" w:sz="4" w:space="0" w:color="000000"/>
              <w:left w:val="single" w:sz="8" w:space="0" w:color="0070C0"/>
              <w:bottom w:val="single" w:sz="12" w:space="0" w:color="000000"/>
              <w:right w:val="single" w:sz="18" w:space="0" w:color="0070C0"/>
            </w:tcBorders>
            <w:shd w:val="clear" w:color="auto" w:fill="C2D69B" w:themeFill="accent3" w:themeFillTint="99"/>
            <w:vAlign w:val="center"/>
          </w:tcPr>
          <w:p w14:paraId="6A11D7BF" w14:textId="3D81D326" w:rsidR="00994C05" w:rsidRPr="00FA1897" w:rsidRDefault="003B631A" w:rsidP="002F44B2">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31.0</w:t>
            </w:r>
            <w:r w:rsidR="00994C05">
              <w:rPr>
                <w:rFonts w:ascii="Verdana" w:eastAsia="Times New Roman" w:hAnsi="Verdana"/>
                <w:sz w:val="20"/>
                <w:szCs w:val="20"/>
              </w:rPr>
              <w:t>%</w:t>
            </w:r>
          </w:p>
        </w:tc>
        <w:tc>
          <w:tcPr>
            <w:tcW w:w="1728" w:type="dxa"/>
            <w:tcBorders>
              <w:top w:val="single" w:sz="4" w:space="0" w:color="000000"/>
              <w:left w:val="single" w:sz="18" w:space="0" w:color="0070C0"/>
              <w:bottom w:val="single" w:sz="12" w:space="0" w:color="000000"/>
              <w:right w:val="single" w:sz="12" w:space="0" w:color="0070C0"/>
            </w:tcBorders>
            <w:shd w:val="clear" w:color="auto" w:fill="auto"/>
            <w:vAlign w:val="center"/>
          </w:tcPr>
          <w:p w14:paraId="498EB006" w14:textId="77777777" w:rsidR="00994C05" w:rsidRPr="00FA1897" w:rsidRDefault="00994C05" w:rsidP="005B42D8">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51</w:t>
            </w:r>
            <w:r>
              <w:rPr>
                <w:rFonts w:ascii="Verdana" w:hAnsi="Verdana"/>
                <w:sz w:val="20"/>
                <w:szCs w:val="20"/>
              </w:rPr>
              <w:t>%+</w:t>
            </w:r>
          </w:p>
        </w:tc>
        <w:tc>
          <w:tcPr>
            <w:tcW w:w="1267" w:type="dxa"/>
            <w:tcBorders>
              <w:top w:val="single" w:sz="4" w:space="0" w:color="000000"/>
              <w:left w:val="single" w:sz="12" w:space="0" w:color="0070C0"/>
              <w:bottom w:val="single" w:sz="12" w:space="0" w:color="000000"/>
              <w:right w:val="single" w:sz="8" w:space="0" w:color="0070C0"/>
            </w:tcBorders>
            <w:shd w:val="clear" w:color="auto" w:fill="F2F2F2" w:themeFill="background1" w:themeFillShade="F2"/>
            <w:vAlign w:val="center"/>
          </w:tcPr>
          <w:p w14:paraId="2CABF469" w14:textId="7AEAEC2C" w:rsidR="00994C05" w:rsidRDefault="003B631A" w:rsidP="002F44B2">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0%</w:t>
            </w:r>
          </w:p>
        </w:tc>
        <w:tc>
          <w:tcPr>
            <w:tcW w:w="1267" w:type="dxa"/>
            <w:tcBorders>
              <w:top w:val="single" w:sz="4" w:space="0" w:color="000000"/>
              <w:left w:val="single" w:sz="8" w:space="0" w:color="0070C0"/>
              <w:bottom w:val="single" w:sz="12" w:space="0" w:color="000000"/>
              <w:right w:val="single" w:sz="12" w:space="0" w:color="auto"/>
            </w:tcBorders>
            <w:shd w:val="clear" w:color="auto" w:fill="EAF1DD" w:themeFill="accent3" w:themeFillTint="33"/>
            <w:vAlign w:val="center"/>
          </w:tcPr>
          <w:p w14:paraId="0203B6C4" w14:textId="5ABF9982" w:rsidR="00994C05" w:rsidRPr="00FA1897" w:rsidRDefault="003B631A" w:rsidP="002F44B2">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2.4</w:t>
            </w:r>
            <w:r w:rsidR="00994C05">
              <w:rPr>
                <w:rFonts w:ascii="Verdana" w:eastAsia="Times New Roman" w:hAnsi="Verdana"/>
                <w:sz w:val="20"/>
                <w:szCs w:val="20"/>
              </w:rPr>
              <w:t>%</w:t>
            </w:r>
          </w:p>
        </w:tc>
      </w:tr>
    </w:tbl>
    <w:p w14:paraId="58E6B443" w14:textId="7F00B55A" w:rsidR="00150417" w:rsidRDefault="00150417" w:rsidP="003B631A">
      <w:pPr>
        <w:tabs>
          <w:tab w:val="left" w:pos="450"/>
        </w:tabs>
        <w:spacing w:after="0" w:line="240" w:lineRule="auto"/>
        <w:contextualSpacing/>
        <w:mirrorIndents/>
        <w:rPr>
          <w:rFonts w:ascii="Verdana" w:hAnsi="Verdana"/>
          <w:sz w:val="20"/>
          <w:szCs w:val="20"/>
        </w:rPr>
      </w:pPr>
      <w:r>
        <w:rPr>
          <w:rFonts w:ascii="Verdana" w:hAnsi="Verdana"/>
          <w:sz w:val="16"/>
          <w:szCs w:val="16"/>
        </w:rPr>
        <w:tab/>
        <w:t>The Farnsworth Group,</w:t>
      </w:r>
      <w:r w:rsidRPr="00FA1897">
        <w:rPr>
          <w:rFonts w:ascii="Verdana" w:hAnsi="Verdana"/>
          <w:sz w:val="16"/>
          <w:szCs w:val="16"/>
        </w:rPr>
        <w:t xml:space="preserve"> February</w:t>
      </w:r>
      <w:r w:rsidR="003B631A">
        <w:rPr>
          <w:rFonts w:ascii="Verdana" w:hAnsi="Verdana"/>
          <w:sz w:val="16"/>
          <w:szCs w:val="16"/>
        </w:rPr>
        <w:t xml:space="preserve"> and March</w:t>
      </w:r>
      <w:r w:rsidRPr="00FA1897">
        <w:rPr>
          <w:rFonts w:ascii="Verdana" w:hAnsi="Verdana"/>
          <w:sz w:val="16"/>
          <w:szCs w:val="16"/>
        </w:rPr>
        <w:t xml:space="preserve"> 202</w:t>
      </w:r>
      <w:r>
        <w:rPr>
          <w:rFonts w:ascii="Verdana" w:hAnsi="Verdana"/>
          <w:sz w:val="16"/>
          <w:szCs w:val="16"/>
        </w:rPr>
        <w:t>2</w:t>
      </w:r>
    </w:p>
    <w:p w14:paraId="66C5A15B" w14:textId="0AD417A6" w:rsidR="000D19C7" w:rsidRDefault="000D19C7" w:rsidP="00997401">
      <w:pPr>
        <w:spacing w:after="0" w:line="240" w:lineRule="auto"/>
        <w:contextualSpacing/>
        <w:mirrorIndents/>
        <w:rPr>
          <w:rFonts w:ascii="Verdana" w:hAnsi="Verdana"/>
          <w:sz w:val="20"/>
          <w:szCs w:val="20"/>
        </w:rPr>
      </w:pPr>
    </w:p>
    <w:p w14:paraId="059C04E3" w14:textId="4D743A2D" w:rsidR="00150417" w:rsidRDefault="00150417" w:rsidP="00997401">
      <w:pPr>
        <w:spacing w:after="0" w:line="240" w:lineRule="auto"/>
        <w:contextualSpacing/>
        <w:mirrorIndents/>
        <w:rPr>
          <w:rFonts w:ascii="Verdana" w:hAnsi="Verdana"/>
          <w:sz w:val="20"/>
          <w:szCs w:val="20"/>
        </w:rPr>
      </w:pPr>
    </w:p>
    <w:p w14:paraId="02AD07F2" w14:textId="6E7A596D" w:rsidR="00997401" w:rsidRPr="00E37D6F" w:rsidRDefault="00997401" w:rsidP="00E37D6F">
      <w:pPr>
        <w:spacing w:after="0" w:line="240" w:lineRule="auto"/>
        <w:contextualSpacing/>
        <w:mirrorIndents/>
        <w:jc w:val="center"/>
        <w:rPr>
          <w:rFonts w:ascii="Verdana" w:hAnsi="Verdana"/>
          <w:b/>
          <w:bCs/>
          <w:color w:val="0070C0"/>
          <w:sz w:val="20"/>
          <w:szCs w:val="20"/>
        </w:rPr>
      </w:pPr>
      <w:r w:rsidRPr="00E37D6F">
        <w:rPr>
          <w:rFonts w:ascii="Verdana" w:hAnsi="Verdana"/>
          <w:b/>
          <w:bCs/>
          <w:color w:val="0070C0"/>
          <w:sz w:val="20"/>
          <w:szCs w:val="20"/>
        </w:rPr>
        <w:lastRenderedPageBreak/>
        <w:t>Bathroom Renovations Drive Jobs for Plumbers</w:t>
      </w:r>
    </w:p>
    <w:p w14:paraId="2A3FAD2B" w14:textId="7718E19D" w:rsidR="00E37D6F" w:rsidRDefault="00E37D6F" w:rsidP="00997401">
      <w:pPr>
        <w:spacing w:after="0" w:line="240" w:lineRule="auto"/>
        <w:contextualSpacing/>
        <w:mirrorIndents/>
        <w:rPr>
          <w:rFonts w:ascii="Verdana" w:hAnsi="Verdana"/>
          <w:sz w:val="20"/>
          <w:szCs w:val="20"/>
        </w:rPr>
      </w:pPr>
    </w:p>
    <w:p w14:paraId="10943C13" w14:textId="62CFF286" w:rsidR="00981872" w:rsidRDefault="00981872" w:rsidP="00997401">
      <w:pPr>
        <w:spacing w:after="0" w:line="240" w:lineRule="auto"/>
        <w:contextualSpacing/>
        <w:mirrorIndents/>
        <w:rPr>
          <w:rFonts w:ascii="Verdana" w:hAnsi="Verdana"/>
          <w:sz w:val="20"/>
          <w:szCs w:val="20"/>
        </w:rPr>
      </w:pPr>
      <w:r>
        <w:rPr>
          <w:rFonts w:ascii="Verdana" w:hAnsi="Verdana"/>
          <w:sz w:val="20"/>
          <w:szCs w:val="20"/>
        </w:rPr>
        <w:t>The pandemic’s effect on home improvement projects is well-documented and the 2021 Houzz Bathroom Trends Survey found 69% of homeowners said they considered their bathroom “old and outdated” creating many opportunities for contractors and plumbers.</w:t>
      </w:r>
    </w:p>
    <w:p w14:paraId="5E97E39B" w14:textId="0403A4DA" w:rsidR="00981872" w:rsidRDefault="00981872" w:rsidP="00997401">
      <w:pPr>
        <w:spacing w:after="0" w:line="240" w:lineRule="auto"/>
        <w:contextualSpacing/>
        <w:mirrorIndents/>
        <w:rPr>
          <w:rFonts w:ascii="Verdana" w:hAnsi="Verdana"/>
          <w:sz w:val="20"/>
          <w:szCs w:val="20"/>
        </w:rPr>
      </w:pPr>
    </w:p>
    <w:p w14:paraId="1AD7F61F" w14:textId="0A2EF5DF" w:rsidR="00981872" w:rsidRDefault="00981872" w:rsidP="00997401">
      <w:pPr>
        <w:spacing w:after="0" w:line="240" w:lineRule="auto"/>
        <w:contextualSpacing/>
        <w:mirrorIndents/>
        <w:rPr>
          <w:rFonts w:ascii="Verdana" w:hAnsi="Verdana"/>
          <w:sz w:val="20"/>
          <w:szCs w:val="20"/>
        </w:rPr>
      </w:pPr>
      <w:r>
        <w:rPr>
          <w:rFonts w:ascii="Verdana" w:hAnsi="Verdana"/>
          <w:sz w:val="20"/>
          <w:szCs w:val="20"/>
        </w:rPr>
        <w:t xml:space="preserve">Faucets continued to be the top feature upgrade for a bathroom renovation at 88% of surveyed homeowners. Showers were fifth, but still </w:t>
      </w:r>
      <w:r w:rsidR="00BB7CC3">
        <w:rPr>
          <w:rFonts w:ascii="Verdana" w:hAnsi="Verdana"/>
          <w:sz w:val="20"/>
          <w:szCs w:val="20"/>
        </w:rPr>
        <w:t>important to 82% of homeowners. Sinks increased 3 percentage points from the 2020 survey to 77%.</w:t>
      </w:r>
    </w:p>
    <w:p w14:paraId="469B0FFA" w14:textId="45C0CADA" w:rsidR="00BB7CC3" w:rsidRDefault="00BB7CC3" w:rsidP="00997401">
      <w:pPr>
        <w:spacing w:after="0" w:line="240" w:lineRule="auto"/>
        <w:contextualSpacing/>
        <w:mirrorIndents/>
        <w:rPr>
          <w:rFonts w:ascii="Verdana" w:hAnsi="Verdana"/>
          <w:sz w:val="20"/>
          <w:szCs w:val="20"/>
        </w:rPr>
      </w:pPr>
    </w:p>
    <w:p w14:paraId="1032EFA8" w14:textId="7EDC7E02" w:rsidR="00BB7CC3" w:rsidRDefault="00BB7CC3" w:rsidP="00997401">
      <w:pPr>
        <w:spacing w:after="0" w:line="240" w:lineRule="auto"/>
        <w:contextualSpacing/>
        <w:mirrorIndents/>
        <w:rPr>
          <w:rFonts w:ascii="Verdana" w:hAnsi="Verdana"/>
          <w:sz w:val="20"/>
          <w:szCs w:val="20"/>
        </w:rPr>
      </w:pPr>
      <w:r>
        <w:rPr>
          <w:rFonts w:ascii="Verdana" w:hAnsi="Verdana"/>
          <w:sz w:val="20"/>
          <w:szCs w:val="20"/>
        </w:rPr>
        <w:t>Approximately 25% of homeowners told Houzz they were removing the tub during a bathroom renovation. 84% (an increase of 6 percentage points) said they then enlarged their shower and 22% enlarged it by more than 50%.</w:t>
      </w:r>
    </w:p>
    <w:p w14:paraId="6BDB103B" w14:textId="4E0A8ADD" w:rsidR="00BB7CC3" w:rsidRDefault="00BB7CC3" w:rsidP="00997401">
      <w:pPr>
        <w:spacing w:after="0" w:line="240" w:lineRule="auto"/>
        <w:contextualSpacing/>
        <w:mirrorIndents/>
        <w:rPr>
          <w:rFonts w:ascii="Verdana" w:hAnsi="Verdana"/>
          <w:sz w:val="20"/>
          <w:szCs w:val="20"/>
        </w:rPr>
      </w:pPr>
    </w:p>
    <w:p w14:paraId="299337A1" w14:textId="77777777" w:rsidR="004143A4" w:rsidRDefault="004F56A9" w:rsidP="004F56A9">
      <w:pPr>
        <w:spacing w:after="0" w:line="240" w:lineRule="auto"/>
        <w:contextualSpacing/>
        <w:mirrorIndents/>
        <w:jc w:val="center"/>
        <w:rPr>
          <w:b/>
          <w:bCs/>
          <w:sz w:val="20"/>
          <w:szCs w:val="20"/>
        </w:rPr>
      </w:pPr>
      <w:r>
        <w:rPr>
          <w:b/>
          <w:bCs/>
          <w:sz w:val="20"/>
          <w:szCs w:val="20"/>
        </w:rPr>
        <w:t xml:space="preserve">Indices of Adults 18+ Who </w:t>
      </w:r>
      <w:r w:rsidR="004143A4">
        <w:rPr>
          <w:b/>
          <w:bCs/>
          <w:sz w:val="20"/>
          <w:szCs w:val="20"/>
        </w:rPr>
        <w:t>Plan a Plumbing Home Improvement Project</w:t>
      </w:r>
      <w:r>
        <w:rPr>
          <w:b/>
          <w:bCs/>
          <w:sz w:val="20"/>
          <w:szCs w:val="20"/>
        </w:rPr>
        <w:t xml:space="preserve"> </w:t>
      </w:r>
    </w:p>
    <w:p w14:paraId="271CAC5A" w14:textId="0FC9DBDB" w:rsidR="004F56A9" w:rsidRPr="005D1511" w:rsidRDefault="004F56A9" w:rsidP="004143A4">
      <w:pPr>
        <w:spacing w:after="0" w:line="240" w:lineRule="auto"/>
        <w:contextualSpacing/>
        <w:mirrorIndents/>
        <w:jc w:val="center"/>
        <w:rPr>
          <w:b/>
          <w:bCs/>
          <w:sz w:val="20"/>
          <w:szCs w:val="20"/>
        </w:rPr>
      </w:pPr>
      <w:r>
        <w:rPr>
          <w:b/>
          <w:bCs/>
          <w:sz w:val="20"/>
          <w:szCs w:val="20"/>
        </w:rPr>
        <w:t xml:space="preserve">During the </w:t>
      </w:r>
      <w:r w:rsidR="004143A4">
        <w:rPr>
          <w:b/>
          <w:bCs/>
          <w:sz w:val="20"/>
          <w:szCs w:val="20"/>
        </w:rPr>
        <w:t>Next 12 Months</w:t>
      </w:r>
      <w:r>
        <w:rPr>
          <w:b/>
          <w:bCs/>
          <w:sz w:val="20"/>
          <w:szCs w:val="20"/>
        </w:rPr>
        <w:t xml:space="preserve"> by Generation, in Selected Markets</w:t>
      </w:r>
      <w:r w:rsidRPr="005D1511">
        <w:rPr>
          <w:b/>
          <w:bCs/>
          <w:sz w:val="20"/>
          <w:szCs w:val="20"/>
        </w:rPr>
        <w:t>, 202</w:t>
      </w:r>
      <w:r>
        <w:rPr>
          <w:b/>
          <w:bCs/>
          <w:sz w:val="20"/>
          <w:szCs w:val="20"/>
        </w:rPr>
        <w:t>1</w:t>
      </w:r>
    </w:p>
    <w:tbl>
      <w:tblPr>
        <w:tblW w:w="9487"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2003"/>
        <w:gridCol w:w="1492"/>
        <w:gridCol w:w="1498"/>
        <w:gridCol w:w="1498"/>
        <w:gridCol w:w="1498"/>
        <w:gridCol w:w="1498"/>
      </w:tblGrid>
      <w:tr w:rsidR="004F56A9" w:rsidRPr="005D1511" w14:paraId="7CB6231D" w14:textId="77777777" w:rsidTr="002F44B2">
        <w:trPr>
          <w:jc w:val="center"/>
        </w:trPr>
        <w:tc>
          <w:tcPr>
            <w:tcW w:w="2003" w:type="dxa"/>
            <w:tcBorders>
              <w:top w:val="single" w:sz="12" w:space="0" w:color="000000"/>
              <w:left w:val="single" w:sz="12" w:space="0" w:color="000000"/>
              <w:bottom w:val="single" w:sz="18" w:space="0" w:color="C0504D" w:themeColor="accent2"/>
              <w:right w:val="single" w:sz="18" w:space="0" w:color="0070C0"/>
            </w:tcBorders>
            <w:shd w:val="clear" w:color="auto" w:fill="auto"/>
            <w:vAlign w:val="center"/>
          </w:tcPr>
          <w:p w14:paraId="120CD23D" w14:textId="77777777" w:rsidR="004F56A9" w:rsidRPr="004815C1" w:rsidRDefault="004F56A9" w:rsidP="002F44B2">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Generation</w:t>
            </w:r>
          </w:p>
        </w:tc>
        <w:tc>
          <w:tcPr>
            <w:tcW w:w="1492" w:type="dxa"/>
            <w:tcBorders>
              <w:top w:val="single" w:sz="12" w:space="0" w:color="000000"/>
              <w:left w:val="single" w:sz="18" w:space="0" w:color="0070C0"/>
              <w:bottom w:val="single" w:sz="18" w:space="0" w:color="C0504D" w:themeColor="accent2"/>
              <w:right w:val="single" w:sz="8" w:space="0" w:color="0070C0"/>
            </w:tcBorders>
            <w:shd w:val="clear" w:color="auto" w:fill="auto"/>
            <w:vAlign w:val="center"/>
          </w:tcPr>
          <w:p w14:paraId="10EA23F6" w14:textId="4E18CE3F" w:rsidR="004F56A9" w:rsidRPr="004815C1" w:rsidRDefault="004143A4" w:rsidP="002F44B2">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West Palm Beach, FL</w:t>
            </w:r>
          </w:p>
        </w:tc>
        <w:tc>
          <w:tcPr>
            <w:tcW w:w="1498"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017257E2" w14:textId="0370D03C" w:rsidR="004F56A9" w:rsidRPr="004815C1" w:rsidRDefault="004143A4" w:rsidP="002F44B2">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Pittsburgh</w:t>
            </w:r>
          </w:p>
        </w:tc>
        <w:tc>
          <w:tcPr>
            <w:tcW w:w="1498"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1AA21F78" w14:textId="4F75D477" w:rsidR="004F56A9" w:rsidRPr="004815C1" w:rsidRDefault="004143A4" w:rsidP="002F44B2">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Milwaukee-Racine, WI</w:t>
            </w:r>
          </w:p>
        </w:tc>
        <w:tc>
          <w:tcPr>
            <w:tcW w:w="1498"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589DF212" w14:textId="5849D17C" w:rsidR="004F56A9" w:rsidRPr="004815C1" w:rsidRDefault="004143A4" w:rsidP="002F44B2">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Denver</w:t>
            </w:r>
          </w:p>
        </w:tc>
        <w:tc>
          <w:tcPr>
            <w:tcW w:w="1498" w:type="dxa"/>
            <w:tcBorders>
              <w:top w:val="single" w:sz="12" w:space="0" w:color="000000"/>
              <w:left w:val="single" w:sz="8" w:space="0" w:color="0070C0"/>
              <w:bottom w:val="single" w:sz="18" w:space="0" w:color="C0504D" w:themeColor="accent2"/>
              <w:right w:val="single" w:sz="12" w:space="0" w:color="000000"/>
            </w:tcBorders>
            <w:shd w:val="clear" w:color="auto" w:fill="auto"/>
            <w:vAlign w:val="center"/>
          </w:tcPr>
          <w:p w14:paraId="3E5C79B6" w14:textId="04124078" w:rsidR="004F56A9" w:rsidRPr="004815C1" w:rsidRDefault="004143A4" w:rsidP="002F44B2">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Monterey-Salinas, CA</w:t>
            </w:r>
          </w:p>
        </w:tc>
      </w:tr>
      <w:tr w:rsidR="004F56A9" w:rsidRPr="005D1511" w14:paraId="3671453F" w14:textId="77777777" w:rsidTr="004143A4">
        <w:tblPrEx>
          <w:tblBorders>
            <w:top w:val="none" w:sz="0" w:space="0" w:color="auto"/>
          </w:tblBorders>
        </w:tblPrEx>
        <w:trPr>
          <w:jc w:val="center"/>
        </w:trPr>
        <w:tc>
          <w:tcPr>
            <w:tcW w:w="2003" w:type="dxa"/>
            <w:tcBorders>
              <w:top w:val="single" w:sz="18" w:space="0" w:color="C0504D" w:themeColor="accent2"/>
              <w:left w:val="single" w:sz="12" w:space="0" w:color="000000"/>
              <w:bottom w:val="single" w:sz="4" w:space="0" w:color="000000"/>
              <w:right w:val="single" w:sz="18" w:space="0" w:color="0070C0"/>
            </w:tcBorders>
            <w:shd w:val="clear" w:color="auto" w:fill="auto"/>
            <w:vAlign w:val="center"/>
          </w:tcPr>
          <w:p w14:paraId="726E143B" w14:textId="77777777" w:rsidR="004F56A9" w:rsidRPr="004815C1" w:rsidRDefault="004F56A9" w:rsidP="005B42D8">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Gen Z</w:t>
            </w:r>
          </w:p>
        </w:tc>
        <w:tc>
          <w:tcPr>
            <w:tcW w:w="1492" w:type="dxa"/>
            <w:tcBorders>
              <w:top w:val="single" w:sz="18" w:space="0" w:color="C0504D" w:themeColor="accent2"/>
              <w:left w:val="single" w:sz="18" w:space="0" w:color="0070C0"/>
              <w:bottom w:val="single" w:sz="4" w:space="0" w:color="auto"/>
              <w:right w:val="single" w:sz="8" w:space="0" w:color="0070C0"/>
            </w:tcBorders>
            <w:shd w:val="clear" w:color="auto" w:fill="00B050"/>
            <w:vAlign w:val="center"/>
          </w:tcPr>
          <w:p w14:paraId="040B0FA7" w14:textId="7CEB1833" w:rsidR="004F56A9" w:rsidRPr="004815C1" w:rsidRDefault="004143A4"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191</w:t>
            </w:r>
          </w:p>
        </w:tc>
        <w:tc>
          <w:tcPr>
            <w:tcW w:w="1498" w:type="dxa"/>
            <w:tcBorders>
              <w:top w:val="single" w:sz="18" w:space="0" w:color="C0504D" w:themeColor="accent2"/>
              <w:left w:val="single" w:sz="8" w:space="0" w:color="0070C0"/>
              <w:bottom w:val="single" w:sz="4" w:space="0" w:color="auto"/>
              <w:right w:val="single" w:sz="8" w:space="0" w:color="0070C0"/>
            </w:tcBorders>
            <w:shd w:val="clear" w:color="auto" w:fill="E5B8B7" w:themeFill="accent2" w:themeFillTint="66"/>
            <w:vAlign w:val="center"/>
          </w:tcPr>
          <w:p w14:paraId="376422A8" w14:textId="0E70EDB7" w:rsidR="004F56A9" w:rsidRPr="004815C1" w:rsidRDefault="004143A4"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80</w:t>
            </w:r>
          </w:p>
        </w:tc>
        <w:tc>
          <w:tcPr>
            <w:tcW w:w="1498" w:type="dxa"/>
            <w:tcBorders>
              <w:top w:val="single" w:sz="18" w:space="0" w:color="C0504D" w:themeColor="accent2"/>
              <w:left w:val="single" w:sz="8" w:space="0" w:color="0070C0"/>
              <w:bottom w:val="single" w:sz="4" w:space="0" w:color="auto"/>
              <w:right w:val="single" w:sz="8" w:space="0" w:color="0070C0"/>
            </w:tcBorders>
            <w:shd w:val="clear" w:color="auto" w:fill="00B050"/>
            <w:vAlign w:val="center"/>
          </w:tcPr>
          <w:p w14:paraId="17924839" w14:textId="2AD3195C" w:rsidR="004F56A9" w:rsidRPr="004815C1" w:rsidRDefault="004143A4"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205</w:t>
            </w:r>
          </w:p>
        </w:tc>
        <w:tc>
          <w:tcPr>
            <w:tcW w:w="1498" w:type="dxa"/>
            <w:tcBorders>
              <w:top w:val="single" w:sz="18" w:space="0" w:color="C0504D" w:themeColor="accent2"/>
              <w:left w:val="single" w:sz="8" w:space="0" w:color="0070C0"/>
              <w:bottom w:val="single" w:sz="4" w:space="0" w:color="auto"/>
              <w:right w:val="single" w:sz="8" w:space="0" w:color="0070C0"/>
            </w:tcBorders>
            <w:shd w:val="clear" w:color="auto" w:fill="C2D69B" w:themeFill="accent3" w:themeFillTint="99"/>
            <w:vAlign w:val="center"/>
          </w:tcPr>
          <w:p w14:paraId="61E9673B" w14:textId="6883FB20" w:rsidR="004F56A9" w:rsidRPr="004815C1" w:rsidRDefault="004143A4"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122</w:t>
            </w:r>
          </w:p>
        </w:tc>
        <w:tc>
          <w:tcPr>
            <w:tcW w:w="1498" w:type="dxa"/>
            <w:tcBorders>
              <w:top w:val="single" w:sz="18" w:space="0" w:color="C0504D" w:themeColor="accent2"/>
              <w:left w:val="single" w:sz="8" w:space="0" w:color="0070C0"/>
              <w:bottom w:val="single" w:sz="4" w:space="0" w:color="auto"/>
              <w:right w:val="single" w:sz="12" w:space="0" w:color="000000"/>
            </w:tcBorders>
            <w:shd w:val="clear" w:color="auto" w:fill="D99594" w:themeFill="accent2" w:themeFillTint="99"/>
            <w:vAlign w:val="center"/>
          </w:tcPr>
          <w:p w14:paraId="522A28EF" w14:textId="54A9C2C1" w:rsidR="004F56A9" w:rsidRPr="004815C1" w:rsidRDefault="004143A4" w:rsidP="005B42D8">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77</w:t>
            </w:r>
          </w:p>
        </w:tc>
      </w:tr>
      <w:tr w:rsidR="004F56A9" w:rsidRPr="005D1511" w14:paraId="060B5049" w14:textId="77777777" w:rsidTr="004143A4">
        <w:tblPrEx>
          <w:tblBorders>
            <w:top w:val="none" w:sz="0" w:space="0" w:color="auto"/>
          </w:tblBorders>
        </w:tblPrEx>
        <w:trPr>
          <w:jc w:val="center"/>
        </w:trPr>
        <w:tc>
          <w:tcPr>
            <w:tcW w:w="200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327A555C" w14:textId="77777777" w:rsidR="004F56A9" w:rsidRPr="004815C1" w:rsidRDefault="004F56A9" w:rsidP="005B42D8">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Millennials</w:t>
            </w:r>
          </w:p>
        </w:tc>
        <w:tc>
          <w:tcPr>
            <w:tcW w:w="1492" w:type="dxa"/>
            <w:tcBorders>
              <w:top w:val="single" w:sz="4" w:space="0" w:color="auto"/>
              <w:left w:val="single" w:sz="18" w:space="0" w:color="0070C0"/>
              <w:bottom w:val="single" w:sz="4" w:space="0" w:color="000000"/>
              <w:right w:val="single" w:sz="8" w:space="0" w:color="0070C0"/>
            </w:tcBorders>
            <w:shd w:val="clear" w:color="auto" w:fill="C2D69B" w:themeFill="accent3" w:themeFillTint="99"/>
            <w:vAlign w:val="center"/>
          </w:tcPr>
          <w:p w14:paraId="1A296B3D" w14:textId="4FC7A519" w:rsidR="004F56A9" w:rsidRPr="004815C1" w:rsidRDefault="004143A4"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125</w:t>
            </w:r>
          </w:p>
        </w:tc>
        <w:tc>
          <w:tcPr>
            <w:tcW w:w="1498" w:type="dxa"/>
            <w:tcBorders>
              <w:top w:val="single" w:sz="4" w:space="0" w:color="auto"/>
              <w:left w:val="single" w:sz="8" w:space="0" w:color="0070C0"/>
              <w:bottom w:val="single" w:sz="4" w:space="0" w:color="000000"/>
              <w:right w:val="single" w:sz="8" w:space="0" w:color="0070C0"/>
            </w:tcBorders>
            <w:shd w:val="clear" w:color="auto" w:fill="E5B8B7" w:themeFill="accent2" w:themeFillTint="66"/>
            <w:vAlign w:val="center"/>
          </w:tcPr>
          <w:p w14:paraId="4203BB35" w14:textId="0933C19A" w:rsidR="004F56A9" w:rsidRPr="004815C1" w:rsidRDefault="004143A4"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85</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2431B500" w14:textId="14D20CBC" w:rsidR="004F56A9" w:rsidRPr="004815C1" w:rsidRDefault="004143A4"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140</w:t>
            </w:r>
          </w:p>
        </w:tc>
        <w:tc>
          <w:tcPr>
            <w:tcW w:w="149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21F98530" w14:textId="08056B9D" w:rsidR="004F56A9" w:rsidRPr="004815C1" w:rsidRDefault="004143A4"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116</w:t>
            </w:r>
          </w:p>
        </w:tc>
        <w:tc>
          <w:tcPr>
            <w:tcW w:w="1498" w:type="dxa"/>
            <w:tcBorders>
              <w:top w:val="single" w:sz="4" w:space="0" w:color="auto"/>
              <w:left w:val="single" w:sz="8" w:space="0" w:color="0070C0"/>
              <w:bottom w:val="single" w:sz="4" w:space="0" w:color="000000"/>
              <w:right w:val="single" w:sz="12" w:space="0" w:color="000000"/>
            </w:tcBorders>
            <w:shd w:val="clear" w:color="auto" w:fill="C2D69B" w:themeFill="accent3" w:themeFillTint="99"/>
            <w:vAlign w:val="center"/>
          </w:tcPr>
          <w:p w14:paraId="7C774126" w14:textId="0E9B3DCB" w:rsidR="004F56A9" w:rsidRPr="00B00624" w:rsidRDefault="004143A4"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128</w:t>
            </w:r>
          </w:p>
        </w:tc>
      </w:tr>
      <w:tr w:rsidR="004F56A9" w:rsidRPr="005D1511" w14:paraId="328B7100" w14:textId="77777777" w:rsidTr="004143A4">
        <w:tblPrEx>
          <w:tblBorders>
            <w:top w:val="none" w:sz="0" w:space="0" w:color="auto"/>
          </w:tblBorders>
        </w:tblPrEx>
        <w:trPr>
          <w:jc w:val="center"/>
        </w:trPr>
        <w:tc>
          <w:tcPr>
            <w:tcW w:w="200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7B13AF32" w14:textId="77777777" w:rsidR="004F56A9" w:rsidRDefault="004F56A9" w:rsidP="005B42D8">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Gen X</w:t>
            </w:r>
          </w:p>
        </w:tc>
        <w:tc>
          <w:tcPr>
            <w:tcW w:w="1492" w:type="dxa"/>
            <w:tcBorders>
              <w:top w:val="single" w:sz="4" w:space="0" w:color="auto"/>
              <w:left w:val="single" w:sz="18" w:space="0" w:color="0070C0"/>
              <w:bottom w:val="single" w:sz="4" w:space="0" w:color="000000"/>
              <w:right w:val="single" w:sz="8" w:space="0" w:color="0070C0"/>
            </w:tcBorders>
            <w:shd w:val="clear" w:color="auto" w:fill="D6E3BC" w:themeFill="accent3" w:themeFillTint="66"/>
            <w:vAlign w:val="center"/>
          </w:tcPr>
          <w:p w14:paraId="3D351796" w14:textId="50E625C8" w:rsidR="004F56A9" w:rsidRDefault="004143A4"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114</w:t>
            </w:r>
          </w:p>
        </w:tc>
        <w:tc>
          <w:tcPr>
            <w:tcW w:w="1498" w:type="dxa"/>
            <w:tcBorders>
              <w:top w:val="single" w:sz="4" w:space="0" w:color="auto"/>
              <w:left w:val="single" w:sz="8" w:space="0" w:color="0070C0"/>
              <w:bottom w:val="single" w:sz="4" w:space="0" w:color="000000"/>
              <w:right w:val="single" w:sz="8" w:space="0" w:color="0070C0"/>
            </w:tcBorders>
            <w:shd w:val="clear" w:color="auto" w:fill="F2DBDB" w:themeFill="accent2" w:themeFillTint="33"/>
            <w:vAlign w:val="center"/>
          </w:tcPr>
          <w:p w14:paraId="38D6AA3D" w14:textId="5C294477" w:rsidR="004F56A9" w:rsidRDefault="004143A4"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93</w:t>
            </w:r>
          </w:p>
        </w:tc>
        <w:tc>
          <w:tcPr>
            <w:tcW w:w="1498" w:type="dxa"/>
            <w:tcBorders>
              <w:top w:val="single" w:sz="4" w:space="0" w:color="auto"/>
              <w:left w:val="single" w:sz="8" w:space="0" w:color="0070C0"/>
              <w:bottom w:val="single" w:sz="4" w:space="0" w:color="000000"/>
              <w:right w:val="single" w:sz="8" w:space="0" w:color="0070C0"/>
            </w:tcBorders>
            <w:shd w:val="clear" w:color="auto" w:fill="D99594" w:themeFill="accent2" w:themeFillTint="99"/>
            <w:vAlign w:val="center"/>
          </w:tcPr>
          <w:p w14:paraId="1E4DAA59" w14:textId="149B2643" w:rsidR="004F56A9" w:rsidRDefault="004143A4"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74</w:t>
            </w:r>
          </w:p>
        </w:tc>
        <w:tc>
          <w:tcPr>
            <w:tcW w:w="149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248CD70D" w14:textId="41FDB82C" w:rsidR="004F56A9" w:rsidRDefault="004143A4"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114</w:t>
            </w:r>
          </w:p>
        </w:tc>
        <w:tc>
          <w:tcPr>
            <w:tcW w:w="1498" w:type="dxa"/>
            <w:tcBorders>
              <w:top w:val="single" w:sz="4" w:space="0" w:color="auto"/>
              <w:left w:val="single" w:sz="8" w:space="0" w:color="0070C0"/>
              <w:bottom w:val="single" w:sz="4" w:space="0" w:color="000000"/>
              <w:right w:val="single" w:sz="12" w:space="0" w:color="000000"/>
            </w:tcBorders>
            <w:shd w:val="clear" w:color="auto" w:fill="EAF1DD" w:themeFill="accent3" w:themeFillTint="33"/>
            <w:vAlign w:val="center"/>
          </w:tcPr>
          <w:p w14:paraId="4A22C279" w14:textId="18F03F0A" w:rsidR="004F56A9" w:rsidRDefault="004143A4"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103</w:t>
            </w:r>
          </w:p>
        </w:tc>
      </w:tr>
      <w:tr w:rsidR="004F56A9" w:rsidRPr="005D1511" w14:paraId="56CF900F" w14:textId="77777777" w:rsidTr="004143A4">
        <w:tblPrEx>
          <w:tblBorders>
            <w:top w:val="none" w:sz="0" w:space="0" w:color="auto"/>
          </w:tblBorders>
        </w:tblPrEx>
        <w:trPr>
          <w:jc w:val="center"/>
        </w:trPr>
        <w:tc>
          <w:tcPr>
            <w:tcW w:w="200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2A7AED0F" w14:textId="77777777" w:rsidR="004F56A9" w:rsidRPr="004815C1" w:rsidRDefault="004F56A9" w:rsidP="005B42D8">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Baby Boomers</w:t>
            </w:r>
          </w:p>
        </w:tc>
        <w:tc>
          <w:tcPr>
            <w:tcW w:w="1492" w:type="dxa"/>
            <w:tcBorders>
              <w:top w:val="single" w:sz="4" w:space="0" w:color="auto"/>
              <w:left w:val="single" w:sz="18" w:space="0" w:color="0070C0"/>
              <w:bottom w:val="single" w:sz="4" w:space="0" w:color="000000"/>
              <w:right w:val="single" w:sz="8" w:space="0" w:color="0070C0"/>
            </w:tcBorders>
            <w:shd w:val="clear" w:color="auto" w:fill="FF0000"/>
            <w:vAlign w:val="center"/>
          </w:tcPr>
          <w:p w14:paraId="48E52D0B" w14:textId="7EF8A174" w:rsidR="004F56A9" w:rsidRPr="004815C1" w:rsidRDefault="004143A4" w:rsidP="005B42D8">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54</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1AFDDB9C" w14:textId="698D25A9" w:rsidR="004F56A9" w:rsidRPr="004815C1" w:rsidRDefault="004143A4"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124</w:t>
            </w:r>
          </w:p>
        </w:tc>
        <w:tc>
          <w:tcPr>
            <w:tcW w:w="1498" w:type="dxa"/>
            <w:tcBorders>
              <w:top w:val="single" w:sz="4" w:space="0" w:color="auto"/>
              <w:left w:val="single" w:sz="8" w:space="0" w:color="0070C0"/>
              <w:bottom w:val="single" w:sz="4" w:space="0" w:color="000000"/>
              <w:right w:val="single" w:sz="8" w:space="0" w:color="0070C0"/>
            </w:tcBorders>
            <w:shd w:val="clear" w:color="auto" w:fill="D99594" w:themeFill="accent2" w:themeFillTint="99"/>
            <w:vAlign w:val="center"/>
          </w:tcPr>
          <w:p w14:paraId="17DEB6A2" w14:textId="57AD3171" w:rsidR="004F56A9" w:rsidRPr="004815C1" w:rsidRDefault="004143A4"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64</w:t>
            </w:r>
          </w:p>
        </w:tc>
        <w:tc>
          <w:tcPr>
            <w:tcW w:w="1498" w:type="dxa"/>
            <w:tcBorders>
              <w:top w:val="single" w:sz="4" w:space="0" w:color="auto"/>
              <w:left w:val="single" w:sz="8" w:space="0" w:color="0070C0"/>
              <w:bottom w:val="single" w:sz="4" w:space="0" w:color="000000"/>
              <w:right w:val="single" w:sz="8" w:space="0" w:color="0070C0"/>
            </w:tcBorders>
            <w:shd w:val="clear" w:color="auto" w:fill="D99594" w:themeFill="accent2" w:themeFillTint="99"/>
            <w:vAlign w:val="center"/>
          </w:tcPr>
          <w:p w14:paraId="561118DA" w14:textId="26A1FD6E" w:rsidR="004F56A9" w:rsidRPr="004815C1" w:rsidRDefault="004143A4"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66</w:t>
            </w:r>
          </w:p>
        </w:tc>
        <w:tc>
          <w:tcPr>
            <w:tcW w:w="1498" w:type="dxa"/>
            <w:tcBorders>
              <w:top w:val="single" w:sz="4" w:space="0" w:color="auto"/>
              <w:left w:val="single" w:sz="8" w:space="0" w:color="0070C0"/>
              <w:bottom w:val="single" w:sz="4" w:space="0" w:color="000000"/>
              <w:right w:val="single" w:sz="12" w:space="0" w:color="000000"/>
            </w:tcBorders>
            <w:shd w:val="clear" w:color="auto" w:fill="FF0000"/>
            <w:vAlign w:val="center"/>
          </w:tcPr>
          <w:p w14:paraId="68F33F48" w14:textId="7BA9FB56" w:rsidR="004F56A9" w:rsidRPr="004815C1" w:rsidRDefault="004143A4"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50</w:t>
            </w:r>
          </w:p>
        </w:tc>
      </w:tr>
      <w:tr w:rsidR="004F56A9" w:rsidRPr="005D1511" w14:paraId="3E562F8A" w14:textId="77777777" w:rsidTr="004143A4">
        <w:tblPrEx>
          <w:tblBorders>
            <w:top w:val="none" w:sz="0" w:space="0" w:color="auto"/>
          </w:tblBorders>
        </w:tblPrEx>
        <w:trPr>
          <w:jc w:val="center"/>
        </w:trPr>
        <w:tc>
          <w:tcPr>
            <w:tcW w:w="2003" w:type="dxa"/>
            <w:tcBorders>
              <w:top w:val="single" w:sz="4" w:space="0" w:color="000000"/>
              <w:left w:val="single" w:sz="12" w:space="0" w:color="000000"/>
              <w:bottom w:val="single" w:sz="12" w:space="0" w:color="auto"/>
              <w:right w:val="single" w:sz="18" w:space="0" w:color="0070C0"/>
            </w:tcBorders>
            <w:shd w:val="clear" w:color="auto" w:fill="auto"/>
            <w:vAlign w:val="center"/>
          </w:tcPr>
          <w:p w14:paraId="73D686A8" w14:textId="77777777" w:rsidR="004F56A9" w:rsidRPr="004815C1" w:rsidRDefault="004F56A9" w:rsidP="005B42D8">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Silent Generation</w:t>
            </w:r>
          </w:p>
        </w:tc>
        <w:tc>
          <w:tcPr>
            <w:tcW w:w="1492" w:type="dxa"/>
            <w:tcBorders>
              <w:top w:val="single" w:sz="4" w:space="0" w:color="000000"/>
              <w:left w:val="single" w:sz="18" w:space="0" w:color="0070C0"/>
              <w:bottom w:val="single" w:sz="12" w:space="0" w:color="auto"/>
              <w:right w:val="single" w:sz="8" w:space="0" w:color="0070C0"/>
            </w:tcBorders>
            <w:shd w:val="clear" w:color="auto" w:fill="D99594" w:themeFill="accent2" w:themeFillTint="99"/>
            <w:vAlign w:val="center"/>
          </w:tcPr>
          <w:p w14:paraId="07F8DADD" w14:textId="2638F9F5" w:rsidR="004F56A9" w:rsidRPr="004815C1" w:rsidRDefault="004143A4"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63</w:t>
            </w:r>
          </w:p>
        </w:tc>
        <w:tc>
          <w:tcPr>
            <w:tcW w:w="1498" w:type="dxa"/>
            <w:tcBorders>
              <w:top w:val="single" w:sz="4" w:space="0" w:color="000000"/>
              <w:left w:val="single" w:sz="8" w:space="0" w:color="0070C0"/>
              <w:bottom w:val="single" w:sz="12" w:space="0" w:color="auto"/>
              <w:right w:val="single" w:sz="8" w:space="0" w:color="0070C0"/>
            </w:tcBorders>
            <w:shd w:val="clear" w:color="auto" w:fill="C2D69B" w:themeFill="accent3" w:themeFillTint="99"/>
            <w:vAlign w:val="center"/>
          </w:tcPr>
          <w:p w14:paraId="70F0FF43" w14:textId="2D7E56F5" w:rsidR="004F56A9" w:rsidRPr="004815C1" w:rsidRDefault="004143A4"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135</w:t>
            </w:r>
          </w:p>
        </w:tc>
        <w:tc>
          <w:tcPr>
            <w:tcW w:w="1498" w:type="dxa"/>
            <w:tcBorders>
              <w:top w:val="single" w:sz="4" w:space="0" w:color="000000"/>
              <w:left w:val="single" w:sz="8" w:space="0" w:color="0070C0"/>
              <w:bottom w:val="single" w:sz="12" w:space="0" w:color="auto"/>
              <w:right w:val="single" w:sz="8" w:space="0" w:color="0070C0"/>
            </w:tcBorders>
            <w:shd w:val="clear" w:color="auto" w:fill="FF0000"/>
            <w:vAlign w:val="center"/>
          </w:tcPr>
          <w:p w14:paraId="687DA945" w14:textId="7AF117AB" w:rsidR="004F56A9" w:rsidRPr="00B00624" w:rsidRDefault="004143A4"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43</w:t>
            </w:r>
          </w:p>
        </w:tc>
        <w:tc>
          <w:tcPr>
            <w:tcW w:w="1498" w:type="dxa"/>
            <w:tcBorders>
              <w:top w:val="single" w:sz="4" w:space="0" w:color="000000"/>
              <w:left w:val="single" w:sz="8" w:space="0" w:color="0070C0"/>
              <w:bottom w:val="single" w:sz="12" w:space="0" w:color="auto"/>
              <w:right w:val="single" w:sz="8" w:space="0" w:color="0070C0"/>
            </w:tcBorders>
            <w:shd w:val="clear" w:color="auto" w:fill="E5B8B7" w:themeFill="accent2" w:themeFillTint="66"/>
            <w:vAlign w:val="center"/>
          </w:tcPr>
          <w:p w14:paraId="37D3A6B1" w14:textId="62E8084F" w:rsidR="004F56A9" w:rsidRPr="004815C1" w:rsidRDefault="004143A4"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81</w:t>
            </w:r>
          </w:p>
        </w:tc>
        <w:tc>
          <w:tcPr>
            <w:tcW w:w="1498" w:type="dxa"/>
            <w:tcBorders>
              <w:top w:val="single" w:sz="4" w:space="0" w:color="000000"/>
              <w:left w:val="single" w:sz="8" w:space="0" w:color="0070C0"/>
              <w:bottom w:val="single" w:sz="12" w:space="0" w:color="auto"/>
              <w:right w:val="single" w:sz="12" w:space="0" w:color="000000"/>
            </w:tcBorders>
            <w:shd w:val="clear" w:color="auto" w:fill="92D050"/>
            <w:vAlign w:val="center"/>
          </w:tcPr>
          <w:p w14:paraId="4DAE99FC" w14:textId="1405E0AA" w:rsidR="004F56A9" w:rsidRPr="004815C1" w:rsidRDefault="004143A4"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173</w:t>
            </w:r>
          </w:p>
        </w:tc>
      </w:tr>
    </w:tbl>
    <w:p w14:paraId="057E1BA0" w14:textId="0B6A968E" w:rsidR="00BB7CC3" w:rsidRDefault="004F56A9" w:rsidP="00997401">
      <w:pPr>
        <w:spacing w:after="0" w:line="240" w:lineRule="auto"/>
        <w:contextualSpacing/>
        <w:mirrorIndents/>
        <w:rPr>
          <w:rFonts w:ascii="Verdana" w:hAnsi="Verdana"/>
          <w:sz w:val="20"/>
          <w:szCs w:val="20"/>
        </w:rPr>
      </w:pPr>
      <w:r w:rsidRPr="00573142">
        <w:rPr>
          <w:sz w:val="16"/>
          <w:szCs w:val="16"/>
        </w:rPr>
        <w:t xml:space="preserve">Based on The Media Audit’s 2021 surveys  </w:t>
      </w:r>
      <w:r w:rsidRPr="00573142">
        <w:rPr>
          <w:sz w:val="16"/>
          <w:szCs w:val="16"/>
        </w:rPr>
        <w:tab/>
      </w:r>
      <w:r>
        <w:rPr>
          <w:rFonts w:ascii="Verdana" w:eastAsia="Times New Roman" w:hAnsi="Verdana"/>
          <w:sz w:val="16"/>
          <w:szCs w:val="16"/>
        </w:rPr>
        <w:tab/>
      </w:r>
    </w:p>
    <w:p w14:paraId="0E1D6A03" w14:textId="77777777" w:rsidR="00E37D6F" w:rsidRDefault="00E37D6F" w:rsidP="00997401">
      <w:pPr>
        <w:spacing w:after="0" w:line="240" w:lineRule="auto"/>
        <w:contextualSpacing/>
        <w:mirrorIndents/>
        <w:rPr>
          <w:rFonts w:ascii="Verdana" w:hAnsi="Verdana"/>
          <w:sz w:val="20"/>
          <w:szCs w:val="20"/>
        </w:rPr>
      </w:pPr>
    </w:p>
    <w:p w14:paraId="54274A63" w14:textId="67E31805" w:rsidR="00997401" w:rsidRPr="004143A4" w:rsidRDefault="00997401" w:rsidP="004143A4">
      <w:pPr>
        <w:spacing w:after="0" w:line="240" w:lineRule="auto"/>
        <w:contextualSpacing/>
        <w:mirrorIndents/>
        <w:jc w:val="center"/>
        <w:rPr>
          <w:rFonts w:ascii="Verdana" w:hAnsi="Verdana"/>
          <w:b/>
          <w:bCs/>
          <w:color w:val="0070C0"/>
          <w:sz w:val="20"/>
          <w:szCs w:val="20"/>
        </w:rPr>
      </w:pPr>
      <w:r w:rsidRPr="004143A4">
        <w:rPr>
          <w:rFonts w:ascii="Verdana" w:hAnsi="Verdana"/>
          <w:b/>
          <w:bCs/>
          <w:color w:val="0070C0"/>
          <w:sz w:val="20"/>
          <w:szCs w:val="20"/>
        </w:rPr>
        <w:t>Electricians Benefit from Kitchen Lighting Upgrades</w:t>
      </w:r>
    </w:p>
    <w:p w14:paraId="025D915C" w14:textId="77777777" w:rsidR="00997401" w:rsidRPr="00997401" w:rsidRDefault="00997401" w:rsidP="00997401">
      <w:pPr>
        <w:spacing w:after="0" w:line="240" w:lineRule="auto"/>
        <w:contextualSpacing/>
        <w:mirrorIndents/>
        <w:rPr>
          <w:rFonts w:ascii="Verdana" w:hAnsi="Verdana"/>
          <w:sz w:val="20"/>
          <w:szCs w:val="20"/>
        </w:rPr>
      </w:pPr>
    </w:p>
    <w:p w14:paraId="555C3D67" w14:textId="59D418A1" w:rsidR="004143A4" w:rsidRDefault="00002B64" w:rsidP="00997401">
      <w:pPr>
        <w:spacing w:after="0" w:line="240" w:lineRule="auto"/>
        <w:contextualSpacing/>
        <w:mirrorIndents/>
        <w:rPr>
          <w:rFonts w:ascii="Verdana" w:hAnsi="Verdana"/>
          <w:sz w:val="20"/>
          <w:szCs w:val="20"/>
        </w:rPr>
      </w:pPr>
      <w:r>
        <w:rPr>
          <w:rFonts w:ascii="Verdana" w:hAnsi="Verdana"/>
          <w:sz w:val="20"/>
          <w:szCs w:val="20"/>
        </w:rPr>
        <w:t xml:space="preserve">The largest percentage (43%) of homeowners surveyed for the 2022 Houzz US Kitchen Trends Study said “changing the kitchen layout” was the major change of their kitchen renovation, which required not only contractors, but also electricians. </w:t>
      </w:r>
    </w:p>
    <w:p w14:paraId="49E7314B" w14:textId="77777777" w:rsidR="004143A4" w:rsidRDefault="004143A4" w:rsidP="00997401">
      <w:pPr>
        <w:spacing w:after="0" w:line="240" w:lineRule="auto"/>
        <w:contextualSpacing/>
        <w:mirrorIndents/>
        <w:rPr>
          <w:rFonts w:ascii="Verdana" w:hAnsi="Verdana"/>
          <w:sz w:val="20"/>
          <w:szCs w:val="20"/>
        </w:rPr>
      </w:pPr>
    </w:p>
    <w:p w14:paraId="4B4BCD65" w14:textId="717F9860" w:rsidR="004143A4" w:rsidRDefault="00002B64" w:rsidP="00997401">
      <w:pPr>
        <w:spacing w:after="0" w:line="240" w:lineRule="auto"/>
        <w:contextualSpacing/>
        <w:mirrorIndents/>
        <w:rPr>
          <w:rFonts w:ascii="Verdana" w:hAnsi="Verdana"/>
          <w:sz w:val="20"/>
          <w:szCs w:val="20"/>
        </w:rPr>
      </w:pPr>
      <w:r>
        <w:rPr>
          <w:rFonts w:ascii="Verdana" w:hAnsi="Verdana"/>
          <w:sz w:val="20"/>
          <w:szCs w:val="20"/>
        </w:rPr>
        <w:t>Undercabinet light fixtures and recessed lights tied as the top choices for their kitchen renovation among 66% of surveyed homeowners. Pendant lighting increased in popularity from the 2021 study</w:t>
      </w:r>
      <w:r w:rsidR="00093ACC">
        <w:rPr>
          <w:rFonts w:ascii="Verdana" w:hAnsi="Verdana"/>
          <w:sz w:val="20"/>
          <w:szCs w:val="20"/>
        </w:rPr>
        <w:t xml:space="preserve"> becoming </w:t>
      </w:r>
      <w:r w:rsidR="00CF0AD6">
        <w:rPr>
          <w:rFonts w:ascii="Verdana" w:hAnsi="Verdana"/>
          <w:sz w:val="20"/>
          <w:szCs w:val="20"/>
        </w:rPr>
        <w:t xml:space="preserve">the </w:t>
      </w:r>
      <w:r w:rsidR="00093ACC">
        <w:rPr>
          <w:rFonts w:ascii="Verdana" w:hAnsi="Verdana"/>
          <w:sz w:val="20"/>
          <w:szCs w:val="20"/>
        </w:rPr>
        <w:t>top choice of 57% of homeowners.</w:t>
      </w:r>
    </w:p>
    <w:p w14:paraId="5C25CEC8" w14:textId="317AC1E6" w:rsidR="00093ACC" w:rsidRDefault="00093ACC" w:rsidP="00997401">
      <w:pPr>
        <w:spacing w:after="0" w:line="240" w:lineRule="auto"/>
        <w:contextualSpacing/>
        <w:mirrorIndents/>
        <w:rPr>
          <w:rFonts w:ascii="Verdana" w:hAnsi="Verdana"/>
          <w:sz w:val="20"/>
          <w:szCs w:val="20"/>
        </w:rPr>
      </w:pPr>
    </w:p>
    <w:p w14:paraId="4D6D55F7" w14:textId="35D653A9" w:rsidR="00093ACC" w:rsidRDefault="00093ACC" w:rsidP="00997401">
      <w:pPr>
        <w:spacing w:after="0" w:line="240" w:lineRule="auto"/>
        <w:contextualSpacing/>
        <w:mirrorIndents/>
        <w:rPr>
          <w:rFonts w:ascii="Verdana" w:hAnsi="Verdana"/>
          <w:sz w:val="20"/>
          <w:szCs w:val="20"/>
        </w:rPr>
      </w:pPr>
      <w:r>
        <w:rPr>
          <w:rFonts w:ascii="Verdana" w:hAnsi="Verdana"/>
          <w:sz w:val="20"/>
          <w:szCs w:val="20"/>
        </w:rPr>
        <w:t>More than twice as many homeowners chose pendant lighting as the top fixture above an upgraded kitchen island versus recessed lighting, or 67% and 30%, respectively. Slightly more (39%) wanted two light fixtures than three fixtures (36%).</w:t>
      </w:r>
    </w:p>
    <w:p w14:paraId="261D36B9" w14:textId="77777777" w:rsidR="004143A4" w:rsidRDefault="004143A4" w:rsidP="00997401">
      <w:pPr>
        <w:spacing w:after="0" w:line="240" w:lineRule="auto"/>
        <w:contextualSpacing/>
        <w:mirrorIndents/>
        <w:rPr>
          <w:rFonts w:ascii="Verdana" w:hAnsi="Verdana"/>
          <w:sz w:val="20"/>
          <w:szCs w:val="20"/>
        </w:rPr>
      </w:pPr>
    </w:p>
    <w:p w14:paraId="764C818A" w14:textId="2664637E" w:rsidR="00984421" w:rsidRDefault="00984421" w:rsidP="00984421">
      <w:pPr>
        <w:spacing w:after="0" w:line="240" w:lineRule="auto"/>
        <w:contextualSpacing/>
        <w:mirrorIndents/>
        <w:jc w:val="center"/>
        <w:rPr>
          <w:b/>
          <w:bCs/>
          <w:sz w:val="20"/>
          <w:szCs w:val="20"/>
        </w:rPr>
      </w:pPr>
      <w:r>
        <w:rPr>
          <w:b/>
          <w:bCs/>
          <w:sz w:val="20"/>
          <w:szCs w:val="20"/>
        </w:rPr>
        <w:t xml:space="preserve">Indices of Adults 18+ Who Plan an Electrical Home Improvement Project </w:t>
      </w:r>
    </w:p>
    <w:p w14:paraId="701290E1" w14:textId="77777777" w:rsidR="00984421" w:rsidRPr="005D1511" w:rsidRDefault="00984421" w:rsidP="00984421">
      <w:pPr>
        <w:spacing w:after="0" w:line="240" w:lineRule="auto"/>
        <w:contextualSpacing/>
        <w:mirrorIndents/>
        <w:jc w:val="center"/>
        <w:rPr>
          <w:b/>
          <w:bCs/>
          <w:sz w:val="20"/>
          <w:szCs w:val="20"/>
        </w:rPr>
      </w:pPr>
      <w:r>
        <w:rPr>
          <w:b/>
          <w:bCs/>
          <w:sz w:val="20"/>
          <w:szCs w:val="20"/>
        </w:rPr>
        <w:t>During the Next 12 Months by Generation, in Selected Markets</w:t>
      </w:r>
      <w:r w:rsidRPr="005D1511">
        <w:rPr>
          <w:b/>
          <w:bCs/>
          <w:sz w:val="20"/>
          <w:szCs w:val="20"/>
        </w:rPr>
        <w:t>, 202</w:t>
      </w:r>
      <w:r>
        <w:rPr>
          <w:b/>
          <w:bCs/>
          <w:sz w:val="20"/>
          <w:szCs w:val="20"/>
        </w:rPr>
        <w:t>1</w:t>
      </w:r>
    </w:p>
    <w:tbl>
      <w:tblPr>
        <w:tblW w:w="9487"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2003"/>
        <w:gridCol w:w="1492"/>
        <w:gridCol w:w="1498"/>
        <w:gridCol w:w="1498"/>
        <w:gridCol w:w="1498"/>
        <w:gridCol w:w="1498"/>
      </w:tblGrid>
      <w:tr w:rsidR="00984421" w:rsidRPr="005D1511" w14:paraId="2B7824D5" w14:textId="77777777" w:rsidTr="002F44B2">
        <w:trPr>
          <w:jc w:val="center"/>
        </w:trPr>
        <w:tc>
          <w:tcPr>
            <w:tcW w:w="2003" w:type="dxa"/>
            <w:tcBorders>
              <w:top w:val="single" w:sz="12" w:space="0" w:color="000000"/>
              <w:left w:val="single" w:sz="12" w:space="0" w:color="000000"/>
              <w:bottom w:val="single" w:sz="18" w:space="0" w:color="C0504D" w:themeColor="accent2"/>
              <w:right w:val="single" w:sz="18" w:space="0" w:color="0070C0"/>
            </w:tcBorders>
            <w:shd w:val="clear" w:color="auto" w:fill="auto"/>
            <w:vAlign w:val="center"/>
          </w:tcPr>
          <w:p w14:paraId="134CEA6C" w14:textId="77777777" w:rsidR="00984421" w:rsidRPr="004815C1" w:rsidRDefault="00984421" w:rsidP="002F44B2">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Generation</w:t>
            </w:r>
          </w:p>
        </w:tc>
        <w:tc>
          <w:tcPr>
            <w:tcW w:w="1492" w:type="dxa"/>
            <w:tcBorders>
              <w:top w:val="single" w:sz="12" w:space="0" w:color="000000"/>
              <w:left w:val="single" w:sz="18" w:space="0" w:color="0070C0"/>
              <w:bottom w:val="single" w:sz="18" w:space="0" w:color="C0504D" w:themeColor="accent2"/>
              <w:right w:val="single" w:sz="8" w:space="0" w:color="0070C0"/>
            </w:tcBorders>
            <w:shd w:val="clear" w:color="auto" w:fill="auto"/>
            <w:vAlign w:val="center"/>
          </w:tcPr>
          <w:p w14:paraId="08C9ED41" w14:textId="2BA6CCB6" w:rsidR="00984421" w:rsidRPr="004815C1" w:rsidRDefault="00984421" w:rsidP="002F44B2">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Miami-Ft. Lauderdale</w:t>
            </w:r>
          </w:p>
        </w:tc>
        <w:tc>
          <w:tcPr>
            <w:tcW w:w="1498"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459F9D0C" w14:textId="51EA8607" w:rsidR="00984421" w:rsidRPr="004815C1" w:rsidRDefault="00984421" w:rsidP="002F44B2">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Indianapolis</w:t>
            </w:r>
          </w:p>
        </w:tc>
        <w:tc>
          <w:tcPr>
            <w:tcW w:w="1498"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1758A550" w14:textId="7C1E999F" w:rsidR="00984421" w:rsidRPr="004815C1" w:rsidRDefault="00984421" w:rsidP="002F44B2">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Little Rock</w:t>
            </w:r>
          </w:p>
        </w:tc>
        <w:tc>
          <w:tcPr>
            <w:tcW w:w="1498"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3ECA9A45" w14:textId="744D4FBE" w:rsidR="00984421" w:rsidRPr="004815C1" w:rsidRDefault="00DA62F9" w:rsidP="002F44B2">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Austin</w:t>
            </w:r>
          </w:p>
        </w:tc>
        <w:tc>
          <w:tcPr>
            <w:tcW w:w="1498" w:type="dxa"/>
            <w:tcBorders>
              <w:top w:val="single" w:sz="12" w:space="0" w:color="000000"/>
              <w:left w:val="single" w:sz="8" w:space="0" w:color="0070C0"/>
              <w:bottom w:val="single" w:sz="18" w:space="0" w:color="C0504D" w:themeColor="accent2"/>
              <w:right w:val="single" w:sz="12" w:space="0" w:color="000000"/>
            </w:tcBorders>
            <w:shd w:val="clear" w:color="auto" w:fill="auto"/>
            <w:vAlign w:val="center"/>
          </w:tcPr>
          <w:p w14:paraId="7D8D2959" w14:textId="422B3A79" w:rsidR="00984421" w:rsidRPr="004815C1" w:rsidRDefault="00DA62F9" w:rsidP="002F44B2">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Phoenix</w:t>
            </w:r>
          </w:p>
        </w:tc>
      </w:tr>
      <w:tr w:rsidR="00984421" w:rsidRPr="005D1511" w14:paraId="631EAB18" w14:textId="77777777" w:rsidTr="006E538A">
        <w:tblPrEx>
          <w:tblBorders>
            <w:top w:val="none" w:sz="0" w:space="0" w:color="auto"/>
          </w:tblBorders>
        </w:tblPrEx>
        <w:trPr>
          <w:jc w:val="center"/>
        </w:trPr>
        <w:tc>
          <w:tcPr>
            <w:tcW w:w="2003" w:type="dxa"/>
            <w:tcBorders>
              <w:top w:val="single" w:sz="18" w:space="0" w:color="C0504D" w:themeColor="accent2"/>
              <w:left w:val="single" w:sz="12" w:space="0" w:color="000000"/>
              <w:bottom w:val="single" w:sz="4" w:space="0" w:color="000000"/>
              <w:right w:val="single" w:sz="18" w:space="0" w:color="0070C0"/>
            </w:tcBorders>
            <w:shd w:val="clear" w:color="auto" w:fill="auto"/>
            <w:vAlign w:val="center"/>
          </w:tcPr>
          <w:p w14:paraId="3B29CFA1" w14:textId="77777777" w:rsidR="00984421" w:rsidRPr="004815C1" w:rsidRDefault="00984421" w:rsidP="005B42D8">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Gen Z</w:t>
            </w:r>
          </w:p>
        </w:tc>
        <w:tc>
          <w:tcPr>
            <w:tcW w:w="1492" w:type="dxa"/>
            <w:tcBorders>
              <w:top w:val="single" w:sz="18" w:space="0" w:color="C0504D" w:themeColor="accent2"/>
              <w:left w:val="single" w:sz="18" w:space="0" w:color="0070C0"/>
              <w:bottom w:val="single" w:sz="4" w:space="0" w:color="auto"/>
              <w:right w:val="single" w:sz="8" w:space="0" w:color="0070C0"/>
            </w:tcBorders>
            <w:shd w:val="clear" w:color="auto" w:fill="00B050"/>
            <w:vAlign w:val="center"/>
          </w:tcPr>
          <w:p w14:paraId="4E0F1B92" w14:textId="15D2C41E" w:rsidR="00984421" w:rsidRPr="004815C1" w:rsidRDefault="00FC49C7"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168</w:t>
            </w:r>
          </w:p>
        </w:tc>
        <w:tc>
          <w:tcPr>
            <w:tcW w:w="1498" w:type="dxa"/>
            <w:tcBorders>
              <w:top w:val="single" w:sz="18" w:space="0" w:color="C0504D" w:themeColor="accent2"/>
              <w:left w:val="single" w:sz="8" w:space="0" w:color="0070C0"/>
              <w:bottom w:val="single" w:sz="4" w:space="0" w:color="auto"/>
              <w:right w:val="single" w:sz="8" w:space="0" w:color="0070C0"/>
            </w:tcBorders>
            <w:shd w:val="clear" w:color="auto" w:fill="EAF1DD" w:themeFill="accent3" w:themeFillTint="33"/>
            <w:vAlign w:val="center"/>
          </w:tcPr>
          <w:p w14:paraId="34A17FD7" w14:textId="19010163" w:rsidR="00984421" w:rsidRPr="004815C1" w:rsidRDefault="00FC49C7"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107</w:t>
            </w:r>
          </w:p>
        </w:tc>
        <w:tc>
          <w:tcPr>
            <w:tcW w:w="1498" w:type="dxa"/>
            <w:tcBorders>
              <w:top w:val="single" w:sz="18" w:space="0" w:color="C0504D" w:themeColor="accent2"/>
              <w:left w:val="single" w:sz="8" w:space="0" w:color="0070C0"/>
              <w:bottom w:val="single" w:sz="4" w:space="0" w:color="auto"/>
              <w:right w:val="single" w:sz="8" w:space="0" w:color="0070C0"/>
            </w:tcBorders>
            <w:shd w:val="clear" w:color="auto" w:fill="C2D69B" w:themeFill="accent3" w:themeFillTint="99"/>
            <w:vAlign w:val="center"/>
          </w:tcPr>
          <w:p w14:paraId="32B21FBE" w14:textId="7716A511" w:rsidR="00984421" w:rsidRPr="004815C1" w:rsidRDefault="00FC49C7"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137</w:t>
            </w:r>
          </w:p>
        </w:tc>
        <w:tc>
          <w:tcPr>
            <w:tcW w:w="1498" w:type="dxa"/>
            <w:tcBorders>
              <w:top w:val="single" w:sz="18" w:space="0" w:color="C0504D" w:themeColor="accent2"/>
              <w:left w:val="single" w:sz="8" w:space="0" w:color="0070C0"/>
              <w:bottom w:val="single" w:sz="4" w:space="0" w:color="auto"/>
              <w:right w:val="single" w:sz="8" w:space="0" w:color="0070C0"/>
            </w:tcBorders>
            <w:shd w:val="clear" w:color="auto" w:fill="EAF1DD" w:themeFill="accent3" w:themeFillTint="33"/>
            <w:vAlign w:val="center"/>
          </w:tcPr>
          <w:p w14:paraId="76787E2F" w14:textId="3A3F2413" w:rsidR="00984421" w:rsidRPr="004815C1" w:rsidRDefault="00FC49C7"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109</w:t>
            </w:r>
          </w:p>
        </w:tc>
        <w:tc>
          <w:tcPr>
            <w:tcW w:w="1498" w:type="dxa"/>
            <w:tcBorders>
              <w:top w:val="single" w:sz="18" w:space="0" w:color="C0504D" w:themeColor="accent2"/>
              <w:left w:val="single" w:sz="8" w:space="0" w:color="0070C0"/>
              <w:bottom w:val="single" w:sz="4" w:space="0" w:color="auto"/>
              <w:right w:val="single" w:sz="12" w:space="0" w:color="000000"/>
            </w:tcBorders>
            <w:shd w:val="clear" w:color="auto" w:fill="E5B8B7" w:themeFill="accent2" w:themeFillTint="66"/>
            <w:vAlign w:val="center"/>
          </w:tcPr>
          <w:p w14:paraId="078DB9D4" w14:textId="78E07F29" w:rsidR="00984421" w:rsidRPr="004815C1" w:rsidRDefault="00FC49C7" w:rsidP="005B42D8">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82</w:t>
            </w:r>
          </w:p>
        </w:tc>
      </w:tr>
      <w:tr w:rsidR="00984421" w:rsidRPr="005D1511" w14:paraId="7E08AD33" w14:textId="77777777" w:rsidTr="006E538A">
        <w:tblPrEx>
          <w:tblBorders>
            <w:top w:val="none" w:sz="0" w:space="0" w:color="auto"/>
          </w:tblBorders>
        </w:tblPrEx>
        <w:trPr>
          <w:jc w:val="center"/>
        </w:trPr>
        <w:tc>
          <w:tcPr>
            <w:tcW w:w="200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2A969096" w14:textId="77777777" w:rsidR="00984421" w:rsidRPr="004815C1" w:rsidRDefault="00984421" w:rsidP="005B42D8">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Millennials</w:t>
            </w:r>
          </w:p>
        </w:tc>
        <w:tc>
          <w:tcPr>
            <w:tcW w:w="1492" w:type="dxa"/>
            <w:tcBorders>
              <w:top w:val="single" w:sz="4" w:space="0" w:color="auto"/>
              <w:left w:val="single" w:sz="18" w:space="0" w:color="0070C0"/>
              <w:bottom w:val="single" w:sz="4" w:space="0" w:color="000000"/>
              <w:right w:val="single" w:sz="8" w:space="0" w:color="0070C0"/>
            </w:tcBorders>
            <w:shd w:val="clear" w:color="auto" w:fill="C2D69B" w:themeFill="accent3" w:themeFillTint="99"/>
            <w:vAlign w:val="center"/>
          </w:tcPr>
          <w:p w14:paraId="6D358E4D" w14:textId="074CD13D" w:rsidR="00984421" w:rsidRPr="004815C1" w:rsidRDefault="00FC49C7"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146</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3AA10893" w14:textId="01092E36" w:rsidR="00984421" w:rsidRPr="004815C1" w:rsidRDefault="00FC49C7"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139</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4ED2B8C2" w14:textId="23227ED9" w:rsidR="00984421" w:rsidRPr="004815C1" w:rsidRDefault="00FC49C7"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131</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0506BDA7" w14:textId="261355F7" w:rsidR="00984421" w:rsidRPr="004815C1" w:rsidRDefault="00FC49C7"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127</w:t>
            </w:r>
          </w:p>
        </w:tc>
        <w:tc>
          <w:tcPr>
            <w:tcW w:w="1498" w:type="dxa"/>
            <w:tcBorders>
              <w:top w:val="single" w:sz="4" w:space="0" w:color="auto"/>
              <w:left w:val="single" w:sz="8" w:space="0" w:color="0070C0"/>
              <w:bottom w:val="single" w:sz="4" w:space="0" w:color="000000"/>
              <w:right w:val="single" w:sz="12" w:space="0" w:color="000000"/>
            </w:tcBorders>
            <w:shd w:val="clear" w:color="auto" w:fill="C2D69B" w:themeFill="accent3" w:themeFillTint="99"/>
            <w:vAlign w:val="center"/>
          </w:tcPr>
          <w:p w14:paraId="6EA6549B" w14:textId="1ABC5383" w:rsidR="00984421" w:rsidRPr="00B00624" w:rsidRDefault="00FC49C7"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143</w:t>
            </w:r>
          </w:p>
        </w:tc>
      </w:tr>
      <w:tr w:rsidR="00984421" w:rsidRPr="005D1511" w14:paraId="33CC153A" w14:textId="77777777" w:rsidTr="006E538A">
        <w:tblPrEx>
          <w:tblBorders>
            <w:top w:val="none" w:sz="0" w:space="0" w:color="auto"/>
          </w:tblBorders>
        </w:tblPrEx>
        <w:trPr>
          <w:jc w:val="center"/>
        </w:trPr>
        <w:tc>
          <w:tcPr>
            <w:tcW w:w="200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2DE97723" w14:textId="77777777" w:rsidR="00984421" w:rsidRDefault="00984421" w:rsidP="005B42D8">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Gen X</w:t>
            </w:r>
          </w:p>
        </w:tc>
        <w:tc>
          <w:tcPr>
            <w:tcW w:w="1492" w:type="dxa"/>
            <w:tcBorders>
              <w:top w:val="single" w:sz="4" w:space="0" w:color="auto"/>
              <w:left w:val="single" w:sz="18" w:space="0" w:color="0070C0"/>
              <w:bottom w:val="single" w:sz="4" w:space="0" w:color="000000"/>
              <w:right w:val="single" w:sz="8" w:space="0" w:color="0070C0"/>
            </w:tcBorders>
            <w:shd w:val="clear" w:color="auto" w:fill="F2DBDB" w:themeFill="accent2" w:themeFillTint="33"/>
            <w:vAlign w:val="center"/>
          </w:tcPr>
          <w:p w14:paraId="708C4C0F" w14:textId="3213F51B" w:rsidR="00984421" w:rsidRDefault="00493053"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98</w:t>
            </w:r>
          </w:p>
        </w:tc>
        <w:tc>
          <w:tcPr>
            <w:tcW w:w="1498"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514ECD31" w14:textId="5338BC9A" w:rsidR="00984421" w:rsidRDefault="00493053"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105</w:t>
            </w:r>
          </w:p>
        </w:tc>
        <w:tc>
          <w:tcPr>
            <w:tcW w:w="1498" w:type="dxa"/>
            <w:tcBorders>
              <w:top w:val="single" w:sz="4" w:space="0" w:color="auto"/>
              <w:left w:val="single" w:sz="8" w:space="0" w:color="0070C0"/>
              <w:bottom w:val="single" w:sz="4" w:space="0" w:color="000000"/>
              <w:right w:val="single" w:sz="8" w:space="0" w:color="0070C0"/>
            </w:tcBorders>
            <w:shd w:val="clear" w:color="auto" w:fill="E5B8B7" w:themeFill="accent2" w:themeFillTint="66"/>
            <w:vAlign w:val="center"/>
          </w:tcPr>
          <w:p w14:paraId="5722A073" w14:textId="4CCBAE06" w:rsidR="00984421" w:rsidRDefault="00493053"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87</w:t>
            </w:r>
          </w:p>
        </w:tc>
        <w:tc>
          <w:tcPr>
            <w:tcW w:w="1498" w:type="dxa"/>
            <w:tcBorders>
              <w:top w:val="single" w:sz="4" w:space="0" w:color="auto"/>
              <w:left w:val="single" w:sz="8" w:space="0" w:color="0070C0"/>
              <w:bottom w:val="single" w:sz="4" w:space="0" w:color="000000"/>
              <w:right w:val="single" w:sz="8" w:space="0" w:color="0070C0"/>
            </w:tcBorders>
            <w:shd w:val="clear" w:color="auto" w:fill="D99594" w:themeFill="accent2" w:themeFillTint="99"/>
            <w:vAlign w:val="center"/>
          </w:tcPr>
          <w:p w14:paraId="667238D6" w14:textId="78D3B9A1" w:rsidR="00984421" w:rsidRDefault="00493053"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70</w:t>
            </w:r>
          </w:p>
        </w:tc>
        <w:tc>
          <w:tcPr>
            <w:tcW w:w="1498" w:type="dxa"/>
            <w:tcBorders>
              <w:top w:val="single" w:sz="4" w:space="0" w:color="auto"/>
              <w:left w:val="single" w:sz="8" w:space="0" w:color="0070C0"/>
              <w:bottom w:val="single" w:sz="4" w:space="0" w:color="000000"/>
              <w:right w:val="single" w:sz="12" w:space="0" w:color="000000"/>
            </w:tcBorders>
            <w:shd w:val="clear" w:color="auto" w:fill="D6E3BC" w:themeFill="accent3" w:themeFillTint="66"/>
            <w:vAlign w:val="center"/>
          </w:tcPr>
          <w:p w14:paraId="46FB5A82" w14:textId="0A7C18F6" w:rsidR="00984421" w:rsidRDefault="00493053"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111</w:t>
            </w:r>
          </w:p>
        </w:tc>
      </w:tr>
      <w:tr w:rsidR="00984421" w:rsidRPr="005D1511" w14:paraId="3BEDAB44" w14:textId="77777777" w:rsidTr="006E538A">
        <w:tblPrEx>
          <w:tblBorders>
            <w:top w:val="none" w:sz="0" w:space="0" w:color="auto"/>
          </w:tblBorders>
        </w:tblPrEx>
        <w:trPr>
          <w:jc w:val="center"/>
        </w:trPr>
        <w:tc>
          <w:tcPr>
            <w:tcW w:w="200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37573068" w14:textId="77777777" w:rsidR="00984421" w:rsidRPr="004815C1" w:rsidRDefault="00984421" w:rsidP="005B42D8">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Baby Boomers</w:t>
            </w:r>
          </w:p>
        </w:tc>
        <w:tc>
          <w:tcPr>
            <w:tcW w:w="1492" w:type="dxa"/>
            <w:tcBorders>
              <w:top w:val="single" w:sz="4" w:space="0" w:color="auto"/>
              <w:left w:val="single" w:sz="18" w:space="0" w:color="0070C0"/>
              <w:bottom w:val="single" w:sz="4" w:space="0" w:color="000000"/>
              <w:right w:val="single" w:sz="8" w:space="0" w:color="0070C0"/>
            </w:tcBorders>
            <w:shd w:val="clear" w:color="auto" w:fill="FF0000"/>
            <w:vAlign w:val="center"/>
          </w:tcPr>
          <w:p w14:paraId="26E8D38F" w14:textId="17C10323" w:rsidR="00984421" w:rsidRPr="004815C1" w:rsidRDefault="00493053" w:rsidP="005B42D8">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36</w:t>
            </w:r>
          </w:p>
        </w:tc>
        <w:tc>
          <w:tcPr>
            <w:tcW w:w="1498" w:type="dxa"/>
            <w:tcBorders>
              <w:top w:val="single" w:sz="4" w:space="0" w:color="auto"/>
              <w:left w:val="single" w:sz="8" w:space="0" w:color="0070C0"/>
              <w:bottom w:val="single" w:sz="4" w:space="0" w:color="000000"/>
              <w:right w:val="single" w:sz="8" w:space="0" w:color="0070C0"/>
            </w:tcBorders>
            <w:shd w:val="clear" w:color="auto" w:fill="D99594" w:themeFill="accent2" w:themeFillTint="99"/>
            <w:vAlign w:val="center"/>
          </w:tcPr>
          <w:p w14:paraId="4D08DD41" w14:textId="7DF6C695" w:rsidR="00984421" w:rsidRPr="004815C1" w:rsidRDefault="00493053"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73</w:t>
            </w:r>
          </w:p>
        </w:tc>
        <w:tc>
          <w:tcPr>
            <w:tcW w:w="1498" w:type="dxa"/>
            <w:tcBorders>
              <w:top w:val="single" w:sz="4" w:space="0" w:color="auto"/>
              <w:left w:val="single" w:sz="8" w:space="0" w:color="0070C0"/>
              <w:bottom w:val="single" w:sz="4" w:space="0" w:color="000000"/>
              <w:right w:val="single" w:sz="8" w:space="0" w:color="0070C0"/>
            </w:tcBorders>
            <w:shd w:val="clear" w:color="auto" w:fill="F2DBDB" w:themeFill="accent2" w:themeFillTint="33"/>
            <w:vAlign w:val="center"/>
          </w:tcPr>
          <w:p w14:paraId="681CEB51" w14:textId="0317CE14" w:rsidR="00984421" w:rsidRPr="004815C1" w:rsidRDefault="00493053"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95</w:t>
            </w:r>
          </w:p>
        </w:tc>
        <w:tc>
          <w:tcPr>
            <w:tcW w:w="1498" w:type="dxa"/>
            <w:tcBorders>
              <w:top w:val="single" w:sz="4" w:space="0" w:color="auto"/>
              <w:left w:val="single" w:sz="8" w:space="0" w:color="0070C0"/>
              <w:bottom w:val="single" w:sz="4" w:space="0" w:color="000000"/>
              <w:right w:val="single" w:sz="8" w:space="0" w:color="0070C0"/>
            </w:tcBorders>
            <w:shd w:val="clear" w:color="auto" w:fill="E5B8B7" w:themeFill="accent2" w:themeFillTint="66"/>
            <w:vAlign w:val="center"/>
          </w:tcPr>
          <w:p w14:paraId="387C6110" w14:textId="795A1850" w:rsidR="00984421" w:rsidRPr="004815C1" w:rsidRDefault="00493053"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82</w:t>
            </w:r>
          </w:p>
        </w:tc>
        <w:tc>
          <w:tcPr>
            <w:tcW w:w="1498" w:type="dxa"/>
            <w:tcBorders>
              <w:top w:val="single" w:sz="4" w:space="0" w:color="auto"/>
              <w:left w:val="single" w:sz="8" w:space="0" w:color="0070C0"/>
              <w:bottom w:val="single" w:sz="4" w:space="0" w:color="000000"/>
              <w:right w:val="single" w:sz="12" w:space="0" w:color="000000"/>
            </w:tcBorders>
            <w:shd w:val="clear" w:color="auto" w:fill="FF0000"/>
            <w:vAlign w:val="center"/>
          </w:tcPr>
          <w:p w14:paraId="16A4661A" w14:textId="5A4DB8F9" w:rsidR="00984421" w:rsidRPr="004815C1" w:rsidRDefault="00493053"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46</w:t>
            </w:r>
          </w:p>
        </w:tc>
      </w:tr>
      <w:tr w:rsidR="00984421" w:rsidRPr="005D1511" w14:paraId="651780B5" w14:textId="77777777" w:rsidTr="006E538A">
        <w:tblPrEx>
          <w:tblBorders>
            <w:top w:val="none" w:sz="0" w:space="0" w:color="auto"/>
          </w:tblBorders>
        </w:tblPrEx>
        <w:trPr>
          <w:jc w:val="center"/>
        </w:trPr>
        <w:tc>
          <w:tcPr>
            <w:tcW w:w="2003" w:type="dxa"/>
            <w:tcBorders>
              <w:top w:val="single" w:sz="4" w:space="0" w:color="000000"/>
              <w:left w:val="single" w:sz="12" w:space="0" w:color="000000"/>
              <w:bottom w:val="single" w:sz="12" w:space="0" w:color="auto"/>
              <w:right w:val="single" w:sz="18" w:space="0" w:color="0070C0"/>
            </w:tcBorders>
            <w:shd w:val="clear" w:color="auto" w:fill="auto"/>
            <w:vAlign w:val="center"/>
          </w:tcPr>
          <w:p w14:paraId="27D035E8" w14:textId="77777777" w:rsidR="00984421" w:rsidRPr="004815C1" w:rsidRDefault="00984421" w:rsidP="005B42D8">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Silent Generation</w:t>
            </w:r>
          </w:p>
        </w:tc>
        <w:tc>
          <w:tcPr>
            <w:tcW w:w="1492" w:type="dxa"/>
            <w:tcBorders>
              <w:top w:val="single" w:sz="4" w:space="0" w:color="000000"/>
              <w:left w:val="single" w:sz="18" w:space="0" w:color="0070C0"/>
              <w:bottom w:val="single" w:sz="12" w:space="0" w:color="auto"/>
              <w:right w:val="single" w:sz="8" w:space="0" w:color="0070C0"/>
            </w:tcBorders>
            <w:shd w:val="clear" w:color="auto" w:fill="FF0000"/>
            <w:vAlign w:val="center"/>
          </w:tcPr>
          <w:p w14:paraId="79B0D5D3" w14:textId="7E009410" w:rsidR="00984421" w:rsidRPr="004815C1" w:rsidRDefault="00493053"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45</w:t>
            </w:r>
          </w:p>
        </w:tc>
        <w:tc>
          <w:tcPr>
            <w:tcW w:w="1498" w:type="dxa"/>
            <w:tcBorders>
              <w:top w:val="single" w:sz="4" w:space="0" w:color="000000"/>
              <w:left w:val="single" w:sz="8" w:space="0" w:color="0070C0"/>
              <w:bottom w:val="single" w:sz="12" w:space="0" w:color="auto"/>
              <w:right w:val="single" w:sz="8" w:space="0" w:color="0070C0"/>
            </w:tcBorders>
            <w:shd w:val="clear" w:color="auto" w:fill="FF0000"/>
            <w:vAlign w:val="center"/>
          </w:tcPr>
          <w:p w14:paraId="100809F9" w14:textId="004DEF88" w:rsidR="00984421" w:rsidRPr="004815C1" w:rsidRDefault="00493053"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28</w:t>
            </w:r>
          </w:p>
        </w:tc>
        <w:tc>
          <w:tcPr>
            <w:tcW w:w="1498" w:type="dxa"/>
            <w:tcBorders>
              <w:top w:val="single" w:sz="4" w:space="0" w:color="000000"/>
              <w:left w:val="single" w:sz="8" w:space="0" w:color="0070C0"/>
              <w:bottom w:val="single" w:sz="12" w:space="0" w:color="auto"/>
              <w:right w:val="single" w:sz="8" w:space="0" w:color="0070C0"/>
            </w:tcBorders>
            <w:shd w:val="clear" w:color="auto" w:fill="F2F2F2" w:themeFill="background1" w:themeFillShade="F2"/>
            <w:vAlign w:val="center"/>
          </w:tcPr>
          <w:p w14:paraId="1F7354EC" w14:textId="48EAEBEE" w:rsidR="00984421" w:rsidRPr="00B00624" w:rsidRDefault="00493053"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w:t>
            </w:r>
          </w:p>
        </w:tc>
        <w:tc>
          <w:tcPr>
            <w:tcW w:w="1498" w:type="dxa"/>
            <w:tcBorders>
              <w:top w:val="single" w:sz="4" w:space="0" w:color="000000"/>
              <w:left w:val="single" w:sz="8" w:space="0" w:color="0070C0"/>
              <w:bottom w:val="single" w:sz="12" w:space="0" w:color="auto"/>
              <w:right w:val="single" w:sz="8" w:space="0" w:color="0070C0"/>
            </w:tcBorders>
            <w:shd w:val="clear" w:color="auto" w:fill="FF0000"/>
            <w:vAlign w:val="center"/>
          </w:tcPr>
          <w:p w14:paraId="268DB5CE" w14:textId="31EEDBCD" w:rsidR="00984421" w:rsidRPr="004815C1" w:rsidRDefault="00493053"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23</w:t>
            </w:r>
          </w:p>
        </w:tc>
        <w:tc>
          <w:tcPr>
            <w:tcW w:w="1498" w:type="dxa"/>
            <w:tcBorders>
              <w:top w:val="single" w:sz="4" w:space="0" w:color="000000"/>
              <w:left w:val="single" w:sz="8" w:space="0" w:color="0070C0"/>
              <w:bottom w:val="single" w:sz="12" w:space="0" w:color="auto"/>
              <w:right w:val="single" w:sz="12" w:space="0" w:color="000000"/>
            </w:tcBorders>
            <w:shd w:val="clear" w:color="auto" w:fill="F2DBDB" w:themeFill="accent2" w:themeFillTint="33"/>
            <w:vAlign w:val="center"/>
          </w:tcPr>
          <w:p w14:paraId="25847209" w14:textId="2C32A176" w:rsidR="00493053" w:rsidRPr="00493053" w:rsidRDefault="00493053" w:rsidP="00493053">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91</w:t>
            </w:r>
          </w:p>
        </w:tc>
      </w:tr>
    </w:tbl>
    <w:p w14:paraId="4423E549" w14:textId="23FEF6FD" w:rsidR="004143A4" w:rsidRDefault="00984421" w:rsidP="00997401">
      <w:pPr>
        <w:spacing w:after="0" w:line="240" w:lineRule="auto"/>
        <w:contextualSpacing/>
        <w:mirrorIndents/>
        <w:rPr>
          <w:rFonts w:ascii="Verdana" w:hAnsi="Verdana"/>
          <w:sz w:val="20"/>
          <w:szCs w:val="20"/>
        </w:rPr>
      </w:pPr>
      <w:r w:rsidRPr="00573142">
        <w:rPr>
          <w:sz w:val="16"/>
          <w:szCs w:val="16"/>
        </w:rPr>
        <w:t xml:space="preserve">Based on The Media Audit’s 2021 surveys  </w:t>
      </w:r>
      <w:r w:rsidRPr="00573142">
        <w:rPr>
          <w:sz w:val="16"/>
          <w:szCs w:val="16"/>
        </w:rPr>
        <w:tab/>
      </w:r>
      <w:r w:rsidR="00493053">
        <w:rPr>
          <w:sz w:val="16"/>
          <w:szCs w:val="16"/>
        </w:rPr>
        <w:tab/>
      </w:r>
      <w:r w:rsidR="00493053">
        <w:rPr>
          <w:sz w:val="16"/>
          <w:szCs w:val="16"/>
        </w:rPr>
        <w:tab/>
      </w:r>
      <w:r w:rsidR="00493053">
        <w:rPr>
          <w:sz w:val="16"/>
          <w:szCs w:val="16"/>
        </w:rPr>
        <w:tab/>
        <w:t>*insufficient data</w:t>
      </w:r>
    </w:p>
    <w:p w14:paraId="5A9E1E48" w14:textId="49C921D6" w:rsidR="00997401" w:rsidRPr="007375D8" w:rsidRDefault="00997401" w:rsidP="007375D8">
      <w:pPr>
        <w:spacing w:after="0" w:line="240" w:lineRule="auto"/>
        <w:contextualSpacing/>
        <w:mirrorIndents/>
        <w:jc w:val="center"/>
        <w:rPr>
          <w:rFonts w:ascii="Verdana" w:hAnsi="Verdana"/>
          <w:b/>
          <w:bCs/>
          <w:color w:val="0070C0"/>
          <w:sz w:val="20"/>
          <w:szCs w:val="20"/>
        </w:rPr>
      </w:pPr>
      <w:r w:rsidRPr="007375D8">
        <w:rPr>
          <w:rFonts w:ascii="Verdana" w:hAnsi="Verdana"/>
          <w:b/>
          <w:bCs/>
          <w:color w:val="0070C0"/>
          <w:sz w:val="20"/>
          <w:szCs w:val="20"/>
        </w:rPr>
        <w:lastRenderedPageBreak/>
        <w:t>Increases in HVAC Equipment Shipments Boost Contractors’ Work</w:t>
      </w:r>
    </w:p>
    <w:p w14:paraId="7EFCA245" w14:textId="373DEC23" w:rsidR="00997401" w:rsidRDefault="00997401" w:rsidP="00997401">
      <w:pPr>
        <w:spacing w:after="0" w:line="240" w:lineRule="auto"/>
        <w:contextualSpacing/>
        <w:mirrorIndents/>
        <w:rPr>
          <w:rFonts w:ascii="Verdana" w:hAnsi="Verdana"/>
          <w:sz w:val="20"/>
          <w:szCs w:val="20"/>
        </w:rPr>
      </w:pPr>
    </w:p>
    <w:p w14:paraId="5D98DC0C" w14:textId="6DCA2D69" w:rsidR="007375D8" w:rsidRPr="00997401" w:rsidRDefault="007375D8" w:rsidP="00997401">
      <w:pPr>
        <w:spacing w:after="0" w:line="240" w:lineRule="auto"/>
        <w:contextualSpacing/>
        <w:mirrorIndents/>
        <w:rPr>
          <w:rFonts w:ascii="Verdana" w:hAnsi="Verdana"/>
          <w:sz w:val="20"/>
          <w:szCs w:val="20"/>
        </w:rPr>
      </w:pPr>
      <w:r>
        <w:rPr>
          <w:rFonts w:ascii="Verdana" w:hAnsi="Verdana"/>
          <w:sz w:val="20"/>
          <w:szCs w:val="20"/>
        </w:rPr>
        <w:t>Shipments for all primary HVAC systems increased</w:t>
      </w:r>
      <w:r w:rsidR="00C77F32">
        <w:rPr>
          <w:rFonts w:ascii="Verdana" w:hAnsi="Verdana"/>
          <w:sz w:val="20"/>
          <w:szCs w:val="20"/>
        </w:rPr>
        <w:t xml:space="preserve"> during 2021, despite fewer new single-family homes sold during 2021</w:t>
      </w:r>
      <w:r w:rsidR="006D01D1">
        <w:rPr>
          <w:rFonts w:ascii="Verdana" w:hAnsi="Verdana"/>
          <w:sz w:val="20"/>
          <w:szCs w:val="20"/>
        </w:rPr>
        <w:t xml:space="preserve"> compared to 2020</w:t>
      </w:r>
      <w:r w:rsidR="00C77F32">
        <w:rPr>
          <w:rFonts w:ascii="Verdana" w:hAnsi="Verdana"/>
          <w:sz w:val="20"/>
          <w:szCs w:val="20"/>
        </w:rPr>
        <w:t xml:space="preserve">: gas warm air furnaces at +19.6%, oil warm air furnaces at +8.3%, air conditioners at +6.3% and heat pumps at </w:t>
      </w:r>
      <w:r w:rsidR="002F44B2">
        <w:rPr>
          <w:rFonts w:ascii="Verdana" w:hAnsi="Verdana"/>
          <w:sz w:val="20"/>
          <w:szCs w:val="20"/>
        </w:rPr>
        <w:t>+</w:t>
      </w:r>
      <w:r w:rsidR="00C77F32">
        <w:rPr>
          <w:rFonts w:ascii="Verdana" w:hAnsi="Verdana"/>
          <w:sz w:val="20"/>
          <w:szCs w:val="20"/>
        </w:rPr>
        <w:t>14.6%</w:t>
      </w:r>
      <w:r w:rsidR="006D01D1">
        <w:rPr>
          <w:rFonts w:ascii="Verdana" w:hAnsi="Verdana"/>
          <w:sz w:val="20"/>
          <w:szCs w:val="20"/>
        </w:rPr>
        <w:t>.</w:t>
      </w:r>
    </w:p>
    <w:p w14:paraId="03B879A8" w14:textId="77777777" w:rsidR="007375D8" w:rsidRDefault="007375D8" w:rsidP="00997401">
      <w:pPr>
        <w:spacing w:after="0" w:line="240" w:lineRule="auto"/>
        <w:contextualSpacing/>
        <w:mirrorIndents/>
        <w:rPr>
          <w:rFonts w:ascii="Verdana" w:hAnsi="Verdana"/>
          <w:sz w:val="20"/>
          <w:szCs w:val="20"/>
        </w:rPr>
      </w:pPr>
    </w:p>
    <w:p w14:paraId="7A041CC5" w14:textId="3A2FC1A3" w:rsidR="007375D8" w:rsidRDefault="006D01D1" w:rsidP="00997401">
      <w:pPr>
        <w:spacing w:after="0" w:line="240" w:lineRule="auto"/>
        <w:contextualSpacing/>
        <w:mirrorIndents/>
        <w:rPr>
          <w:rFonts w:ascii="Verdana" w:hAnsi="Verdana"/>
          <w:sz w:val="20"/>
          <w:szCs w:val="20"/>
        </w:rPr>
      </w:pPr>
      <w:r>
        <w:rPr>
          <w:rFonts w:ascii="Verdana" w:hAnsi="Verdana"/>
          <w:sz w:val="20"/>
          <w:szCs w:val="20"/>
        </w:rPr>
        <w:t>For January 2022, however, shipments of gas warm air furnaces and oil warm air furnaces decreased 13.6% YOY and 22.4% YOY, respectively, while shipments of air conditioners increased 5.6% YOY and air-source hea</w:t>
      </w:r>
      <w:r w:rsidR="00CF0AD6">
        <w:rPr>
          <w:rFonts w:ascii="Verdana" w:hAnsi="Verdana"/>
          <w:sz w:val="20"/>
          <w:szCs w:val="20"/>
        </w:rPr>
        <w:t>t</w:t>
      </w:r>
      <w:r>
        <w:rPr>
          <w:rFonts w:ascii="Verdana" w:hAnsi="Verdana"/>
          <w:sz w:val="20"/>
          <w:szCs w:val="20"/>
        </w:rPr>
        <w:t xml:space="preserve"> pumps increased 17.4% YOY.</w:t>
      </w:r>
    </w:p>
    <w:p w14:paraId="5915AA4C" w14:textId="2F33188D" w:rsidR="006D01D1" w:rsidRDefault="006D01D1" w:rsidP="00997401">
      <w:pPr>
        <w:spacing w:after="0" w:line="240" w:lineRule="auto"/>
        <w:contextualSpacing/>
        <w:mirrorIndents/>
        <w:rPr>
          <w:rFonts w:ascii="Verdana" w:hAnsi="Verdana"/>
          <w:sz w:val="20"/>
          <w:szCs w:val="20"/>
        </w:rPr>
      </w:pPr>
    </w:p>
    <w:p w14:paraId="5641A520" w14:textId="46597983" w:rsidR="006D01D1" w:rsidRDefault="000D7611" w:rsidP="00997401">
      <w:pPr>
        <w:spacing w:after="0" w:line="240" w:lineRule="auto"/>
        <w:contextualSpacing/>
        <w:mirrorIndents/>
        <w:rPr>
          <w:rFonts w:ascii="Verdana" w:hAnsi="Verdana"/>
          <w:sz w:val="20"/>
          <w:szCs w:val="20"/>
        </w:rPr>
      </w:pPr>
      <w:r>
        <w:rPr>
          <w:rFonts w:ascii="Verdana" w:hAnsi="Verdana"/>
          <w:sz w:val="20"/>
          <w:szCs w:val="20"/>
        </w:rPr>
        <w:t xml:space="preserve">Analysis of data from five 2021 representative consumer/market surveys conducted by The Media Audit found </w:t>
      </w:r>
      <w:r w:rsidR="009F1447">
        <w:rPr>
          <w:rFonts w:ascii="Verdana" w:hAnsi="Verdana"/>
          <w:sz w:val="20"/>
          <w:szCs w:val="20"/>
        </w:rPr>
        <w:t xml:space="preserve">the average </w:t>
      </w:r>
      <w:r w:rsidR="002F44B2">
        <w:rPr>
          <w:rFonts w:ascii="Verdana" w:hAnsi="Verdana"/>
          <w:sz w:val="20"/>
          <w:szCs w:val="20"/>
        </w:rPr>
        <w:t xml:space="preserve">age </w:t>
      </w:r>
      <w:r w:rsidR="009F1447">
        <w:rPr>
          <w:rFonts w:ascii="Verdana" w:hAnsi="Verdana"/>
          <w:sz w:val="20"/>
          <w:szCs w:val="20"/>
        </w:rPr>
        <w:t>of adults 18+ planning an HVAC home improvement project during the 12 months was 40.1 and their average household income was $69,900.</w:t>
      </w:r>
    </w:p>
    <w:p w14:paraId="3E203C05" w14:textId="75AB59BD" w:rsidR="009F1447" w:rsidRDefault="009F1447" w:rsidP="00997401">
      <w:pPr>
        <w:spacing w:after="0" w:line="240" w:lineRule="auto"/>
        <w:contextualSpacing/>
        <w:mirrorIndents/>
        <w:rPr>
          <w:rFonts w:ascii="Verdana" w:hAnsi="Verdana"/>
          <w:sz w:val="20"/>
          <w:szCs w:val="20"/>
        </w:rPr>
      </w:pPr>
    </w:p>
    <w:p w14:paraId="00C29511" w14:textId="77777777" w:rsidR="000C0BD3" w:rsidRDefault="000C0BD3" w:rsidP="000C0BD3">
      <w:pPr>
        <w:spacing w:after="0" w:line="240" w:lineRule="auto"/>
        <w:contextualSpacing/>
        <w:mirrorIndents/>
        <w:jc w:val="center"/>
        <w:rPr>
          <w:b/>
          <w:bCs/>
          <w:sz w:val="20"/>
          <w:szCs w:val="20"/>
        </w:rPr>
      </w:pPr>
      <w:r>
        <w:rPr>
          <w:b/>
          <w:bCs/>
          <w:sz w:val="20"/>
          <w:szCs w:val="20"/>
        </w:rPr>
        <w:t xml:space="preserve">Indices of Adults 18+ Who Plan an HVAC Improvement </w:t>
      </w:r>
    </w:p>
    <w:p w14:paraId="1EBAB961" w14:textId="77777777" w:rsidR="000C0BD3" w:rsidRDefault="000C0BD3" w:rsidP="000C0BD3">
      <w:pPr>
        <w:spacing w:after="0" w:line="240" w:lineRule="auto"/>
        <w:contextualSpacing/>
        <w:mirrorIndents/>
        <w:jc w:val="center"/>
        <w:rPr>
          <w:b/>
          <w:bCs/>
          <w:sz w:val="20"/>
          <w:szCs w:val="20"/>
        </w:rPr>
      </w:pPr>
      <w:r>
        <w:rPr>
          <w:b/>
          <w:bCs/>
          <w:sz w:val="20"/>
          <w:szCs w:val="20"/>
        </w:rPr>
        <w:t xml:space="preserve">Project During the Next 12 Months by Their Homes’ </w:t>
      </w:r>
    </w:p>
    <w:p w14:paraId="57D62A29" w14:textId="43DD600D" w:rsidR="000C0BD3" w:rsidRPr="005D1511" w:rsidRDefault="000C0BD3" w:rsidP="000C0BD3">
      <w:pPr>
        <w:spacing w:after="0" w:line="240" w:lineRule="auto"/>
        <w:contextualSpacing/>
        <w:mirrorIndents/>
        <w:jc w:val="center"/>
        <w:rPr>
          <w:b/>
          <w:bCs/>
          <w:sz w:val="20"/>
          <w:szCs w:val="20"/>
        </w:rPr>
      </w:pPr>
      <w:r>
        <w:rPr>
          <w:b/>
          <w:bCs/>
          <w:sz w:val="20"/>
          <w:szCs w:val="20"/>
        </w:rPr>
        <w:t>Market Value, in Selected Markets</w:t>
      </w:r>
      <w:r w:rsidRPr="005D1511">
        <w:rPr>
          <w:b/>
          <w:bCs/>
          <w:sz w:val="20"/>
          <w:szCs w:val="20"/>
        </w:rPr>
        <w:t>, 202</w:t>
      </w:r>
      <w:r>
        <w:rPr>
          <w:b/>
          <w:bCs/>
          <w:sz w:val="20"/>
          <w:szCs w:val="20"/>
        </w:rPr>
        <w:t>1</w:t>
      </w:r>
    </w:p>
    <w:tbl>
      <w:tblPr>
        <w:tblW w:w="10749"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2468"/>
        <w:gridCol w:w="1657"/>
        <w:gridCol w:w="1656"/>
        <w:gridCol w:w="1656"/>
        <w:gridCol w:w="1656"/>
        <w:gridCol w:w="1656"/>
      </w:tblGrid>
      <w:tr w:rsidR="000C0BD3" w:rsidRPr="005D1511" w14:paraId="50CBA9BE" w14:textId="77777777" w:rsidTr="002F44B2">
        <w:trPr>
          <w:jc w:val="center"/>
        </w:trPr>
        <w:tc>
          <w:tcPr>
            <w:tcW w:w="2468" w:type="dxa"/>
            <w:tcBorders>
              <w:top w:val="single" w:sz="12" w:space="0" w:color="000000"/>
              <w:left w:val="single" w:sz="12" w:space="0" w:color="000000"/>
              <w:bottom w:val="single" w:sz="18" w:space="0" w:color="C0504D" w:themeColor="accent2"/>
              <w:right w:val="single" w:sz="18" w:space="0" w:color="0070C0"/>
            </w:tcBorders>
            <w:shd w:val="clear" w:color="auto" w:fill="auto"/>
            <w:vAlign w:val="center"/>
          </w:tcPr>
          <w:p w14:paraId="4E1C4813" w14:textId="32E46932" w:rsidR="000C0BD3" w:rsidRPr="004815C1" w:rsidRDefault="000C0BD3" w:rsidP="002F44B2">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Market Value</w:t>
            </w:r>
          </w:p>
        </w:tc>
        <w:tc>
          <w:tcPr>
            <w:tcW w:w="1657" w:type="dxa"/>
            <w:tcBorders>
              <w:top w:val="single" w:sz="12" w:space="0" w:color="000000"/>
              <w:left w:val="single" w:sz="18" w:space="0" w:color="0070C0"/>
              <w:bottom w:val="single" w:sz="18" w:space="0" w:color="C0504D" w:themeColor="accent2"/>
              <w:right w:val="single" w:sz="8" w:space="0" w:color="0070C0"/>
            </w:tcBorders>
            <w:shd w:val="clear" w:color="auto" w:fill="auto"/>
            <w:vAlign w:val="center"/>
          </w:tcPr>
          <w:p w14:paraId="2E05F14C" w14:textId="5C332F25" w:rsidR="000C0BD3" w:rsidRPr="004815C1" w:rsidRDefault="000C0BD3" w:rsidP="002F44B2">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Southern New Hampshire*</w:t>
            </w:r>
          </w:p>
        </w:tc>
        <w:tc>
          <w:tcPr>
            <w:tcW w:w="1656"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3506B5C5" w14:textId="35B6D71E" w:rsidR="000C0BD3" w:rsidRPr="004815C1" w:rsidRDefault="000C0BD3" w:rsidP="002F44B2">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Chicago</w:t>
            </w:r>
          </w:p>
        </w:tc>
        <w:tc>
          <w:tcPr>
            <w:tcW w:w="1656"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5D781324" w14:textId="4B2BCABD" w:rsidR="000C0BD3" w:rsidRPr="004815C1" w:rsidRDefault="000C0BD3" w:rsidP="002F44B2">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Des Moines, IA</w:t>
            </w:r>
          </w:p>
        </w:tc>
        <w:tc>
          <w:tcPr>
            <w:tcW w:w="1656"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62833E58" w14:textId="3B4BF243" w:rsidR="000C0BD3" w:rsidRPr="004815C1" w:rsidRDefault="000C0BD3" w:rsidP="002F44B2">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Salt Lake City</w:t>
            </w:r>
          </w:p>
        </w:tc>
        <w:tc>
          <w:tcPr>
            <w:tcW w:w="1656" w:type="dxa"/>
            <w:tcBorders>
              <w:top w:val="single" w:sz="12" w:space="0" w:color="000000"/>
              <w:left w:val="single" w:sz="8" w:space="0" w:color="0070C0"/>
              <w:bottom w:val="single" w:sz="18" w:space="0" w:color="C0504D" w:themeColor="accent2"/>
              <w:right w:val="single" w:sz="12" w:space="0" w:color="000000"/>
            </w:tcBorders>
            <w:shd w:val="clear" w:color="auto" w:fill="auto"/>
            <w:vAlign w:val="center"/>
          </w:tcPr>
          <w:p w14:paraId="5FFB8FE2" w14:textId="3A20277F" w:rsidR="000C0BD3" w:rsidRPr="004815C1" w:rsidRDefault="000C0BD3" w:rsidP="002F44B2">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Seattle-Tacoma</w:t>
            </w:r>
          </w:p>
        </w:tc>
      </w:tr>
      <w:tr w:rsidR="00C50E94" w:rsidRPr="005D1511" w14:paraId="34EAC368" w14:textId="77777777" w:rsidTr="00C50E94">
        <w:tblPrEx>
          <w:tblBorders>
            <w:top w:val="none" w:sz="0" w:space="0" w:color="auto"/>
          </w:tblBorders>
        </w:tblPrEx>
        <w:trPr>
          <w:jc w:val="center"/>
        </w:trPr>
        <w:tc>
          <w:tcPr>
            <w:tcW w:w="2468" w:type="dxa"/>
            <w:tcBorders>
              <w:top w:val="single" w:sz="18" w:space="0" w:color="C0504D" w:themeColor="accent2"/>
              <w:left w:val="single" w:sz="12" w:space="0" w:color="000000"/>
              <w:bottom w:val="single" w:sz="4" w:space="0" w:color="000000"/>
              <w:right w:val="single" w:sz="18" w:space="0" w:color="0070C0"/>
            </w:tcBorders>
            <w:shd w:val="clear" w:color="auto" w:fill="auto"/>
            <w:vAlign w:val="center"/>
          </w:tcPr>
          <w:p w14:paraId="303BB34B" w14:textId="36BF29A8" w:rsidR="000C0BD3" w:rsidRPr="004815C1" w:rsidRDefault="000C0BD3" w:rsidP="005B42D8">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$100,000–$199,999</w:t>
            </w:r>
          </w:p>
        </w:tc>
        <w:tc>
          <w:tcPr>
            <w:tcW w:w="1657" w:type="dxa"/>
            <w:tcBorders>
              <w:top w:val="single" w:sz="18" w:space="0" w:color="C0504D" w:themeColor="accent2"/>
              <w:left w:val="single" w:sz="18" w:space="0" w:color="0070C0"/>
              <w:bottom w:val="single" w:sz="4" w:space="0" w:color="auto"/>
              <w:right w:val="single" w:sz="8" w:space="0" w:color="0070C0"/>
            </w:tcBorders>
            <w:shd w:val="clear" w:color="auto" w:fill="D6E3BC" w:themeFill="accent3" w:themeFillTint="66"/>
            <w:vAlign w:val="center"/>
          </w:tcPr>
          <w:p w14:paraId="7D5A12D8" w14:textId="1748E3CA" w:rsidR="000C0BD3" w:rsidRPr="004815C1" w:rsidRDefault="00814190"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117</w:t>
            </w:r>
          </w:p>
        </w:tc>
        <w:tc>
          <w:tcPr>
            <w:tcW w:w="1656" w:type="dxa"/>
            <w:tcBorders>
              <w:top w:val="single" w:sz="18" w:space="0" w:color="C0504D" w:themeColor="accent2"/>
              <w:left w:val="single" w:sz="8" w:space="0" w:color="0070C0"/>
              <w:bottom w:val="single" w:sz="4" w:space="0" w:color="auto"/>
              <w:right w:val="single" w:sz="8" w:space="0" w:color="0070C0"/>
            </w:tcBorders>
            <w:shd w:val="clear" w:color="auto" w:fill="EAF1DD" w:themeFill="accent3" w:themeFillTint="33"/>
            <w:vAlign w:val="center"/>
          </w:tcPr>
          <w:p w14:paraId="0391D711" w14:textId="72A30EE8" w:rsidR="000C0BD3" w:rsidRPr="004815C1" w:rsidRDefault="00814190"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108</w:t>
            </w:r>
          </w:p>
        </w:tc>
        <w:tc>
          <w:tcPr>
            <w:tcW w:w="1656" w:type="dxa"/>
            <w:tcBorders>
              <w:top w:val="single" w:sz="18" w:space="0" w:color="C0504D" w:themeColor="accent2"/>
              <w:left w:val="single" w:sz="8" w:space="0" w:color="0070C0"/>
              <w:bottom w:val="single" w:sz="4" w:space="0" w:color="auto"/>
              <w:right w:val="single" w:sz="8" w:space="0" w:color="0070C0"/>
            </w:tcBorders>
            <w:shd w:val="clear" w:color="auto" w:fill="D6E3BC" w:themeFill="accent3" w:themeFillTint="66"/>
            <w:vAlign w:val="center"/>
          </w:tcPr>
          <w:p w14:paraId="0CF45E8D" w14:textId="61C13F51" w:rsidR="000C0BD3" w:rsidRPr="004815C1" w:rsidRDefault="00814190"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128</w:t>
            </w:r>
          </w:p>
        </w:tc>
        <w:tc>
          <w:tcPr>
            <w:tcW w:w="1656" w:type="dxa"/>
            <w:tcBorders>
              <w:top w:val="single" w:sz="18" w:space="0" w:color="C0504D" w:themeColor="accent2"/>
              <w:left w:val="single" w:sz="8" w:space="0" w:color="0070C0"/>
              <w:bottom w:val="single" w:sz="4" w:space="0" w:color="auto"/>
              <w:right w:val="single" w:sz="8" w:space="0" w:color="0070C0"/>
            </w:tcBorders>
            <w:shd w:val="clear" w:color="auto" w:fill="D6E3BC" w:themeFill="accent3" w:themeFillTint="66"/>
            <w:vAlign w:val="center"/>
          </w:tcPr>
          <w:p w14:paraId="15DC039E" w14:textId="063F36CB" w:rsidR="000C0BD3" w:rsidRPr="004815C1" w:rsidRDefault="00814190"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121</w:t>
            </w:r>
          </w:p>
        </w:tc>
        <w:tc>
          <w:tcPr>
            <w:tcW w:w="1656" w:type="dxa"/>
            <w:tcBorders>
              <w:top w:val="single" w:sz="18" w:space="0" w:color="C0504D" w:themeColor="accent2"/>
              <w:left w:val="single" w:sz="8" w:space="0" w:color="0070C0"/>
              <w:bottom w:val="single" w:sz="4" w:space="0" w:color="auto"/>
              <w:right w:val="single" w:sz="12" w:space="0" w:color="000000"/>
            </w:tcBorders>
            <w:shd w:val="clear" w:color="auto" w:fill="C2D69B" w:themeFill="accent3" w:themeFillTint="99"/>
            <w:vAlign w:val="center"/>
          </w:tcPr>
          <w:p w14:paraId="3483874F" w14:textId="64D66928" w:rsidR="000C0BD3" w:rsidRPr="004815C1" w:rsidRDefault="00814190" w:rsidP="005B42D8">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142</w:t>
            </w:r>
          </w:p>
        </w:tc>
      </w:tr>
      <w:tr w:rsidR="00C50E94" w:rsidRPr="005D1511" w14:paraId="497F12CD" w14:textId="77777777" w:rsidTr="00C50E94">
        <w:tblPrEx>
          <w:tblBorders>
            <w:top w:val="none" w:sz="0" w:space="0" w:color="auto"/>
          </w:tblBorders>
        </w:tblPrEx>
        <w:trPr>
          <w:jc w:val="center"/>
        </w:trPr>
        <w:tc>
          <w:tcPr>
            <w:tcW w:w="246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2D57413A" w14:textId="2DC29510" w:rsidR="000C0BD3" w:rsidRPr="004815C1" w:rsidRDefault="000C0BD3" w:rsidP="005B42D8">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$200,000–$299,999</w:t>
            </w:r>
          </w:p>
        </w:tc>
        <w:tc>
          <w:tcPr>
            <w:tcW w:w="1657" w:type="dxa"/>
            <w:tcBorders>
              <w:top w:val="single" w:sz="4" w:space="0" w:color="auto"/>
              <w:left w:val="single" w:sz="18" w:space="0" w:color="0070C0"/>
              <w:bottom w:val="single" w:sz="4" w:space="0" w:color="000000"/>
              <w:right w:val="single" w:sz="8" w:space="0" w:color="0070C0"/>
            </w:tcBorders>
            <w:shd w:val="clear" w:color="auto" w:fill="D6E3BC" w:themeFill="accent3" w:themeFillTint="66"/>
            <w:vAlign w:val="center"/>
          </w:tcPr>
          <w:p w14:paraId="076E1CC0" w14:textId="71685615" w:rsidR="000C0BD3" w:rsidRPr="004815C1" w:rsidRDefault="00814190"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119</w:t>
            </w:r>
          </w:p>
        </w:tc>
        <w:tc>
          <w:tcPr>
            <w:tcW w:w="1656" w:type="dxa"/>
            <w:tcBorders>
              <w:top w:val="single" w:sz="4" w:space="0" w:color="auto"/>
              <w:left w:val="single" w:sz="8" w:space="0" w:color="0070C0"/>
              <w:bottom w:val="single" w:sz="4" w:space="0" w:color="000000"/>
              <w:right w:val="single" w:sz="8" w:space="0" w:color="0070C0"/>
            </w:tcBorders>
            <w:shd w:val="clear" w:color="auto" w:fill="F2DBDB" w:themeFill="accent2" w:themeFillTint="33"/>
            <w:vAlign w:val="center"/>
          </w:tcPr>
          <w:p w14:paraId="26519A96" w14:textId="0F11D53D" w:rsidR="000C0BD3" w:rsidRPr="004815C1" w:rsidRDefault="00814190"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96</w:t>
            </w:r>
          </w:p>
        </w:tc>
        <w:tc>
          <w:tcPr>
            <w:tcW w:w="1656"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23A4461C" w14:textId="48107455" w:rsidR="000C0BD3" w:rsidRPr="004815C1" w:rsidRDefault="00814190"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125</w:t>
            </w:r>
          </w:p>
        </w:tc>
        <w:tc>
          <w:tcPr>
            <w:tcW w:w="1656"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70225CF0" w14:textId="4205ECB8" w:rsidR="000C0BD3" w:rsidRPr="004815C1" w:rsidRDefault="00814190"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136</w:t>
            </w:r>
          </w:p>
        </w:tc>
        <w:tc>
          <w:tcPr>
            <w:tcW w:w="1656" w:type="dxa"/>
            <w:tcBorders>
              <w:top w:val="single" w:sz="4" w:space="0" w:color="auto"/>
              <w:left w:val="single" w:sz="8" w:space="0" w:color="0070C0"/>
              <w:bottom w:val="single" w:sz="4" w:space="0" w:color="000000"/>
              <w:right w:val="single" w:sz="12" w:space="0" w:color="000000"/>
            </w:tcBorders>
            <w:shd w:val="clear" w:color="auto" w:fill="D99594" w:themeFill="accent2" w:themeFillTint="99"/>
            <w:vAlign w:val="center"/>
          </w:tcPr>
          <w:p w14:paraId="715448F0" w14:textId="425BF7C6" w:rsidR="000C0BD3" w:rsidRPr="00B00624" w:rsidRDefault="00814190"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68</w:t>
            </w:r>
          </w:p>
        </w:tc>
      </w:tr>
      <w:tr w:rsidR="000C0BD3" w:rsidRPr="005D1511" w14:paraId="49421197" w14:textId="77777777" w:rsidTr="00C50E94">
        <w:tblPrEx>
          <w:tblBorders>
            <w:top w:val="none" w:sz="0" w:space="0" w:color="auto"/>
          </w:tblBorders>
        </w:tblPrEx>
        <w:trPr>
          <w:jc w:val="center"/>
        </w:trPr>
        <w:tc>
          <w:tcPr>
            <w:tcW w:w="246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6C17C559" w14:textId="282BF5B5" w:rsidR="000C0BD3" w:rsidRPr="004815C1" w:rsidRDefault="000C0BD3" w:rsidP="005B42D8">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$300,000–$399,999</w:t>
            </w:r>
          </w:p>
        </w:tc>
        <w:tc>
          <w:tcPr>
            <w:tcW w:w="1657" w:type="dxa"/>
            <w:tcBorders>
              <w:top w:val="single" w:sz="4" w:space="0" w:color="auto"/>
              <w:left w:val="single" w:sz="18" w:space="0" w:color="0070C0"/>
              <w:bottom w:val="single" w:sz="4" w:space="0" w:color="000000"/>
              <w:right w:val="single" w:sz="8" w:space="0" w:color="0070C0"/>
            </w:tcBorders>
            <w:shd w:val="clear" w:color="auto" w:fill="D6E3BC" w:themeFill="accent3" w:themeFillTint="66"/>
            <w:vAlign w:val="center"/>
          </w:tcPr>
          <w:p w14:paraId="66FACAAF" w14:textId="4C83E68B" w:rsidR="000C0BD3" w:rsidRPr="004815C1" w:rsidRDefault="00814190"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126</w:t>
            </w:r>
          </w:p>
        </w:tc>
        <w:tc>
          <w:tcPr>
            <w:tcW w:w="1656" w:type="dxa"/>
            <w:tcBorders>
              <w:top w:val="single" w:sz="4" w:space="0" w:color="auto"/>
              <w:left w:val="single" w:sz="8" w:space="0" w:color="0070C0"/>
              <w:bottom w:val="single" w:sz="4" w:space="0" w:color="000000"/>
              <w:right w:val="single" w:sz="8" w:space="0" w:color="0070C0"/>
            </w:tcBorders>
            <w:shd w:val="clear" w:color="auto" w:fill="F2DBDB" w:themeFill="accent2" w:themeFillTint="33"/>
            <w:vAlign w:val="center"/>
          </w:tcPr>
          <w:p w14:paraId="3E3E9662" w14:textId="0719C34D" w:rsidR="000C0BD3" w:rsidRPr="004815C1" w:rsidRDefault="00814190"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97</w:t>
            </w:r>
          </w:p>
        </w:tc>
        <w:tc>
          <w:tcPr>
            <w:tcW w:w="1656" w:type="dxa"/>
            <w:tcBorders>
              <w:top w:val="single" w:sz="4" w:space="0" w:color="auto"/>
              <w:left w:val="single" w:sz="8" w:space="0" w:color="0070C0"/>
              <w:bottom w:val="single" w:sz="4" w:space="0" w:color="000000"/>
              <w:right w:val="single" w:sz="8" w:space="0" w:color="0070C0"/>
            </w:tcBorders>
            <w:shd w:val="clear" w:color="auto" w:fill="FF0000"/>
            <w:vAlign w:val="center"/>
          </w:tcPr>
          <w:p w14:paraId="021BFC48" w14:textId="236A3796" w:rsidR="000C0BD3" w:rsidRPr="004815C1" w:rsidRDefault="00814190"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31</w:t>
            </w:r>
          </w:p>
        </w:tc>
        <w:tc>
          <w:tcPr>
            <w:tcW w:w="1656" w:type="dxa"/>
            <w:tcBorders>
              <w:top w:val="single" w:sz="4" w:space="0" w:color="auto"/>
              <w:left w:val="single" w:sz="8" w:space="0" w:color="0070C0"/>
              <w:bottom w:val="single" w:sz="4" w:space="0" w:color="000000"/>
              <w:right w:val="single" w:sz="8" w:space="0" w:color="0070C0"/>
            </w:tcBorders>
            <w:shd w:val="clear" w:color="auto" w:fill="00B050"/>
            <w:vAlign w:val="center"/>
          </w:tcPr>
          <w:p w14:paraId="06A9FEFF" w14:textId="68DFFFAE" w:rsidR="000C0BD3" w:rsidRPr="004815C1" w:rsidRDefault="00814190"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161</w:t>
            </w:r>
          </w:p>
        </w:tc>
        <w:tc>
          <w:tcPr>
            <w:tcW w:w="1656" w:type="dxa"/>
            <w:tcBorders>
              <w:top w:val="single" w:sz="4" w:space="0" w:color="auto"/>
              <w:left w:val="single" w:sz="8" w:space="0" w:color="0070C0"/>
              <w:bottom w:val="single" w:sz="4" w:space="0" w:color="000000"/>
              <w:right w:val="single" w:sz="12" w:space="0" w:color="000000"/>
            </w:tcBorders>
            <w:shd w:val="clear" w:color="auto" w:fill="EAF1DD" w:themeFill="accent3" w:themeFillTint="33"/>
            <w:vAlign w:val="center"/>
          </w:tcPr>
          <w:p w14:paraId="42A82FE4" w14:textId="24CD8AAD" w:rsidR="000C0BD3" w:rsidRPr="00B00624" w:rsidRDefault="00814190"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101</w:t>
            </w:r>
          </w:p>
        </w:tc>
      </w:tr>
      <w:tr w:rsidR="00C50E94" w:rsidRPr="005D1511" w14:paraId="0ADBC18F" w14:textId="77777777" w:rsidTr="00C50E94">
        <w:tblPrEx>
          <w:tblBorders>
            <w:top w:val="none" w:sz="0" w:space="0" w:color="auto"/>
          </w:tblBorders>
        </w:tblPrEx>
        <w:trPr>
          <w:jc w:val="center"/>
        </w:trPr>
        <w:tc>
          <w:tcPr>
            <w:tcW w:w="246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2B0126CE" w14:textId="46315896" w:rsidR="000C0BD3" w:rsidRDefault="000C0BD3" w:rsidP="005B42D8">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$400,000–$499,999</w:t>
            </w:r>
          </w:p>
        </w:tc>
        <w:tc>
          <w:tcPr>
            <w:tcW w:w="1657" w:type="dxa"/>
            <w:tcBorders>
              <w:top w:val="single" w:sz="4" w:space="0" w:color="auto"/>
              <w:left w:val="single" w:sz="18" w:space="0" w:color="0070C0"/>
              <w:bottom w:val="single" w:sz="4" w:space="0" w:color="000000"/>
              <w:right w:val="single" w:sz="8" w:space="0" w:color="0070C0"/>
            </w:tcBorders>
            <w:shd w:val="clear" w:color="auto" w:fill="D99594" w:themeFill="accent2" w:themeFillTint="99"/>
            <w:vAlign w:val="center"/>
          </w:tcPr>
          <w:p w14:paraId="663A68A0" w14:textId="4FB449D9" w:rsidR="000C0BD3" w:rsidRDefault="00814190"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66</w:t>
            </w:r>
          </w:p>
        </w:tc>
        <w:tc>
          <w:tcPr>
            <w:tcW w:w="1656"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69CCC060" w14:textId="287AB3A4" w:rsidR="000C0BD3" w:rsidRDefault="00814190"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101</w:t>
            </w:r>
          </w:p>
        </w:tc>
        <w:tc>
          <w:tcPr>
            <w:tcW w:w="1656"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6EFD258C" w14:textId="09B1E270" w:rsidR="000C0BD3" w:rsidRDefault="00814190"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122</w:t>
            </w:r>
          </w:p>
        </w:tc>
        <w:tc>
          <w:tcPr>
            <w:tcW w:w="1656"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009663AD" w14:textId="3F830188" w:rsidR="000C0BD3" w:rsidRDefault="00814190"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130</w:t>
            </w:r>
          </w:p>
        </w:tc>
        <w:tc>
          <w:tcPr>
            <w:tcW w:w="1656" w:type="dxa"/>
            <w:tcBorders>
              <w:top w:val="single" w:sz="4" w:space="0" w:color="auto"/>
              <w:left w:val="single" w:sz="8" w:space="0" w:color="0070C0"/>
              <w:bottom w:val="single" w:sz="4" w:space="0" w:color="000000"/>
              <w:right w:val="single" w:sz="12" w:space="0" w:color="000000"/>
            </w:tcBorders>
            <w:shd w:val="clear" w:color="auto" w:fill="D99594" w:themeFill="accent2" w:themeFillTint="99"/>
            <w:vAlign w:val="center"/>
          </w:tcPr>
          <w:p w14:paraId="247A820C" w14:textId="392A5E92" w:rsidR="000C0BD3" w:rsidRDefault="00814190"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68</w:t>
            </w:r>
          </w:p>
        </w:tc>
      </w:tr>
      <w:tr w:rsidR="00C50E94" w:rsidRPr="005D1511" w14:paraId="7F357739" w14:textId="77777777" w:rsidTr="00C50E94">
        <w:tblPrEx>
          <w:tblBorders>
            <w:top w:val="none" w:sz="0" w:space="0" w:color="auto"/>
          </w:tblBorders>
        </w:tblPrEx>
        <w:trPr>
          <w:jc w:val="center"/>
        </w:trPr>
        <w:tc>
          <w:tcPr>
            <w:tcW w:w="246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2B9D3699" w14:textId="21DDE7CA" w:rsidR="000C0BD3" w:rsidRPr="004815C1" w:rsidRDefault="000C0BD3" w:rsidP="005B42D8">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$500,000–$999,999</w:t>
            </w:r>
          </w:p>
        </w:tc>
        <w:tc>
          <w:tcPr>
            <w:tcW w:w="1657" w:type="dxa"/>
            <w:tcBorders>
              <w:top w:val="single" w:sz="4" w:space="0" w:color="auto"/>
              <w:left w:val="single" w:sz="18" w:space="0" w:color="0070C0"/>
              <w:bottom w:val="single" w:sz="4" w:space="0" w:color="000000"/>
              <w:right w:val="single" w:sz="8" w:space="0" w:color="0070C0"/>
            </w:tcBorders>
            <w:shd w:val="clear" w:color="auto" w:fill="D99594" w:themeFill="accent2" w:themeFillTint="99"/>
            <w:vAlign w:val="center"/>
          </w:tcPr>
          <w:p w14:paraId="49444AC9" w14:textId="6626B68B" w:rsidR="000C0BD3" w:rsidRPr="004815C1" w:rsidRDefault="00814190" w:rsidP="005B42D8">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64</w:t>
            </w:r>
          </w:p>
        </w:tc>
        <w:tc>
          <w:tcPr>
            <w:tcW w:w="1656"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5BF5CFE1" w14:textId="097AD1B0" w:rsidR="000C0BD3" w:rsidRPr="004815C1" w:rsidRDefault="00814190"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134</w:t>
            </w:r>
          </w:p>
        </w:tc>
        <w:tc>
          <w:tcPr>
            <w:tcW w:w="1656" w:type="dxa"/>
            <w:tcBorders>
              <w:top w:val="single" w:sz="4" w:space="0" w:color="auto"/>
              <w:left w:val="single" w:sz="8" w:space="0" w:color="0070C0"/>
              <w:bottom w:val="single" w:sz="4" w:space="0" w:color="000000"/>
              <w:right w:val="single" w:sz="8" w:space="0" w:color="0070C0"/>
            </w:tcBorders>
            <w:shd w:val="clear" w:color="auto" w:fill="F2F2F2" w:themeFill="background1" w:themeFillShade="F2"/>
            <w:vAlign w:val="center"/>
          </w:tcPr>
          <w:p w14:paraId="0034DE95" w14:textId="2B5914DC" w:rsidR="000C0BD3" w:rsidRPr="004815C1" w:rsidRDefault="000C0BD3"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sidRPr="000C0BD3">
              <w:rPr>
                <w:rFonts w:ascii="Verdana" w:hAnsi="Verdana"/>
                <w:sz w:val="20"/>
                <w:szCs w:val="20"/>
              </w:rPr>
              <w:t>†</w:t>
            </w:r>
          </w:p>
        </w:tc>
        <w:tc>
          <w:tcPr>
            <w:tcW w:w="1656" w:type="dxa"/>
            <w:tcBorders>
              <w:top w:val="single" w:sz="4" w:space="0" w:color="auto"/>
              <w:left w:val="single" w:sz="8" w:space="0" w:color="0070C0"/>
              <w:bottom w:val="single" w:sz="4" w:space="0" w:color="000000"/>
              <w:right w:val="single" w:sz="8" w:space="0" w:color="0070C0"/>
            </w:tcBorders>
            <w:shd w:val="clear" w:color="auto" w:fill="F2DBDB" w:themeFill="accent2" w:themeFillTint="33"/>
            <w:vAlign w:val="center"/>
          </w:tcPr>
          <w:p w14:paraId="074BA691" w14:textId="536B4234" w:rsidR="000C0BD3" w:rsidRPr="004815C1" w:rsidRDefault="00814190"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96</w:t>
            </w:r>
          </w:p>
        </w:tc>
        <w:tc>
          <w:tcPr>
            <w:tcW w:w="1656" w:type="dxa"/>
            <w:tcBorders>
              <w:top w:val="single" w:sz="4" w:space="0" w:color="auto"/>
              <w:left w:val="single" w:sz="8" w:space="0" w:color="0070C0"/>
              <w:bottom w:val="single" w:sz="4" w:space="0" w:color="000000"/>
              <w:right w:val="single" w:sz="12" w:space="0" w:color="000000"/>
            </w:tcBorders>
            <w:shd w:val="clear" w:color="auto" w:fill="E5B8B7" w:themeFill="accent2" w:themeFillTint="66"/>
            <w:vAlign w:val="center"/>
          </w:tcPr>
          <w:p w14:paraId="7C41B123" w14:textId="6F4499DA" w:rsidR="000C0BD3" w:rsidRPr="004815C1" w:rsidRDefault="00814190"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88</w:t>
            </w:r>
          </w:p>
        </w:tc>
      </w:tr>
      <w:tr w:rsidR="00C50E94" w:rsidRPr="005D1511" w14:paraId="570D034B" w14:textId="77777777" w:rsidTr="00C50E94">
        <w:tblPrEx>
          <w:tblBorders>
            <w:top w:val="none" w:sz="0" w:space="0" w:color="auto"/>
          </w:tblBorders>
        </w:tblPrEx>
        <w:trPr>
          <w:jc w:val="center"/>
        </w:trPr>
        <w:tc>
          <w:tcPr>
            <w:tcW w:w="2468" w:type="dxa"/>
            <w:tcBorders>
              <w:top w:val="single" w:sz="4" w:space="0" w:color="000000"/>
              <w:left w:val="single" w:sz="12" w:space="0" w:color="000000"/>
              <w:bottom w:val="single" w:sz="12" w:space="0" w:color="auto"/>
              <w:right w:val="single" w:sz="18" w:space="0" w:color="0070C0"/>
            </w:tcBorders>
            <w:shd w:val="clear" w:color="auto" w:fill="auto"/>
            <w:vAlign w:val="center"/>
          </w:tcPr>
          <w:p w14:paraId="412BCFCD" w14:textId="49B5B9B8" w:rsidR="000C0BD3" w:rsidRPr="004815C1" w:rsidRDefault="000C0BD3" w:rsidP="005B42D8">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$1 million or more</w:t>
            </w:r>
          </w:p>
        </w:tc>
        <w:tc>
          <w:tcPr>
            <w:tcW w:w="1657" w:type="dxa"/>
            <w:tcBorders>
              <w:top w:val="single" w:sz="4" w:space="0" w:color="000000"/>
              <w:left w:val="single" w:sz="18" w:space="0" w:color="0070C0"/>
              <w:bottom w:val="single" w:sz="12" w:space="0" w:color="auto"/>
              <w:right w:val="single" w:sz="8" w:space="0" w:color="0070C0"/>
            </w:tcBorders>
            <w:shd w:val="clear" w:color="auto" w:fill="F2F2F2" w:themeFill="background1" w:themeFillShade="F2"/>
            <w:vAlign w:val="center"/>
          </w:tcPr>
          <w:p w14:paraId="48CFBC52" w14:textId="04C70119" w:rsidR="000C0BD3" w:rsidRPr="000C0BD3" w:rsidRDefault="000C0BD3"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sidRPr="000C0BD3">
              <w:rPr>
                <w:rFonts w:ascii="Verdana" w:hAnsi="Verdana"/>
                <w:sz w:val="20"/>
                <w:szCs w:val="20"/>
              </w:rPr>
              <w:t>†</w:t>
            </w:r>
          </w:p>
        </w:tc>
        <w:tc>
          <w:tcPr>
            <w:tcW w:w="1656" w:type="dxa"/>
            <w:tcBorders>
              <w:top w:val="single" w:sz="4" w:space="0" w:color="000000"/>
              <w:left w:val="single" w:sz="8" w:space="0" w:color="0070C0"/>
              <w:bottom w:val="single" w:sz="12" w:space="0" w:color="auto"/>
              <w:right w:val="single" w:sz="8" w:space="0" w:color="0070C0"/>
            </w:tcBorders>
            <w:shd w:val="clear" w:color="auto" w:fill="00B050"/>
            <w:vAlign w:val="center"/>
          </w:tcPr>
          <w:p w14:paraId="64786F40" w14:textId="225847CF" w:rsidR="000C0BD3" w:rsidRPr="004815C1" w:rsidRDefault="00814190"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170</w:t>
            </w:r>
          </w:p>
        </w:tc>
        <w:tc>
          <w:tcPr>
            <w:tcW w:w="1656" w:type="dxa"/>
            <w:tcBorders>
              <w:top w:val="single" w:sz="4" w:space="0" w:color="000000"/>
              <w:left w:val="single" w:sz="8" w:space="0" w:color="0070C0"/>
              <w:bottom w:val="single" w:sz="12" w:space="0" w:color="auto"/>
              <w:right w:val="single" w:sz="8" w:space="0" w:color="0070C0"/>
            </w:tcBorders>
            <w:shd w:val="clear" w:color="auto" w:fill="F2F2F2" w:themeFill="background1" w:themeFillShade="F2"/>
            <w:vAlign w:val="center"/>
          </w:tcPr>
          <w:p w14:paraId="7B50E5CE" w14:textId="3C15CCA8" w:rsidR="000C0BD3" w:rsidRPr="00B00624" w:rsidRDefault="000C0BD3"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sidRPr="000C0BD3">
              <w:rPr>
                <w:rFonts w:ascii="Verdana" w:hAnsi="Verdana"/>
                <w:sz w:val="20"/>
                <w:szCs w:val="20"/>
              </w:rPr>
              <w:t>†</w:t>
            </w:r>
          </w:p>
        </w:tc>
        <w:tc>
          <w:tcPr>
            <w:tcW w:w="1656" w:type="dxa"/>
            <w:tcBorders>
              <w:top w:val="single" w:sz="4" w:space="0" w:color="000000"/>
              <w:left w:val="single" w:sz="8" w:space="0" w:color="0070C0"/>
              <w:bottom w:val="single" w:sz="12" w:space="0" w:color="auto"/>
              <w:right w:val="single" w:sz="8" w:space="0" w:color="0070C0"/>
            </w:tcBorders>
            <w:shd w:val="clear" w:color="auto" w:fill="FF0000"/>
            <w:vAlign w:val="center"/>
          </w:tcPr>
          <w:p w14:paraId="698CFDD4" w14:textId="18F2DD65" w:rsidR="000C0BD3" w:rsidRPr="004815C1" w:rsidRDefault="00814190"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35</w:t>
            </w:r>
          </w:p>
        </w:tc>
        <w:tc>
          <w:tcPr>
            <w:tcW w:w="1656" w:type="dxa"/>
            <w:tcBorders>
              <w:top w:val="single" w:sz="4" w:space="0" w:color="000000"/>
              <w:left w:val="single" w:sz="8" w:space="0" w:color="0070C0"/>
              <w:bottom w:val="single" w:sz="12" w:space="0" w:color="auto"/>
              <w:right w:val="single" w:sz="12" w:space="0" w:color="000000"/>
            </w:tcBorders>
            <w:shd w:val="clear" w:color="auto" w:fill="D6E3BC" w:themeFill="accent3" w:themeFillTint="66"/>
            <w:vAlign w:val="center"/>
          </w:tcPr>
          <w:p w14:paraId="60F2A0BB" w14:textId="263A6876" w:rsidR="000C0BD3" w:rsidRPr="00493053" w:rsidRDefault="00814190"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120</w:t>
            </w:r>
          </w:p>
        </w:tc>
      </w:tr>
    </w:tbl>
    <w:p w14:paraId="771F14DE" w14:textId="77777777" w:rsidR="00814190" w:rsidRDefault="000C0BD3" w:rsidP="00814190">
      <w:pPr>
        <w:spacing w:after="0" w:line="240" w:lineRule="auto"/>
        <w:ind w:hanging="720"/>
        <w:contextualSpacing/>
        <w:mirrorIndents/>
        <w:rPr>
          <w:sz w:val="16"/>
          <w:szCs w:val="16"/>
        </w:rPr>
      </w:pPr>
      <w:r w:rsidRPr="00573142">
        <w:rPr>
          <w:sz w:val="16"/>
          <w:szCs w:val="16"/>
        </w:rPr>
        <w:t xml:space="preserve">Based on The Media Audit’s 2021 surveys  </w:t>
      </w:r>
      <w:r w:rsidRPr="00573142">
        <w:rPr>
          <w:sz w:val="16"/>
          <w:szCs w:val="16"/>
        </w:rPr>
        <w:tab/>
      </w:r>
    </w:p>
    <w:p w14:paraId="29443A86" w14:textId="1BF09209" w:rsidR="000C0BD3" w:rsidRPr="00814190" w:rsidRDefault="000C0BD3" w:rsidP="00814190">
      <w:pPr>
        <w:spacing w:after="0" w:line="240" w:lineRule="auto"/>
        <w:ind w:hanging="720"/>
        <w:contextualSpacing/>
        <w:mirrorIndents/>
        <w:rPr>
          <w:sz w:val="16"/>
          <w:szCs w:val="16"/>
        </w:rPr>
      </w:pPr>
      <w:r>
        <w:rPr>
          <w:sz w:val="16"/>
          <w:szCs w:val="16"/>
        </w:rPr>
        <w:t>*</w:t>
      </w:r>
      <w:r w:rsidR="00814190">
        <w:rPr>
          <w:sz w:val="16"/>
          <w:szCs w:val="16"/>
        </w:rPr>
        <w:t>Belknap, Cheshire, Hillsborough, Merrimack, Rockingham and Strafford counties</w:t>
      </w:r>
      <w:r>
        <w:rPr>
          <w:sz w:val="16"/>
          <w:szCs w:val="16"/>
        </w:rPr>
        <w:tab/>
      </w:r>
      <w:r>
        <w:rPr>
          <w:rFonts w:ascii="Verdana" w:hAnsi="Verdana"/>
          <w:sz w:val="16"/>
          <w:szCs w:val="16"/>
        </w:rPr>
        <w:t>†</w:t>
      </w:r>
      <w:r>
        <w:rPr>
          <w:sz w:val="16"/>
          <w:szCs w:val="16"/>
        </w:rPr>
        <w:t>insufficient data</w:t>
      </w:r>
    </w:p>
    <w:p w14:paraId="7F77EFF8" w14:textId="77777777" w:rsidR="007375D8" w:rsidRDefault="007375D8" w:rsidP="00997401">
      <w:pPr>
        <w:spacing w:after="0" w:line="240" w:lineRule="auto"/>
        <w:contextualSpacing/>
        <w:mirrorIndents/>
        <w:rPr>
          <w:rFonts w:ascii="Verdana" w:hAnsi="Verdana"/>
          <w:sz w:val="20"/>
          <w:szCs w:val="20"/>
        </w:rPr>
      </w:pPr>
    </w:p>
    <w:p w14:paraId="3CEA3A69" w14:textId="0AD09885" w:rsidR="00997401" w:rsidRPr="008B6C48" w:rsidRDefault="00997401" w:rsidP="008B6C48">
      <w:pPr>
        <w:spacing w:after="0" w:line="240" w:lineRule="auto"/>
        <w:contextualSpacing/>
        <w:mirrorIndents/>
        <w:jc w:val="center"/>
        <w:rPr>
          <w:rFonts w:ascii="Verdana" w:hAnsi="Verdana"/>
          <w:b/>
          <w:bCs/>
          <w:color w:val="0070C0"/>
          <w:sz w:val="20"/>
          <w:szCs w:val="20"/>
        </w:rPr>
      </w:pPr>
      <w:r w:rsidRPr="008B6C48">
        <w:rPr>
          <w:rFonts w:ascii="Verdana" w:hAnsi="Verdana"/>
          <w:b/>
          <w:bCs/>
          <w:color w:val="0070C0"/>
          <w:sz w:val="20"/>
          <w:szCs w:val="20"/>
        </w:rPr>
        <w:t>Housing Market Challenges</w:t>
      </w:r>
    </w:p>
    <w:p w14:paraId="286AC9F6" w14:textId="77777777" w:rsidR="00F94CE8" w:rsidRPr="00997401" w:rsidRDefault="00F94CE8" w:rsidP="00997401">
      <w:pPr>
        <w:pStyle w:val="NoSpacing"/>
        <w:contextualSpacing/>
        <w:mirrorIndents/>
        <w:rPr>
          <w:rFonts w:ascii="Verdana" w:hAnsi="Verdana"/>
          <w:sz w:val="20"/>
          <w:szCs w:val="20"/>
        </w:rPr>
      </w:pPr>
    </w:p>
    <w:p w14:paraId="23D2BAA2" w14:textId="671A7240" w:rsidR="00F94CE8" w:rsidRPr="00997401" w:rsidRDefault="00DD449C" w:rsidP="00997401">
      <w:pPr>
        <w:pStyle w:val="NoSpacing"/>
        <w:contextualSpacing/>
        <w:mirrorIndents/>
        <w:rPr>
          <w:rFonts w:ascii="Verdana" w:hAnsi="Verdana"/>
          <w:sz w:val="20"/>
          <w:szCs w:val="20"/>
        </w:rPr>
      </w:pPr>
      <w:r>
        <w:rPr>
          <w:rFonts w:ascii="Verdana" w:hAnsi="Verdana"/>
          <w:sz w:val="20"/>
          <w:szCs w:val="20"/>
        </w:rPr>
        <w:t>The housing market has a direct impact on project opportunities for trades professionals, both to build new homes and provide various services to owners of new and existing homes. According to multiple sources, millions of homes are needed to satisfy demand.</w:t>
      </w:r>
    </w:p>
    <w:p w14:paraId="664EB1A4" w14:textId="77777777" w:rsidR="00F94CE8" w:rsidRPr="00997401" w:rsidRDefault="00F94CE8" w:rsidP="00997401">
      <w:pPr>
        <w:pStyle w:val="NoSpacing"/>
        <w:contextualSpacing/>
        <w:mirrorIndents/>
        <w:rPr>
          <w:rFonts w:ascii="Verdana" w:hAnsi="Verdana"/>
          <w:sz w:val="20"/>
          <w:szCs w:val="20"/>
        </w:rPr>
      </w:pPr>
    </w:p>
    <w:p w14:paraId="7401C3C8" w14:textId="55BF0EB5" w:rsidR="00F94CE8" w:rsidRPr="00997401" w:rsidRDefault="00BD3178" w:rsidP="00997401">
      <w:pPr>
        <w:pStyle w:val="NoSpacing"/>
        <w:contextualSpacing/>
        <w:mirrorIndents/>
        <w:rPr>
          <w:rFonts w:ascii="Verdana" w:hAnsi="Verdana"/>
          <w:sz w:val="20"/>
          <w:szCs w:val="20"/>
        </w:rPr>
      </w:pPr>
      <w:r>
        <w:rPr>
          <w:rFonts w:ascii="Verdana" w:hAnsi="Verdana"/>
          <w:sz w:val="20"/>
          <w:szCs w:val="20"/>
        </w:rPr>
        <w:t>H</w:t>
      </w:r>
      <w:r w:rsidR="00DD449C">
        <w:rPr>
          <w:rFonts w:ascii="Verdana" w:hAnsi="Verdana"/>
          <w:sz w:val="20"/>
          <w:szCs w:val="20"/>
        </w:rPr>
        <w:t>ousing starts increased 12.2% during the first two months of 2022</w:t>
      </w:r>
      <w:r>
        <w:rPr>
          <w:rFonts w:ascii="Verdana" w:hAnsi="Verdana"/>
          <w:sz w:val="20"/>
          <w:szCs w:val="20"/>
        </w:rPr>
        <w:t xml:space="preserve">. February 2022 privately-owned housing completions decreased 2.8% YOY on a seasonally adjusted annual rate, but single-housing completions increased 12.1% from January. </w:t>
      </w:r>
    </w:p>
    <w:p w14:paraId="02C0BC62" w14:textId="42141C6A" w:rsidR="00F94CE8" w:rsidRDefault="00F94CE8" w:rsidP="00997401">
      <w:pPr>
        <w:pStyle w:val="NoSpacing"/>
        <w:contextualSpacing/>
        <w:mirrorIndents/>
        <w:rPr>
          <w:rFonts w:ascii="Verdana" w:hAnsi="Verdana"/>
          <w:sz w:val="20"/>
          <w:szCs w:val="20"/>
        </w:rPr>
      </w:pPr>
    </w:p>
    <w:p w14:paraId="1892E0A2" w14:textId="71BE8A4A" w:rsidR="00892732" w:rsidRPr="00997401" w:rsidRDefault="00892732" w:rsidP="00997401">
      <w:pPr>
        <w:pStyle w:val="NoSpacing"/>
        <w:contextualSpacing/>
        <w:mirrorIndents/>
        <w:rPr>
          <w:rFonts w:ascii="Verdana" w:hAnsi="Verdana"/>
          <w:sz w:val="20"/>
          <w:szCs w:val="20"/>
        </w:rPr>
      </w:pPr>
      <w:r>
        <w:rPr>
          <w:rFonts w:ascii="Verdana" w:hAnsi="Verdana"/>
          <w:sz w:val="20"/>
          <w:szCs w:val="20"/>
        </w:rPr>
        <w:t xml:space="preserve">The National Association of Realtors (NAR) reports pending-home transactions decreased </w:t>
      </w:r>
      <w:r w:rsidR="00CF0AD6">
        <w:rPr>
          <w:rFonts w:ascii="Verdana" w:hAnsi="Verdana"/>
          <w:sz w:val="20"/>
          <w:szCs w:val="20"/>
        </w:rPr>
        <w:t xml:space="preserve">by </w:t>
      </w:r>
      <w:r>
        <w:rPr>
          <w:rFonts w:ascii="Verdana" w:hAnsi="Verdana"/>
          <w:sz w:val="20"/>
          <w:szCs w:val="20"/>
        </w:rPr>
        <w:t xml:space="preserve">5.4% during February. The NAR forecasts a 2022 mortgage rate of 4.5% to 5.0% and a 7% decrease in total homes sold compared to 2021. </w:t>
      </w:r>
    </w:p>
    <w:p w14:paraId="3A5080E9" w14:textId="77777777" w:rsidR="00F94CE8" w:rsidRPr="00997401" w:rsidRDefault="00F94CE8" w:rsidP="00997401">
      <w:pPr>
        <w:pStyle w:val="NoSpacing"/>
        <w:contextualSpacing/>
        <w:mirrorIndents/>
        <w:rPr>
          <w:rFonts w:ascii="Verdana" w:hAnsi="Verdana"/>
          <w:sz w:val="20"/>
          <w:szCs w:val="20"/>
        </w:rPr>
      </w:pPr>
    </w:p>
    <w:p w14:paraId="3D6E3712" w14:textId="77777777" w:rsidR="00F94CE8" w:rsidRPr="00997401" w:rsidRDefault="00F94CE8" w:rsidP="00997401">
      <w:pPr>
        <w:pStyle w:val="NoSpacing"/>
        <w:contextualSpacing/>
        <w:mirrorIndents/>
        <w:rPr>
          <w:rFonts w:ascii="Verdana" w:hAnsi="Verdana"/>
          <w:sz w:val="20"/>
          <w:szCs w:val="20"/>
        </w:rPr>
      </w:pPr>
    </w:p>
    <w:p w14:paraId="484391DE" w14:textId="77777777" w:rsidR="00F94CE8" w:rsidRPr="00997401" w:rsidRDefault="00F94CE8" w:rsidP="00997401">
      <w:pPr>
        <w:pStyle w:val="NoSpacing"/>
        <w:contextualSpacing/>
        <w:mirrorIndents/>
        <w:rPr>
          <w:rFonts w:ascii="Verdana" w:hAnsi="Verdana"/>
          <w:sz w:val="20"/>
          <w:szCs w:val="20"/>
        </w:rPr>
      </w:pPr>
    </w:p>
    <w:p w14:paraId="633FD3CD" w14:textId="77777777" w:rsidR="00F94CE8" w:rsidRPr="00997401" w:rsidRDefault="00F94CE8" w:rsidP="00997401">
      <w:pPr>
        <w:pStyle w:val="NoSpacing"/>
        <w:contextualSpacing/>
        <w:mirrorIndents/>
        <w:rPr>
          <w:rFonts w:ascii="Verdana" w:hAnsi="Verdana"/>
          <w:sz w:val="20"/>
          <w:szCs w:val="20"/>
        </w:rPr>
      </w:pPr>
    </w:p>
    <w:p w14:paraId="22AD5DBB" w14:textId="77777777" w:rsidR="00F94CE8" w:rsidRPr="00997401" w:rsidRDefault="00F94CE8" w:rsidP="00997401">
      <w:pPr>
        <w:pStyle w:val="NoSpacing"/>
        <w:contextualSpacing/>
        <w:mirrorIndents/>
        <w:rPr>
          <w:rFonts w:ascii="Verdana" w:hAnsi="Verdana"/>
          <w:sz w:val="20"/>
          <w:szCs w:val="20"/>
        </w:rPr>
      </w:pPr>
    </w:p>
    <w:p w14:paraId="6FF184E1" w14:textId="77777777" w:rsidR="00F94CE8" w:rsidRPr="00997401" w:rsidRDefault="00F94CE8" w:rsidP="00997401">
      <w:pPr>
        <w:pStyle w:val="NoSpacing"/>
        <w:contextualSpacing/>
        <w:mirrorIndents/>
        <w:rPr>
          <w:rFonts w:ascii="Verdana" w:hAnsi="Verdana"/>
          <w:sz w:val="20"/>
          <w:szCs w:val="20"/>
        </w:rPr>
      </w:pPr>
    </w:p>
    <w:p w14:paraId="1F83A38D" w14:textId="77777777" w:rsidR="00F94CE8" w:rsidRPr="00997401" w:rsidRDefault="00F94CE8" w:rsidP="00997401">
      <w:pPr>
        <w:pStyle w:val="NoSpacing"/>
        <w:contextualSpacing/>
        <w:mirrorIndents/>
        <w:rPr>
          <w:rFonts w:ascii="Verdana" w:hAnsi="Verdana"/>
          <w:sz w:val="20"/>
          <w:szCs w:val="20"/>
        </w:rPr>
      </w:pPr>
    </w:p>
    <w:p w14:paraId="18261CC9" w14:textId="77777777" w:rsidR="00F94CE8" w:rsidRPr="00997401" w:rsidRDefault="00F94CE8" w:rsidP="00997401">
      <w:pPr>
        <w:pStyle w:val="NoSpacing"/>
        <w:contextualSpacing/>
        <w:mirrorIndents/>
        <w:rPr>
          <w:rFonts w:ascii="Verdana" w:hAnsi="Verdana"/>
          <w:sz w:val="20"/>
          <w:szCs w:val="20"/>
        </w:rPr>
      </w:pPr>
    </w:p>
    <w:p w14:paraId="092B0637" w14:textId="77777777" w:rsidR="00F94CE8" w:rsidRPr="00997401" w:rsidRDefault="00F94CE8" w:rsidP="00997401">
      <w:pPr>
        <w:pStyle w:val="NoSpacing"/>
        <w:contextualSpacing/>
        <w:mirrorIndents/>
        <w:rPr>
          <w:rFonts w:ascii="Verdana" w:hAnsi="Verdana"/>
          <w:sz w:val="20"/>
          <w:szCs w:val="20"/>
        </w:rPr>
      </w:pPr>
    </w:p>
    <w:p w14:paraId="05B35E5D" w14:textId="3AFAA724" w:rsidR="00F94CE8" w:rsidRPr="00B75062" w:rsidRDefault="00FB418C" w:rsidP="00F94CE8">
      <w:pPr>
        <w:pStyle w:val="NoSpacing"/>
        <w:contextualSpacing/>
        <w:jc w:val="center"/>
        <w:rPr>
          <w:b/>
          <w:color w:val="0070C0"/>
          <w:sz w:val="20"/>
          <w:szCs w:val="20"/>
        </w:rPr>
      </w:pPr>
      <w:r>
        <w:rPr>
          <w:b/>
          <w:color w:val="0070C0"/>
          <w:sz w:val="20"/>
          <w:szCs w:val="20"/>
        </w:rPr>
        <w:lastRenderedPageBreak/>
        <w:t>More Valuable Insights</w:t>
      </w:r>
    </w:p>
    <w:p w14:paraId="4D37D21A" w14:textId="4C0825F6" w:rsidR="00F94CE8" w:rsidRDefault="00F94CE8" w:rsidP="00F94CE8">
      <w:pPr>
        <w:pStyle w:val="NoSpacing"/>
        <w:contextualSpacing/>
        <w:rPr>
          <w:sz w:val="20"/>
          <w:szCs w:val="20"/>
        </w:rPr>
      </w:pPr>
    </w:p>
    <w:p w14:paraId="6FA53E3C" w14:textId="29B72774" w:rsidR="005A207B" w:rsidRDefault="0030496A" w:rsidP="00F94CE8">
      <w:pPr>
        <w:pStyle w:val="NoSpacing"/>
        <w:contextualSpacing/>
        <w:rPr>
          <w:sz w:val="20"/>
          <w:szCs w:val="20"/>
        </w:rPr>
      </w:pPr>
      <w:r>
        <w:rPr>
          <w:sz w:val="20"/>
          <w:szCs w:val="20"/>
        </w:rPr>
        <w:t>The Media Audit database of 2021 proprietary consumer/market surveys also reveals what adults 18+ were spending for various home improvement projects. The table below compares those who completed a plumbing, electrical and HVAC home improvement project during the past 12 months and how much they spent. Unsurprisingly, larger percentages of adults 18+ spend more for HVAC home improvement projects than plumbing and electrical, some of which are DIY projects.</w:t>
      </w:r>
    </w:p>
    <w:p w14:paraId="1A98DB58" w14:textId="7523883F" w:rsidR="005A207B" w:rsidRDefault="005A207B" w:rsidP="00F94CE8">
      <w:pPr>
        <w:pStyle w:val="NoSpacing"/>
        <w:contextualSpacing/>
        <w:rPr>
          <w:sz w:val="20"/>
          <w:szCs w:val="20"/>
        </w:rPr>
      </w:pPr>
    </w:p>
    <w:p w14:paraId="4D865ECC" w14:textId="625A9CCD" w:rsidR="0030496A" w:rsidRPr="005D1511" w:rsidRDefault="0030496A" w:rsidP="0030496A">
      <w:pPr>
        <w:spacing w:after="0" w:line="240" w:lineRule="auto"/>
        <w:contextualSpacing/>
        <w:mirrorIndents/>
        <w:jc w:val="center"/>
        <w:rPr>
          <w:b/>
          <w:bCs/>
          <w:sz w:val="20"/>
          <w:szCs w:val="20"/>
        </w:rPr>
      </w:pPr>
      <w:r>
        <w:rPr>
          <w:b/>
          <w:bCs/>
          <w:sz w:val="20"/>
          <w:szCs w:val="20"/>
        </w:rPr>
        <w:t xml:space="preserve">How Much </w:t>
      </w:r>
      <w:r>
        <w:rPr>
          <w:b/>
          <w:bCs/>
          <w:sz w:val="20"/>
          <w:szCs w:val="20"/>
        </w:rPr>
        <w:t xml:space="preserve">Adults 18+ </w:t>
      </w:r>
      <w:r>
        <w:rPr>
          <w:b/>
          <w:bCs/>
          <w:sz w:val="20"/>
          <w:szCs w:val="20"/>
        </w:rPr>
        <w:t>Spent for a Plumbing, Electrical</w:t>
      </w:r>
      <w:r>
        <w:rPr>
          <w:b/>
          <w:bCs/>
          <w:sz w:val="20"/>
          <w:szCs w:val="20"/>
        </w:rPr>
        <w:t xml:space="preserve"> </w:t>
      </w:r>
      <w:r>
        <w:rPr>
          <w:b/>
          <w:bCs/>
          <w:sz w:val="20"/>
          <w:szCs w:val="20"/>
        </w:rPr>
        <w:t>or</w:t>
      </w:r>
      <w:r>
        <w:rPr>
          <w:b/>
          <w:bCs/>
          <w:sz w:val="20"/>
          <w:szCs w:val="20"/>
        </w:rPr>
        <w:t xml:space="preserve"> HVAC Improvement </w:t>
      </w:r>
      <w:r>
        <w:rPr>
          <w:b/>
          <w:bCs/>
          <w:sz w:val="20"/>
          <w:szCs w:val="20"/>
        </w:rPr>
        <w:t xml:space="preserve"> </w:t>
      </w:r>
      <w:r>
        <w:rPr>
          <w:b/>
          <w:bCs/>
          <w:sz w:val="20"/>
          <w:szCs w:val="20"/>
        </w:rPr>
        <w:t xml:space="preserve">Project During the </w:t>
      </w:r>
      <w:r>
        <w:rPr>
          <w:b/>
          <w:bCs/>
          <w:sz w:val="20"/>
          <w:szCs w:val="20"/>
        </w:rPr>
        <w:t>Past</w:t>
      </w:r>
      <w:r>
        <w:rPr>
          <w:b/>
          <w:bCs/>
          <w:sz w:val="20"/>
          <w:szCs w:val="20"/>
        </w:rPr>
        <w:t xml:space="preserve"> 12 Months by </w:t>
      </w:r>
      <w:r>
        <w:rPr>
          <w:b/>
          <w:bCs/>
          <w:sz w:val="20"/>
          <w:szCs w:val="20"/>
        </w:rPr>
        <w:t>Percentage</w:t>
      </w:r>
      <w:r>
        <w:rPr>
          <w:b/>
          <w:bCs/>
          <w:sz w:val="20"/>
          <w:szCs w:val="20"/>
        </w:rPr>
        <w:t>, in Selected Markets</w:t>
      </w:r>
      <w:r w:rsidRPr="005D1511">
        <w:rPr>
          <w:b/>
          <w:bCs/>
          <w:sz w:val="20"/>
          <w:szCs w:val="20"/>
        </w:rPr>
        <w:t>, 202</w:t>
      </w:r>
      <w:r>
        <w:rPr>
          <w:b/>
          <w:bCs/>
          <w:sz w:val="20"/>
          <w:szCs w:val="20"/>
        </w:rPr>
        <w:t>1</w:t>
      </w:r>
    </w:p>
    <w:tbl>
      <w:tblPr>
        <w:tblW w:w="9958"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2468"/>
        <w:gridCol w:w="1498"/>
        <w:gridCol w:w="1498"/>
        <w:gridCol w:w="1498"/>
        <w:gridCol w:w="1498"/>
        <w:gridCol w:w="1498"/>
      </w:tblGrid>
      <w:tr w:rsidR="0030496A" w:rsidRPr="005D1511" w14:paraId="7628E77F" w14:textId="77777777" w:rsidTr="0064614F">
        <w:trPr>
          <w:jc w:val="center"/>
        </w:trPr>
        <w:tc>
          <w:tcPr>
            <w:tcW w:w="2468" w:type="dxa"/>
            <w:tcBorders>
              <w:top w:val="single" w:sz="12" w:space="0" w:color="000000"/>
              <w:left w:val="single" w:sz="12" w:space="0" w:color="000000"/>
              <w:bottom w:val="single" w:sz="18" w:space="0" w:color="C0504D" w:themeColor="accent2"/>
              <w:right w:val="single" w:sz="18" w:space="0" w:color="0070C0"/>
            </w:tcBorders>
            <w:shd w:val="clear" w:color="auto" w:fill="auto"/>
            <w:vAlign w:val="center"/>
          </w:tcPr>
          <w:p w14:paraId="4D0F19A5" w14:textId="5B5F41A3" w:rsidR="0030496A" w:rsidRPr="004815C1" w:rsidRDefault="0064614F" w:rsidP="005B42D8">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Home Improvement Project</w:t>
            </w:r>
          </w:p>
        </w:tc>
        <w:tc>
          <w:tcPr>
            <w:tcW w:w="1498" w:type="dxa"/>
            <w:tcBorders>
              <w:top w:val="single" w:sz="12" w:space="0" w:color="000000"/>
              <w:left w:val="single" w:sz="18" w:space="0" w:color="0070C0"/>
              <w:bottom w:val="single" w:sz="18" w:space="0" w:color="C0504D" w:themeColor="accent2"/>
              <w:right w:val="single" w:sz="8" w:space="0" w:color="0070C0"/>
            </w:tcBorders>
            <w:shd w:val="clear" w:color="auto" w:fill="auto"/>
            <w:vAlign w:val="center"/>
          </w:tcPr>
          <w:p w14:paraId="5757AE2D" w14:textId="786E6493" w:rsidR="0030496A" w:rsidRPr="004815C1" w:rsidRDefault="0064614F" w:rsidP="005B42D8">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West Palm Beach, FL</w:t>
            </w:r>
          </w:p>
        </w:tc>
        <w:tc>
          <w:tcPr>
            <w:tcW w:w="1498"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59C1C904" w14:textId="77777777" w:rsidR="0030496A" w:rsidRPr="004815C1" w:rsidRDefault="0030496A" w:rsidP="005B42D8">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Chicago</w:t>
            </w:r>
          </w:p>
        </w:tc>
        <w:tc>
          <w:tcPr>
            <w:tcW w:w="1498"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7A498208" w14:textId="04EC729A" w:rsidR="0030496A" w:rsidRPr="004815C1" w:rsidRDefault="0064614F" w:rsidP="005B42D8">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Little Rock</w:t>
            </w:r>
          </w:p>
        </w:tc>
        <w:tc>
          <w:tcPr>
            <w:tcW w:w="1498"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710E561A" w14:textId="3543A91F" w:rsidR="0030496A" w:rsidRPr="004815C1" w:rsidRDefault="0064614F" w:rsidP="005B42D8">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Denver</w:t>
            </w:r>
          </w:p>
        </w:tc>
        <w:tc>
          <w:tcPr>
            <w:tcW w:w="1498" w:type="dxa"/>
            <w:tcBorders>
              <w:top w:val="single" w:sz="12" w:space="0" w:color="000000"/>
              <w:left w:val="single" w:sz="8" w:space="0" w:color="0070C0"/>
              <w:bottom w:val="single" w:sz="18" w:space="0" w:color="C0504D" w:themeColor="accent2"/>
              <w:right w:val="single" w:sz="12" w:space="0" w:color="000000"/>
            </w:tcBorders>
            <w:shd w:val="clear" w:color="auto" w:fill="auto"/>
            <w:vAlign w:val="center"/>
          </w:tcPr>
          <w:p w14:paraId="4E0A248C" w14:textId="35625AE6" w:rsidR="0030496A" w:rsidRPr="004815C1" w:rsidRDefault="0064614F" w:rsidP="005B42D8">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Portland, OR</w:t>
            </w:r>
          </w:p>
        </w:tc>
      </w:tr>
      <w:tr w:rsidR="0030496A" w:rsidRPr="005D1511" w14:paraId="0F6C3823" w14:textId="77777777" w:rsidTr="0064614F">
        <w:tblPrEx>
          <w:tblBorders>
            <w:top w:val="none" w:sz="0" w:space="0" w:color="auto"/>
          </w:tblBorders>
        </w:tblPrEx>
        <w:trPr>
          <w:jc w:val="center"/>
        </w:trPr>
        <w:tc>
          <w:tcPr>
            <w:tcW w:w="2468" w:type="dxa"/>
            <w:tcBorders>
              <w:top w:val="single" w:sz="18" w:space="0" w:color="C0504D" w:themeColor="accent2"/>
              <w:left w:val="single" w:sz="12" w:space="0" w:color="000000"/>
              <w:bottom w:val="single" w:sz="4" w:space="0" w:color="000000"/>
              <w:right w:val="single" w:sz="18" w:space="0" w:color="0070C0"/>
            </w:tcBorders>
            <w:shd w:val="clear" w:color="auto" w:fill="auto"/>
            <w:vAlign w:val="center"/>
          </w:tcPr>
          <w:p w14:paraId="1A45EEC5" w14:textId="0EFBC916" w:rsidR="0030496A" w:rsidRPr="0064614F" w:rsidRDefault="0064614F" w:rsidP="005B42D8">
            <w:pPr>
              <w:widowControl w:val="0"/>
              <w:tabs>
                <w:tab w:val="left" w:pos="220"/>
                <w:tab w:val="left" w:pos="720"/>
              </w:tabs>
              <w:autoSpaceDE w:val="0"/>
              <w:autoSpaceDN w:val="0"/>
              <w:spacing w:after="0" w:line="240" w:lineRule="auto"/>
              <w:contextualSpacing/>
              <w:mirrorIndents/>
              <w:rPr>
                <w:rFonts w:ascii="Verdana" w:eastAsia="Times New Roman" w:hAnsi="Verdana"/>
                <w:b/>
                <w:bCs/>
                <w:sz w:val="20"/>
                <w:szCs w:val="20"/>
              </w:rPr>
            </w:pPr>
            <w:r w:rsidRPr="0064614F">
              <w:rPr>
                <w:rFonts w:ascii="Verdana" w:eastAsia="Times New Roman" w:hAnsi="Verdana"/>
                <w:b/>
                <w:bCs/>
                <w:sz w:val="20"/>
                <w:szCs w:val="20"/>
              </w:rPr>
              <w:t>Plumbing</w:t>
            </w:r>
          </w:p>
        </w:tc>
        <w:tc>
          <w:tcPr>
            <w:tcW w:w="1498" w:type="dxa"/>
            <w:tcBorders>
              <w:top w:val="single" w:sz="18" w:space="0" w:color="C0504D" w:themeColor="accent2"/>
              <w:left w:val="single" w:sz="18" w:space="0" w:color="0070C0"/>
              <w:bottom w:val="single" w:sz="4" w:space="0" w:color="auto"/>
              <w:right w:val="single" w:sz="8" w:space="0" w:color="0070C0"/>
            </w:tcBorders>
            <w:shd w:val="clear" w:color="auto" w:fill="auto"/>
            <w:vAlign w:val="center"/>
          </w:tcPr>
          <w:p w14:paraId="07E5CA52" w14:textId="6A1BD4AF" w:rsidR="0030496A" w:rsidRPr="004815C1" w:rsidRDefault="0030496A"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p>
        </w:tc>
        <w:tc>
          <w:tcPr>
            <w:tcW w:w="1498" w:type="dxa"/>
            <w:tcBorders>
              <w:top w:val="single" w:sz="18" w:space="0" w:color="C0504D" w:themeColor="accent2"/>
              <w:left w:val="single" w:sz="8" w:space="0" w:color="0070C0"/>
              <w:bottom w:val="single" w:sz="4" w:space="0" w:color="auto"/>
              <w:right w:val="single" w:sz="8" w:space="0" w:color="0070C0"/>
            </w:tcBorders>
            <w:shd w:val="clear" w:color="auto" w:fill="auto"/>
            <w:vAlign w:val="center"/>
          </w:tcPr>
          <w:p w14:paraId="158F5B99" w14:textId="7F974AC1" w:rsidR="0030496A" w:rsidRPr="004815C1" w:rsidRDefault="0030496A"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p>
        </w:tc>
        <w:tc>
          <w:tcPr>
            <w:tcW w:w="1498" w:type="dxa"/>
            <w:tcBorders>
              <w:top w:val="single" w:sz="18" w:space="0" w:color="C0504D" w:themeColor="accent2"/>
              <w:left w:val="single" w:sz="8" w:space="0" w:color="0070C0"/>
              <w:bottom w:val="single" w:sz="4" w:space="0" w:color="auto"/>
              <w:right w:val="single" w:sz="8" w:space="0" w:color="0070C0"/>
            </w:tcBorders>
            <w:shd w:val="clear" w:color="auto" w:fill="auto"/>
            <w:vAlign w:val="center"/>
          </w:tcPr>
          <w:p w14:paraId="37B9ABB6" w14:textId="514C8501" w:rsidR="0030496A" w:rsidRPr="004815C1" w:rsidRDefault="0030496A"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p>
        </w:tc>
        <w:tc>
          <w:tcPr>
            <w:tcW w:w="1498" w:type="dxa"/>
            <w:tcBorders>
              <w:top w:val="single" w:sz="18" w:space="0" w:color="C0504D" w:themeColor="accent2"/>
              <w:left w:val="single" w:sz="8" w:space="0" w:color="0070C0"/>
              <w:bottom w:val="single" w:sz="4" w:space="0" w:color="auto"/>
              <w:right w:val="single" w:sz="8" w:space="0" w:color="0070C0"/>
            </w:tcBorders>
            <w:shd w:val="clear" w:color="auto" w:fill="auto"/>
            <w:vAlign w:val="center"/>
          </w:tcPr>
          <w:p w14:paraId="68FD489F" w14:textId="7536C5BB" w:rsidR="0030496A" w:rsidRPr="004815C1" w:rsidRDefault="0030496A"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p>
        </w:tc>
        <w:tc>
          <w:tcPr>
            <w:tcW w:w="1498" w:type="dxa"/>
            <w:tcBorders>
              <w:top w:val="single" w:sz="18" w:space="0" w:color="C0504D" w:themeColor="accent2"/>
              <w:left w:val="single" w:sz="8" w:space="0" w:color="0070C0"/>
              <w:bottom w:val="single" w:sz="4" w:space="0" w:color="auto"/>
              <w:right w:val="single" w:sz="12" w:space="0" w:color="000000"/>
            </w:tcBorders>
            <w:shd w:val="clear" w:color="auto" w:fill="auto"/>
            <w:vAlign w:val="center"/>
          </w:tcPr>
          <w:p w14:paraId="57D7DDFE" w14:textId="493E4701" w:rsidR="0030496A" w:rsidRPr="004815C1" w:rsidRDefault="0030496A" w:rsidP="005B42D8">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p>
        </w:tc>
      </w:tr>
      <w:tr w:rsidR="0030496A" w:rsidRPr="005D1511" w14:paraId="5A3093A2" w14:textId="77777777" w:rsidTr="00AB0C6B">
        <w:tblPrEx>
          <w:tblBorders>
            <w:top w:val="none" w:sz="0" w:space="0" w:color="auto"/>
          </w:tblBorders>
        </w:tblPrEx>
        <w:trPr>
          <w:jc w:val="center"/>
        </w:trPr>
        <w:tc>
          <w:tcPr>
            <w:tcW w:w="246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45B2488B" w14:textId="648C68DB" w:rsidR="0030496A" w:rsidRPr="004815C1" w:rsidRDefault="0064614F" w:rsidP="005B42D8">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Less than $500</w:t>
            </w:r>
          </w:p>
        </w:tc>
        <w:tc>
          <w:tcPr>
            <w:tcW w:w="1498" w:type="dxa"/>
            <w:tcBorders>
              <w:top w:val="single" w:sz="4" w:space="0" w:color="auto"/>
              <w:left w:val="single" w:sz="18" w:space="0" w:color="0070C0"/>
              <w:bottom w:val="single" w:sz="4" w:space="0" w:color="000000"/>
              <w:right w:val="single" w:sz="8" w:space="0" w:color="0070C0"/>
            </w:tcBorders>
            <w:shd w:val="clear" w:color="auto" w:fill="00B050"/>
            <w:vAlign w:val="center"/>
          </w:tcPr>
          <w:p w14:paraId="6395CE51" w14:textId="0160EDBE" w:rsidR="0030496A" w:rsidRPr="004815C1" w:rsidRDefault="0064614F"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63.4%</w:t>
            </w:r>
          </w:p>
        </w:tc>
        <w:tc>
          <w:tcPr>
            <w:tcW w:w="1498" w:type="dxa"/>
            <w:tcBorders>
              <w:top w:val="single" w:sz="4" w:space="0" w:color="auto"/>
              <w:left w:val="single" w:sz="8" w:space="0" w:color="0070C0"/>
              <w:bottom w:val="single" w:sz="4" w:space="0" w:color="000000"/>
              <w:right w:val="single" w:sz="8" w:space="0" w:color="0070C0"/>
            </w:tcBorders>
            <w:shd w:val="clear" w:color="auto" w:fill="00B050"/>
            <w:vAlign w:val="center"/>
          </w:tcPr>
          <w:p w14:paraId="0518E0C1" w14:textId="45A6B46F" w:rsidR="00AB0C6B" w:rsidRPr="00AB0C6B" w:rsidRDefault="00AB0C6B" w:rsidP="00AB0C6B">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61.2%</w:t>
            </w:r>
          </w:p>
        </w:tc>
        <w:tc>
          <w:tcPr>
            <w:tcW w:w="1498" w:type="dxa"/>
            <w:tcBorders>
              <w:top w:val="single" w:sz="4" w:space="0" w:color="auto"/>
              <w:left w:val="single" w:sz="8" w:space="0" w:color="0070C0"/>
              <w:bottom w:val="single" w:sz="4" w:space="0" w:color="000000"/>
              <w:right w:val="single" w:sz="8" w:space="0" w:color="0070C0"/>
            </w:tcBorders>
            <w:shd w:val="clear" w:color="auto" w:fill="00B050"/>
            <w:vAlign w:val="center"/>
          </w:tcPr>
          <w:p w14:paraId="26731219" w14:textId="15321E0D" w:rsidR="0030496A" w:rsidRPr="004815C1" w:rsidRDefault="00AB0C6B"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66.7%</w:t>
            </w:r>
          </w:p>
        </w:tc>
        <w:tc>
          <w:tcPr>
            <w:tcW w:w="1498" w:type="dxa"/>
            <w:tcBorders>
              <w:top w:val="single" w:sz="4" w:space="0" w:color="auto"/>
              <w:left w:val="single" w:sz="8" w:space="0" w:color="0070C0"/>
              <w:bottom w:val="single" w:sz="4" w:space="0" w:color="000000"/>
              <w:right w:val="single" w:sz="8" w:space="0" w:color="0070C0"/>
            </w:tcBorders>
            <w:shd w:val="clear" w:color="auto" w:fill="00B050"/>
            <w:vAlign w:val="center"/>
          </w:tcPr>
          <w:p w14:paraId="278A1596" w14:textId="605C1736" w:rsidR="0030496A" w:rsidRPr="004815C1" w:rsidRDefault="00AB0C6B"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65.5%</w:t>
            </w:r>
          </w:p>
        </w:tc>
        <w:tc>
          <w:tcPr>
            <w:tcW w:w="1498" w:type="dxa"/>
            <w:tcBorders>
              <w:top w:val="single" w:sz="4" w:space="0" w:color="auto"/>
              <w:left w:val="single" w:sz="8" w:space="0" w:color="0070C0"/>
              <w:bottom w:val="single" w:sz="4" w:space="0" w:color="000000"/>
              <w:right w:val="single" w:sz="12" w:space="0" w:color="000000"/>
            </w:tcBorders>
            <w:shd w:val="clear" w:color="auto" w:fill="92D050"/>
            <w:vAlign w:val="center"/>
          </w:tcPr>
          <w:p w14:paraId="776AE06C" w14:textId="1F6E77FC" w:rsidR="0030496A" w:rsidRPr="00B00624" w:rsidRDefault="00AB0C6B"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54.4%</w:t>
            </w:r>
          </w:p>
        </w:tc>
      </w:tr>
      <w:tr w:rsidR="0030496A" w:rsidRPr="005D1511" w14:paraId="4AB21571" w14:textId="77777777" w:rsidTr="00AB0C6B">
        <w:tblPrEx>
          <w:tblBorders>
            <w:top w:val="none" w:sz="0" w:space="0" w:color="auto"/>
          </w:tblBorders>
        </w:tblPrEx>
        <w:trPr>
          <w:jc w:val="center"/>
        </w:trPr>
        <w:tc>
          <w:tcPr>
            <w:tcW w:w="246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149C8632" w14:textId="321EA45E" w:rsidR="0030496A" w:rsidRPr="004815C1" w:rsidRDefault="0064614F" w:rsidP="005B42D8">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$500</w:t>
            </w:r>
            <w:r>
              <w:rPr>
                <w:rFonts w:ascii="Verdana" w:eastAsia="Times New Roman" w:hAnsi="Verdana"/>
                <w:sz w:val="20"/>
                <w:szCs w:val="20"/>
              </w:rPr>
              <w:t>–</w:t>
            </w:r>
            <w:r>
              <w:rPr>
                <w:rFonts w:ascii="Verdana" w:eastAsia="Times New Roman" w:hAnsi="Verdana"/>
                <w:sz w:val="20"/>
                <w:szCs w:val="20"/>
              </w:rPr>
              <w:t>$4,999</w:t>
            </w:r>
          </w:p>
        </w:tc>
        <w:tc>
          <w:tcPr>
            <w:tcW w:w="1498" w:type="dxa"/>
            <w:tcBorders>
              <w:top w:val="single" w:sz="4" w:space="0" w:color="auto"/>
              <w:left w:val="single" w:sz="18" w:space="0" w:color="0070C0"/>
              <w:bottom w:val="single" w:sz="4" w:space="0" w:color="000000"/>
              <w:right w:val="single" w:sz="8" w:space="0" w:color="0070C0"/>
            </w:tcBorders>
            <w:shd w:val="clear" w:color="auto" w:fill="C2D69B" w:themeFill="accent3" w:themeFillTint="99"/>
            <w:vAlign w:val="center"/>
          </w:tcPr>
          <w:p w14:paraId="53D4E58F" w14:textId="030CF2FB" w:rsidR="0030496A" w:rsidRPr="004815C1" w:rsidRDefault="0064614F"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29.6%</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29777E09" w14:textId="7AA056E5" w:rsidR="0030496A" w:rsidRPr="004815C1" w:rsidRDefault="00AB0C6B"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31.7%</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682AE600" w14:textId="255CBCA3" w:rsidR="0030496A" w:rsidRPr="004815C1" w:rsidRDefault="00AB0C6B"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28.8%</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50C679D2" w14:textId="6587C9F7" w:rsidR="0030496A" w:rsidRPr="004815C1" w:rsidRDefault="00AB0C6B"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30.3%</w:t>
            </w:r>
          </w:p>
        </w:tc>
        <w:tc>
          <w:tcPr>
            <w:tcW w:w="1498" w:type="dxa"/>
            <w:tcBorders>
              <w:top w:val="single" w:sz="4" w:space="0" w:color="auto"/>
              <w:left w:val="single" w:sz="8" w:space="0" w:color="0070C0"/>
              <w:bottom w:val="single" w:sz="4" w:space="0" w:color="000000"/>
              <w:right w:val="single" w:sz="12" w:space="0" w:color="000000"/>
            </w:tcBorders>
            <w:shd w:val="clear" w:color="auto" w:fill="C2D69B" w:themeFill="accent3" w:themeFillTint="99"/>
            <w:vAlign w:val="center"/>
          </w:tcPr>
          <w:p w14:paraId="693C55BD" w14:textId="2F4FA2E4" w:rsidR="0030496A" w:rsidRPr="00B00624" w:rsidRDefault="00AB0C6B"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37.3%</w:t>
            </w:r>
          </w:p>
        </w:tc>
      </w:tr>
      <w:tr w:rsidR="0064614F" w:rsidRPr="005D1511" w14:paraId="0689C81E" w14:textId="77777777" w:rsidTr="00AB0C6B">
        <w:tblPrEx>
          <w:tblBorders>
            <w:top w:val="none" w:sz="0" w:space="0" w:color="auto"/>
          </w:tblBorders>
        </w:tblPrEx>
        <w:trPr>
          <w:jc w:val="center"/>
        </w:trPr>
        <w:tc>
          <w:tcPr>
            <w:tcW w:w="2468" w:type="dxa"/>
            <w:tcBorders>
              <w:top w:val="single" w:sz="4" w:space="0" w:color="000000"/>
              <w:left w:val="single" w:sz="12" w:space="0" w:color="000000"/>
              <w:bottom w:val="single" w:sz="8" w:space="0" w:color="C0504D" w:themeColor="accent2"/>
              <w:right w:val="single" w:sz="18" w:space="0" w:color="0070C0"/>
            </w:tcBorders>
            <w:shd w:val="clear" w:color="auto" w:fill="auto"/>
            <w:vAlign w:val="center"/>
          </w:tcPr>
          <w:p w14:paraId="3AFAC542" w14:textId="78ABE847" w:rsidR="0064614F" w:rsidRPr="004815C1" w:rsidRDefault="0064614F" w:rsidP="005B42D8">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$5,000 or more</w:t>
            </w:r>
          </w:p>
        </w:tc>
        <w:tc>
          <w:tcPr>
            <w:tcW w:w="1498" w:type="dxa"/>
            <w:tcBorders>
              <w:top w:val="single" w:sz="4" w:space="0" w:color="000000"/>
              <w:left w:val="single" w:sz="18" w:space="0" w:color="0070C0"/>
              <w:bottom w:val="single" w:sz="8" w:space="0" w:color="C0504D" w:themeColor="accent2"/>
              <w:right w:val="single" w:sz="8" w:space="0" w:color="0070C0"/>
            </w:tcBorders>
            <w:shd w:val="clear" w:color="auto" w:fill="EAF1DD" w:themeFill="accent3" w:themeFillTint="33"/>
            <w:vAlign w:val="center"/>
          </w:tcPr>
          <w:p w14:paraId="416E5988" w14:textId="78E36EB4" w:rsidR="0064614F" w:rsidRPr="004815C1" w:rsidRDefault="0064614F"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7.0%</w:t>
            </w:r>
          </w:p>
        </w:tc>
        <w:tc>
          <w:tcPr>
            <w:tcW w:w="1498" w:type="dxa"/>
            <w:tcBorders>
              <w:top w:val="single" w:sz="4" w:space="0" w:color="000000"/>
              <w:left w:val="single" w:sz="8" w:space="0" w:color="0070C0"/>
              <w:bottom w:val="single" w:sz="8" w:space="0" w:color="C0504D" w:themeColor="accent2"/>
              <w:right w:val="single" w:sz="8" w:space="0" w:color="0070C0"/>
            </w:tcBorders>
            <w:shd w:val="clear" w:color="auto" w:fill="EAF1DD" w:themeFill="accent3" w:themeFillTint="33"/>
            <w:vAlign w:val="center"/>
          </w:tcPr>
          <w:p w14:paraId="416D871B" w14:textId="3BA07139" w:rsidR="0064614F" w:rsidRPr="004815C1" w:rsidRDefault="00AB0C6B"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7.1%</w:t>
            </w:r>
          </w:p>
        </w:tc>
        <w:tc>
          <w:tcPr>
            <w:tcW w:w="1498" w:type="dxa"/>
            <w:tcBorders>
              <w:top w:val="single" w:sz="4" w:space="0" w:color="000000"/>
              <w:left w:val="single" w:sz="8" w:space="0" w:color="0070C0"/>
              <w:bottom w:val="single" w:sz="8" w:space="0" w:color="C0504D" w:themeColor="accent2"/>
              <w:right w:val="single" w:sz="8" w:space="0" w:color="0070C0"/>
            </w:tcBorders>
            <w:shd w:val="clear" w:color="auto" w:fill="EAF1DD" w:themeFill="accent3" w:themeFillTint="33"/>
            <w:vAlign w:val="center"/>
          </w:tcPr>
          <w:p w14:paraId="21E4E257" w14:textId="04C6B45A" w:rsidR="0064614F" w:rsidRPr="004815C1" w:rsidRDefault="00AB0C6B"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4.6%</w:t>
            </w:r>
          </w:p>
        </w:tc>
        <w:tc>
          <w:tcPr>
            <w:tcW w:w="1498" w:type="dxa"/>
            <w:tcBorders>
              <w:top w:val="single" w:sz="4" w:space="0" w:color="000000"/>
              <w:left w:val="single" w:sz="8" w:space="0" w:color="0070C0"/>
              <w:bottom w:val="single" w:sz="8" w:space="0" w:color="C0504D" w:themeColor="accent2"/>
              <w:right w:val="single" w:sz="8" w:space="0" w:color="0070C0"/>
            </w:tcBorders>
            <w:shd w:val="clear" w:color="auto" w:fill="EAF1DD" w:themeFill="accent3" w:themeFillTint="33"/>
            <w:vAlign w:val="center"/>
          </w:tcPr>
          <w:p w14:paraId="64CBDAAD" w14:textId="698A2442" w:rsidR="0064614F" w:rsidRPr="004815C1" w:rsidRDefault="00AB0C6B"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4.1%</w:t>
            </w:r>
          </w:p>
        </w:tc>
        <w:tc>
          <w:tcPr>
            <w:tcW w:w="1498" w:type="dxa"/>
            <w:tcBorders>
              <w:top w:val="single" w:sz="4" w:space="0" w:color="000000"/>
              <w:left w:val="single" w:sz="8" w:space="0" w:color="0070C0"/>
              <w:bottom w:val="single" w:sz="8" w:space="0" w:color="C0504D" w:themeColor="accent2"/>
              <w:right w:val="single" w:sz="12" w:space="0" w:color="000000"/>
            </w:tcBorders>
            <w:shd w:val="clear" w:color="auto" w:fill="EAF1DD" w:themeFill="accent3" w:themeFillTint="33"/>
            <w:vAlign w:val="center"/>
          </w:tcPr>
          <w:p w14:paraId="7B910C17" w14:textId="2C1B29B2" w:rsidR="0064614F" w:rsidRPr="00B00624" w:rsidRDefault="00AB0C6B"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8.3%</w:t>
            </w:r>
          </w:p>
        </w:tc>
      </w:tr>
      <w:tr w:rsidR="0064614F" w:rsidRPr="005D1511" w14:paraId="240338E5" w14:textId="77777777" w:rsidTr="0064614F">
        <w:tblPrEx>
          <w:tblBorders>
            <w:top w:val="none" w:sz="0" w:space="0" w:color="auto"/>
          </w:tblBorders>
        </w:tblPrEx>
        <w:trPr>
          <w:jc w:val="center"/>
        </w:trPr>
        <w:tc>
          <w:tcPr>
            <w:tcW w:w="2468" w:type="dxa"/>
            <w:tcBorders>
              <w:top w:val="single" w:sz="8" w:space="0" w:color="C0504D" w:themeColor="accent2"/>
              <w:left w:val="single" w:sz="12" w:space="0" w:color="000000"/>
              <w:bottom w:val="single" w:sz="4" w:space="0" w:color="auto"/>
              <w:right w:val="single" w:sz="18" w:space="0" w:color="0070C0"/>
            </w:tcBorders>
            <w:shd w:val="clear" w:color="auto" w:fill="auto"/>
            <w:vAlign w:val="center"/>
          </w:tcPr>
          <w:p w14:paraId="5C4CE8E7" w14:textId="6090847D" w:rsidR="0064614F" w:rsidRPr="0064614F" w:rsidRDefault="0064614F" w:rsidP="005B42D8">
            <w:pPr>
              <w:widowControl w:val="0"/>
              <w:tabs>
                <w:tab w:val="left" w:pos="220"/>
                <w:tab w:val="left" w:pos="720"/>
              </w:tabs>
              <w:autoSpaceDE w:val="0"/>
              <w:autoSpaceDN w:val="0"/>
              <w:spacing w:after="0" w:line="240" w:lineRule="auto"/>
              <w:contextualSpacing/>
              <w:mirrorIndents/>
              <w:rPr>
                <w:rFonts w:ascii="Verdana" w:eastAsia="Times New Roman" w:hAnsi="Verdana"/>
                <w:b/>
                <w:bCs/>
                <w:sz w:val="20"/>
                <w:szCs w:val="20"/>
              </w:rPr>
            </w:pPr>
            <w:r w:rsidRPr="0064614F">
              <w:rPr>
                <w:rFonts w:ascii="Verdana" w:eastAsia="Times New Roman" w:hAnsi="Verdana"/>
                <w:b/>
                <w:bCs/>
                <w:sz w:val="20"/>
                <w:szCs w:val="20"/>
              </w:rPr>
              <w:t>Electrical</w:t>
            </w:r>
          </w:p>
        </w:tc>
        <w:tc>
          <w:tcPr>
            <w:tcW w:w="1498" w:type="dxa"/>
            <w:tcBorders>
              <w:top w:val="single" w:sz="8" w:space="0" w:color="C0504D" w:themeColor="accent2"/>
              <w:left w:val="single" w:sz="18" w:space="0" w:color="0070C0"/>
              <w:bottom w:val="single" w:sz="4" w:space="0" w:color="auto"/>
              <w:right w:val="single" w:sz="8" w:space="0" w:color="0070C0"/>
            </w:tcBorders>
            <w:shd w:val="clear" w:color="auto" w:fill="auto"/>
            <w:vAlign w:val="center"/>
          </w:tcPr>
          <w:p w14:paraId="0D8FCEBF" w14:textId="77777777" w:rsidR="0064614F" w:rsidRPr="004815C1" w:rsidRDefault="0064614F"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p>
        </w:tc>
        <w:tc>
          <w:tcPr>
            <w:tcW w:w="1498" w:type="dxa"/>
            <w:tcBorders>
              <w:top w:val="single" w:sz="8" w:space="0" w:color="C0504D" w:themeColor="accent2"/>
              <w:left w:val="single" w:sz="8" w:space="0" w:color="0070C0"/>
              <w:bottom w:val="single" w:sz="4" w:space="0" w:color="auto"/>
              <w:right w:val="single" w:sz="8" w:space="0" w:color="0070C0"/>
            </w:tcBorders>
            <w:shd w:val="clear" w:color="auto" w:fill="auto"/>
            <w:vAlign w:val="center"/>
          </w:tcPr>
          <w:p w14:paraId="60FB2D48" w14:textId="77777777" w:rsidR="0064614F" w:rsidRPr="004815C1" w:rsidRDefault="0064614F"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p>
        </w:tc>
        <w:tc>
          <w:tcPr>
            <w:tcW w:w="1498" w:type="dxa"/>
            <w:tcBorders>
              <w:top w:val="single" w:sz="8" w:space="0" w:color="C0504D" w:themeColor="accent2"/>
              <w:left w:val="single" w:sz="8" w:space="0" w:color="0070C0"/>
              <w:bottom w:val="single" w:sz="4" w:space="0" w:color="auto"/>
              <w:right w:val="single" w:sz="8" w:space="0" w:color="0070C0"/>
            </w:tcBorders>
            <w:shd w:val="clear" w:color="auto" w:fill="auto"/>
            <w:vAlign w:val="center"/>
          </w:tcPr>
          <w:p w14:paraId="1F051054" w14:textId="77777777" w:rsidR="0064614F" w:rsidRPr="004815C1" w:rsidRDefault="0064614F"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p>
        </w:tc>
        <w:tc>
          <w:tcPr>
            <w:tcW w:w="1498" w:type="dxa"/>
            <w:tcBorders>
              <w:top w:val="single" w:sz="8" w:space="0" w:color="C0504D" w:themeColor="accent2"/>
              <w:left w:val="single" w:sz="8" w:space="0" w:color="0070C0"/>
              <w:bottom w:val="single" w:sz="4" w:space="0" w:color="auto"/>
              <w:right w:val="single" w:sz="8" w:space="0" w:color="0070C0"/>
            </w:tcBorders>
            <w:shd w:val="clear" w:color="auto" w:fill="auto"/>
            <w:vAlign w:val="center"/>
          </w:tcPr>
          <w:p w14:paraId="205032F2" w14:textId="77777777" w:rsidR="0064614F" w:rsidRPr="004815C1" w:rsidRDefault="0064614F"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p>
        </w:tc>
        <w:tc>
          <w:tcPr>
            <w:tcW w:w="1498" w:type="dxa"/>
            <w:tcBorders>
              <w:top w:val="single" w:sz="8" w:space="0" w:color="C0504D" w:themeColor="accent2"/>
              <w:left w:val="single" w:sz="8" w:space="0" w:color="0070C0"/>
              <w:bottom w:val="single" w:sz="4" w:space="0" w:color="auto"/>
              <w:right w:val="single" w:sz="12" w:space="0" w:color="000000"/>
            </w:tcBorders>
            <w:shd w:val="clear" w:color="auto" w:fill="auto"/>
            <w:vAlign w:val="center"/>
          </w:tcPr>
          <w:p w14:paraId="3FBF2BE1" w14:textId="77777777" w:rsidR="0064614F" w:rsidRPr="00B00624" w:rsidRDefault="0064614F"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p>
        </w:tc>
      </w:tr>
      <w:tr w:rsidR="0064614F" w:rsidRPr="005D1511" w14:paraId="71E5525B" w14:textId="77777777" w:rsidTr="00AB0C6B">
        <w:tblPrEx>
          <w:tblBorders>
            <w:top w:val="none" w:sz="0" w:space="0" w:color="auto"/>
          </w:tblBorders>
        </w:tblPrEx>
        <w:trPr>
          <w:jc w:val="center"/>
        </w:trPr>
        <w:tc>
          <w:tcPr>
            <w:tcW w:w="2468" w:type="dxa"/>
            <w:tcBorders>
              <w:top w:val="single" w:sz="4" w:space="0" w:color="auto"/>
              <w:left w:val="single" w:sz="12" w:space="0" w:color="000000"/>
              <w:bottom w:val="single" w:sz="4" w:space="0" w:color="000000"/>
              <w:right w:val="single" w:sz="18" w:space="0" w:color="0070C0"/>
            </w:tcBorders>
            <w:shd w:val="clear" w:color="auto" w:fill="auto"/>
            <w:vAlign w:val="center"/>
          </w:tcPr>
          <w:p w14:paraId="083F089A" w14:textId="4CE45F3F" w:rsidR="0064614F" w:rsidRDefault="0064614F" w:rsidP="005B42D8">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Less than $500</w:t>
            </w:r>
          </w:p>
        </w:tc>
        <w:tc>
          <w:tcPr>
            <w:tcW w:w="1498" w:type="dxa"/>
            <w:tcBorders>
              <w:top w:val="single" w:sz="4" w:space="0" w:color="auto"/>
              <w:left w:val="single" w:sz="18" w:space="0" w:color="0070C0"/>
              <w:bottom w:val="single" w:sz="4" w:space="0" w:color="000000"/>
              <w:right w:val="single" w:sz="8" w:space="0" w:color="0070C0"/>
            </w:tcBorders>
            <w:shd w:val="clear" w:color="auto" w:fill="92D050"/>
            <w:vAlign w:val="center"/>
          </w:tcPr>
          <w:p w14:paraId="7539A407" w14:textId="770C8951" w:rsidR="0064614F" w:rsidRPr="004815C1" w:rsidRDefault="00AB0C6B"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52.7%</w:t>
            </w:r>
          </w:p>
        </w:tc>
        <w:tc>
          <w:tcPr>
            <w:tcW w:w="1498" w:type="dxa"/>
            <w:tcBorders>
              <w:top w:val="single" w:sz="4" w:space="0" w:color="auto"/>
              <w:left w:val="single" w:sz="8" w:space="0" w:color="0070C0"/>
              <w:bottom w:val="single" w:sz="4" w:space="0" w:color="000000"/>
              <w:right w:val="single" w:sz="8" w:space="0" w:color="0070C0"/>
            </w:tcBorders>
            <w:shd w:val="clear" w:color="auto" w:fill="92D050"/>
            <w:vAlign w:val="center"/>
          </w:tcPr>
          <w:p w14:paraId="3F56A790" w14:textId="7A4B50C5" w:rsidR="0064614F" w:rsidRPr="004815C1" w:rsidRDefault="00AB0C6B"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51.5%</w:t>
            </w:r>
          </w:p>
        </w:tc>
        <w:tc>
          <w:tcPr>
            <w:tcW w:w="1498" w:type="dxa"/>
            <w:tcBorders>
              <w:top w:val="single" w:sz="4" w:space="0" w:color="auto"/>
              <w:left w:val="single" w:sz="8" w:space="0" w:color="0070C0"/>
              <w:bottom w:val="single" w:sz="4" w:space="0" w:color="000000"/>
              <w:right w:val="single" w:sz="8" w:space="0" w:color="0070C0"/>
            </w:tcBorders>
            <w:shd w:val="clear" w:color="auto" w:fill="00B050"/>
            <w:vAlign w:val="center"/>
          </w:tcPr>
          <w:p w14:paraId="7A672570" w14:textId="2809807B" w:rsidR="0064614F" w:rsidRPr="004815C1" w:rsidRDefault="00AB0C6B"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65.8%</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621429A1" w14:textId="4CFD9A49" w:rsidR="0064614F" w:rsidRPr="004815C1" w:rsidRDefault="00AB0C6B"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46.1%</w:t>
            </w:r>
          </w:p>
        </w:tc>
        <w:tc>
          <w:tcPr>
            <w:tcW w:w="1498" w:type="dxa"/>
            <w:tcBorders>
              <w:top w:val="single" w:sz="4" w:space="0" w:color="auto"/>
              <w:left w:val="single" w:sz="8" w:space="0" w:color="0070C0"/>
              <w:bottom w:val="single" w:sz="4" w:space="0" w:color="000000"/>
              <w:right w:val="single" w:sz="12" w:space="0" w:color="000000"/>
            </w:tcBorders>
            <w:shd w:val="clear" w:color="auto" w:fill="00B050"/>
            <w:vAlign w:val="center"/>
          </w:tcPr>
          <w:p w14:paraId="3A8DEDB7" w14:textId="5943B933" w:rsidR="0064614F" w:rsidRPr="00B00624" w:rsidRDefault="00AB0C6B" w:rsidP="005B42D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65.3%</w:t>
            </w:r>
          </w:p>
        </w:tc>
      </w:tr>
      <w:tr w:rsidR="0064614F" w:rsidRPr="005D1511" w14:paraId="5B774CC2" w14:textId="77777777" w:rsidTr="00AB0C6B">
        <w:tblPrEx>
          <w:tblBorders>
            <w:top w:val="none" w:sz="0" w:space="0" w:color="auto"/>
          </w:tblBorders>
        </w:tblPrEx>
        <w:trPr>
          <w:jc w:val="center"/>
        </w:trPr>
        <w:tc>
          <w:tcPr>
            <w:tcW w:w="246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308C83AA" w14:textId="1CF7017C" w:rsidR="0064614F" w:rsidRPr="004815C1" w:rsidRDefault="0064614F" w:rsidP="0064614F">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$500–$4,999</w:t>
            </w:r>
          </w:p>
        </w:tc>
        <w:tc>
          <w:tcPr>
            <w:tcW w:w="1498" w:type="dxa"/>
            <w:tcBorders>
              <w:top w:val="single" w:sz="4" w:space="0" w:color="auto"/>
              <w:left w:val="single" w:sz="18" w:space="0" w:color="0070C0"/>
              <w:bottom w:val="single" w:sz="4" w:space="0" w:color="000000"/>
              <w:right w:val="single" w:sz="8" w:space="0" w:color="0070C0"/>
            </w:tcBorders>
            <w:shd w:val="clear" w:color="auto" w:fill="C2D69B" w:themeFill="accent3" w:themeFillTint="99"/>
            <w:vAlign w:val="center"/>
          </w:tcPr>
          <w:p w14:paraId="19A3DF5C" w14:textId="2AEE5D10" w:rsidR="0064614F" w:rsidRPr="004815C1" w:rsidRDefault="00AB0C6B" w:rsidP="0064614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36.5%</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3EBC94A7" w14:textId="6ACD19B8" w:rsidR="0064614F" w:rsidRPr="004815C1" w:rsidRDefault="00AB0C6B" w:rsidP="0064614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38.7%</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639FA867" w14:textId="003DE1B7" w:rsidR="0064614F" w:rsidRPr="004815C1" w:rsidRDefault="00AB0C6B" w:rsidP="0064614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31.7%</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7F0C5A2C" w14:textId="2E20C9AF" w:rsidR="0064614F" w:rsidRPr="004815C1" w:rsidRDefault="00AB0C6B" w:rsidP="0064614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47.1%</w:t>
            </w:r>
          </w:p>
        </w:tc>
        <w:tc>
          <w:tcPr>
            <w:tcW w:w="1498" w:type="dxa"/>
            <w:tcBorders>
              <w:top w:val="single" w:sz="4" w:space="0" w:color="auto"/>
              <w:left w:val="single" w:sz="8" w:space="0" w:color="0070C0"/>
              <w:bottom w:val="single" w:sz="4" w:space="0" w:color="000000"/>
              <w:right w:val="single" w:sz="12" w:space="0" w:color="000000"/>
            </w:tcBorders>
            <w:shd w:val="clear" w:color="auto" w:fill="C2D69B" w:themeFill="accent3" w:themeFillTint="99"/>
            <w:vAlign w:val="center"/>
          </w:tcPr>
          <w:p w14:paraId="17EC3343" w14:textId="4946F363" w:rsidR="0064614F" w:rsidRPr="00B00624" w:rsidRDefault="00AB0C6B" w:rsidP="0064614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29.5%</w:t>
            </w:r>
          </w:p>
        </w:tc>
      </w:tr>
      <w:tr w:rsidR="0064614F" w:rsidRPr="005D1511" w14:paraId="30F5ED80" w14:textId="77777777" w:rsidTr="00AB0C6B">
        <w:tblPrEx>
          <w:tblBorders>
            <w:top w:val="none" w:sz="0" w:space="0" w:color="auto"/>
          </w:tblBorders>
        </w:tblPrEx>
        <w:trPr>
          <w:jc w:val="center"/>
        </w:trPr>
        <w:tc>
          <w:tcPr>
            <w:tcW w:w="2468" w:type="dxa"/>
            <w:tcBorders>
              <w:top w:val="single" w:sz="4" w:space="0" w:color="000000"/>
              <w:left w:val="single" w:sz="12" w:space="0" w:color="000000"/>
              <w:bottom w:val="single" w:sz="8" w:space="0" w:color="C0504D" w:themeColor="accent2"/>
              <w:right w:val="single" w:sz="18" w:space="0" w:color="0070C0"/>
            </w:tcBorders>
            <w:shd w:val="clear" w:color="auto" w:fill="auto"/>
            <w:vAlign w:val="center"/>
          </w:tcPr>
          <w:p w14:paraId="1EF2EB7A" w14:textId="4B00ABAB" w:rsidR="0064614F" w:rsidRPr="004815C1" w:rsidRDefault="0064614F" w:rsidP="0064614F">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$5,000 or more</w:t>
            </w:r>
          </w:p>
        </w:tc>
        <w:tc>
          <w:tcPr>
            <w:tcW w:w="1498" w:type="dxa"/>
            <w:tcBorders>
              <w:top w:val="single" w:sz="4" w:space="0" w:color="000000"/>
              <w:left w:val="single" w:sz="18" w:space="0" w:color="0070C0"/>
              <w:bottom w:val="single" w:sz="8" w:space="0" w:color="C0504D" w:themeColor="accent2"/>
              <w:right w:val="single" w:sz="8" w:space="0" w:color="0070C0"/>
            </w:tcBorders>
            <w:shd w:val="clear" w:color="auto" w:fill="D6E3BC" w:themeFill="accent3" w:themeFillTint="66"/>
            <w:vAlign w:val="center"/>
          </w:tcPr>
          <w:p w14:paraId="68406A4E" w14:textId="4BBB900A" w:rsidR="0064614F" w:rsidRPr="004815C1" w:rsidRDefault="00AB0C6B" w:rsidP="0064614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10.8%</w:t>
            </w:r>
          </w:p>
        </w:tc>
        <w:tc>
          <w:tcPr>
            <w:tcW w:w="1498" w:type="dxa"/>
            <w:tcBorders>
              <w:top w:val="single" w:sz="4" w:space="0" w:color="000000"/>
              <w:left w:val="single" w:sz="8" w:space="0" w:color="0070C0"/>
              <w:bottom w:val="single" w:sz="8" w:space="0" w:color="C0504D" w:themeColor="accent2"/>
              <w:right w:val="single" w:sz="8" w:space="0" w:color="0070C0"/>
            </w:tcBorders>
            <w:shd w:val="clear" w:color="auto" w:fill="EAF1DD" w:themeFill="accent3" w:themeFillTint="33"/>
            <w:vAlign w:val="center"/>
          </w:tcPr>
          <w:p w14:paraId="0A3B1B04" w14:textId="6823F92C" w:rsidR="0064614F" w:rsidRPr="004815C1" w:rsidRDefault="00AB0C6B" w:rsidP="0064614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9.8%</w:t>
            </w:r>
          </w:p>
        </w:tc>
        <w:tc>
          <w:tcPr>
            <w:tcW w:w="1498" w:type="dxa"/>
            <w:tcBorders>
              <w:top w:val="single" w:sz="4" w:space="0" w:color="000000"/>
              <w:left w:val="single" w:sz="8" w:space="0" w:color="0070C0"/>
              <w:bottom w:val="single" w:sz="8" w:space="0" w:color="C0504D" w:themeColor="accent2"/>
              <w:right w:val="single" w:sz="8" w:space="0" w:color="0070C0"/>
            </w:tcBorders>
            <w:shd w:val="clear" w:color="auto" w:fill="EAF1DD" w:themeFill="accent3" w:themeFillTint="33"/>
            <w:vAlign w:val="center"/>
          </w:tcPr>
          <w:p w14:paraId="1888126A" w14:textId="7E2D0F63" w:rsidR="0064614F" w:rsidRPr="004815C1" w:rsidRDefault="00AB0C6B" w:rsidP="0064614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2.5%</w:t>
            </w:r>
          </w:p>
        </w:tc>
        <w:tc>
          <w:tcPr>
            <w:tcW w:w="1498" w:type="dxa"/>
            <w:tcBorders>
              <w:top w:val="single" w:sz="4" w:space="0" w:color="000000"/>
              <w:left w:val="single" w:sz="8" w:space="0" w:color="0070C0"/>
              <w:bottom w:val="single" w:sz="8" w:space="0" w:color="C0504D" w:themeColor="accent2"/>
              <w:right w:val="single" w:sz="8" w:space="0" w:color="0070C0"/>
            </w:tcBorders>
            <w:shd w:val="clear" w:color="auto" w:fill="EAF1DD" w:themeFill="accent3" w:themeFillTint="33"/>
            <w:vAlign w:val="center"/>
          </w:tcPr>
          <w:p w14:paraId="37373B8F" w14:textId="0EB8D9E0" w:rsidR="0064614F" w:rsidRPr="004815C1" w:rsidRDefault="00AB0C6B" w:rsidP="0064614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6.8%</w:t>
            </w:r>
          </w:p>
        </w:tc>
        <w:tc>
          <w:tcPr>
            <w:tcW w:w="1498" w:type="dxa"/>
            <w:tcBorders>
              <w:top w:val="single" w:sz="4" w:space="0" w:color="000000"/>
              <w:left w:val="single" w:sz="8" w:space="0" w:color="0070C0"/>
              <w:bottom w:val="single" w:sz="8" w:space="0" w:color="C0504D" w:themeColor="accent2"/>
              <w:right w:val="single" w:sz="12" w:space="0" w:color="000000"/>
            </w:tcBorders>
            <w:shd w:val="clear" w:color="auto" w:fill="EAF1DD" w:themeFill="accent3" w:themeFillTint="33"/>
            <w:vAlign w:val="center"/>
          </w:tcPr>
          <w:p w14:paraId="5CF4A8A0" w14:textId="1BDEBB28" w:rsidR="0064614F" w:rsidRPr="00B00624" w:rsidRDefault="00AB0C6B" w:rsidP="0064614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5.2%</w:t>
            </w:r>
          </w:p>
        </w:tc>
      </w:tr>
      <w:tr w:rsidR="0064614F" w:rsidRPr="005D1511" w14:paraId="071D2E35" w14:textId="77777777" w:rsidTr="0064614F">
        <w:tblPrEx>
          <w:tblBorders>
            <w:top w:val="none" w:sz="0" w:space="0" w:color="auto"/>
          </w:tblBorders>
        </w:tblPrEx>
        <w:trPr>
          <w:jc w:val="center"/>
        </w:trPr>
        <w:tc>
          <w:tcPr>
            <w:tcW w:w="2468" w:type="dxa"/>
            <w:tcBorders>
              <w:top w:val="single" w:sz="8" w:space="0" w:color="C0504D" w:themeColor="accent2"/>
              <w:left w:val="single" w:sz="12" w:space="0" w:color="000000"/>
              <w:bottom w:val="single" w:sz="4" w:space="0" w:color="000000"/>
              <w:right w:val="single" w:sz="18" w:space="0" w:color="0070C0"/>
            </w:tcBorders>
            <w:shd w:val="clear" w:color="auto" w:fill="auto"/>
            <w:vAlign w:val="center"/>
          </w:tcPr>
          <w:p w14:paraId="63D081AC" w14:textId="41BC373A" w:rsidR="0064614F" w:rsidRPr="004815C1" w:rsidRDefault="0064614F" w:rsidP="0064614F">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HVAC</w:t>
            </w:r>
          </w:p>
        </w:tc>
        <w:tc>
          <w:tcPr>
            <w:tcW w:w="1498" w:type="dxa"/>
            <w:tcBorders>
              <w:top w:val="single" w:sz="8" w:space="0" w:color="C0504D" w:themeColor="accent2"/>
              <w:left w:val="single" w:sz="18" w:space="0" w:color="0070C0"/>
              <w:bottom w:val="single" w:sz="4" w:space="0" w:color="000000"/>
              <w:right w:val="single" w:sz="8" w:space="0" w:color="0070C0"/>
            </w:tcBorders>
            <w:shd w:val="clear" w:color="auto" w:fill="auto"/>
            <w:vAlign w:val="center"/>
          </w:tcPr>
          <w:p w14:paraId="510B8F75" w14:textId="77777777" w:rsidR="0064614F" w:rsidRPr="004815C1" w:rsidRDefault="0064614F" w:rsidP="0064614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p>
        </w:tc>
        <w:tc>
          <w:tcPr>
            <w:tcW w:w="1498" w:type="dxa"/>
            <w:tcBorders>
              <w:top w:val="single" w:sz="8" w:space="0" w:color="C0504D" w:themeColor="accent2"/>
              <w:left w:val="single" w:sz="8" w:space="0" w:color="0070C0"/>
              <w:bottom w:val="single" w:sz="4" w:space="0" w:color="000000"/>
              <w:right w:val="single" w:sz="8" w:space="0" w:color="0070C0"/>
            </w:tcBorders>
            <w:shd w:val="clear" w:color="auto" w:fill="auto"/>
            <w:vAlign w:val="center"/>
          </w:tcPr>
          <w:p w14:paraId="438B4B87" w14:textId="77777777" w:rsidR="0064614F" w:rsidRPr="004815C1" w:rsidRDefault="0064614F" w:rsidP="0064614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p>
        </w:tc>
        <w:tc>
          <w:tcPr>
            <w:tcW w:w="1498" w:type="dxa"/>
            <w:tcBorders>
              <w:top w:val="single" w:sz="8" w:space="0" w:color="C0504D" w:themeColor="accent2"/>
              <w:left w:val="single" w:sz="8" w:space="0" w:color="0070C0"/>
              <w:bottom w:val="single" w:sz="4" w:space="0" w:color="000000"/>
              <w:right w:val="single" w:sz="8" w:space="0" w:color="0070C0"/>
            </w:tcBorders>
            <w:shd w:val="clear" w:color="auto" w:fill="auto"/>
            <w:vAlign w:val="center"/>
          </w:tcPr>
          <w:p w14:paraId="51DD5395" w14:textId="77777777" w:rsidR="0064614F" w:rsidRPr="004815C1" w:rsidRDefault="0064614F" w:rsidP="0064614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p>
        </w:tc>
        <w:tc>
          <w:tcPr>
            <w:tcW w:w="1498" w:type="dxa"/>
            <w:tcBorders>
              <w:top w:val="single" w:sz="8" w:space="0" w:color="C0504D" w:themeColor="accent2"/>
              <w:left w:val="single" w:sz="8" w:space="0" w:color="0070C0"/>
              <w:bottom w:val="single" w:sz="4" w:space="0" w:color="000000"/>
              <w:right w:val="single" w:sz="8" w:space="0" w:color="0070C0"/>
            </w:tcBorders>
            <w:shd w:val="clear" w:color="auto" w:fill="auto"/>
            <w:vAlign w:val="center"/>
          </w:tcPr>
          <w:p w14:paraId="32DC574B" w14:textId="77777777" w:rsidR="0064614F" w:rsidRPr="004815C1" w:rsidRDefault="0064614F" w:rsidP="0064614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p>
        </w:tc>
        <w:tc>
          <w:tcPr>
            <w:tcW w:w="1498" w:type="dxa"/>
            <w:tcBorders>
              <w:top w:val="single" w:sz="8" w:space="0" w:color="C0504D" w:themeColor="accent2"/>
              <w:left w:val="single" w:sz="8" w:space="0" w:color="0070C0"/>
              <w:bottom w:val="single" w:sz="4" w:space="0" w:color="000000"/>
              <w:right w:val="single" w:sz="12" w:space="0" w:color="000000"/>
            </w:tcBorders>
            <w:shd w:val="clear" w:color="auto" w:fill="auto"/>
            <w:vAlign w:val="center"/>
          </w:tcPr>
          <w:p w14:paraId="4A0D9BC2" w14:textId="77777777" w:rsidR="0064614F" w:rsidRPr="00B00624" w:rsidRDefault="0064614F" w:rsidP="0064614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p>
        </w:tc>
      </w:tr>
      <w:tr w:rsidR="0064614F" w:rsidRPr="005D1511" w14:paraId="5BB123DC" w14:textId="77777777" w:rsidTr="00AB0C6B">
        <w:tblPrEx>
          <w:tblBorders>
            <w:top w:val="none" w:sz="0" w:space="0" w:color="auto"/>
          </w:tblBorders>
        </w:tblPrEx>
        <w:trPr>
          <w:jc w:val="center"/>
        </w:trPr>
        <w:tc>
          <w:tcPr>
            <w:tcW w:w="246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49B924B6" w14:textId="3520A6D1" w:rsidR="0064614F" w:rsidRPr="004815C1" w:rsidRDefault="0064614F" w:rsidP="0064614F">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Less than $500</w:t>
            </w:r>
          </w:p>
        </w:tc>
        <w:tc>
          <w:tcPr>
            <w:tcW w:w="1498" w:type="dxa"/>
            <w:tcBorders>
              <w:top w:val="single" w:sz="4" w:space="0" w:color="auto"/>
              <w:left w:val="single" w:sz="18" w:space="0" w:color="0070C0"/>
              <w:bottom w:val="single" w:sz="4" w:space="0" w:color="000000"/>
              <w:right w:val="single" w:sz="8" w:space="0" w:color="0070C0"/>
            </w:tcBorders>
            <w:shd w:val="clear" w:color="auto" w:fill="C2D69B" w:themeFill="accent3" w:themeFillTint="99"/>
            <w:vAlign w:val="center"/>
          </w:tcPr>
          <w:p w14:paraId="5EC22B1D" w14:textId="1F1CFFFC" w:rsidR="0064614F" w:rsidRPr="004815C1" w:rsidRDefault="00AB0C6B" w:rsidP="0064614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31.2%</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59FCDEEF" w14:textId="159EF7FF" w:rsidR="0064614F" w:rsidRPr="004815C1" w:rsidRDefault="00AB0C6B" w:rsidP="0064614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34.5%</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55016A23" w14:textId="08500480" w:rsidR="0064614F" w:rsidRPr="004815C1" w:rsidRDefault="00AB0C6B" w:rsidP="0064614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25.7%</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3251AF76" w14:textId="61D1AAC1" w:rsidR="0064614F" w:rsidRPr="004815C1" w:rsidRDefault="00AB0C6B" w:rsidP="0064614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32.5%</w:t>
            </w:r>
          </w:p>
        </w:tc>
        <w:tc>
          <w:tcPr>
            <w:tcW w:w="1498" w:type="dxa"/>
            <w:tcBorders>
              <w:top w:val="single" w:sz="4" w:space="0" w:color="auto"/>
              <w:left w:val="single" w:sz="8" w:space="0" w:color="0070C0"/>
              <w:bottom w:val="single" w:sz="4" w:space="0" w:color="000000"/>
              <w:right w:val="single" w:sz="12" w:space="0" w:color="000000"/>
            </w:tcBorders>
            <w:shd w:val="clear" w:color="auto" w:fill="C2D69B" w:themeFill="accent3" w:themeFillTint="99"/>
            <w:vAlign w:val="center"/>
          </w:tcPr>
          <w:p w14:paraId="02C5072E" w14:textId="52A4327F" w:rsidR="0064614F" w:rsidRPr="00B00624" w:rsidRDefault="00AB0C6B" w:rsidP="0064614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44.9%</w:t>
            </w:r>
          </w:p>
        </w:tc>
      </w:tr>
      <w:tr w:rsidR="0064614F" w:rsidRPr="005D1511" w14:paraId="770D2C09" w14:textId="77777777" w:rsidTr="00AB0C6B">
        <w:tblPrEx>
          <w:tblBorders>
            <w:top w:val="none" w:sz="0" w:space="0" w:color="auto"/>
          </w:tblBorders>
        </w:tblPrEx>
        <w:trPr>
          <w:jc w:val="center"/>
        </w:trPr>
        <w:tc>
          <w:tcPr>
            <w:tcW w:w="246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0791A2C8" w14:textId="40AC7BB7" w:rsidR="0064614F" w:rsidRPr="004815C1" w:rsidRDefault="0064614F" w:rsidP="0064614F">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$500–$4,999</w:t>
            </w:r>
          </w:p>
        </w:tc>
        <w:tc>
          <w:tcPr>
            <w:tcW w:w="1498" w:type="dxa"/>
            <w:tcBorders>
              <w:top w:val="single" w:sz="4" w:space="0" w:color="auto"/>
              <w:left w:val="single" w:sz="18" w:space="0" w:color="0070C0"/>
              <w:bottom w:val="single" w:sz="4" w:space="0" w:color="000000"/>
              <w:right w:val="single" w:sz="8" w:space="0" w:color="0070C0"/>
            </w:tcBorders>
            <w:shd w:val="clear" w:color="auto" w:fill="C2D69B" w:themeFill="accent3" w:themeFillTint="99"/>
            <w:vAlign w:val="center"/>
          </w:tcPr>
          <w:p w14:paraId="791E8348" w14:textId="5EC1790E" w:rsidR="0064614F" w:rsidRPr="004815C1" w:rsidRDefault="00AB0C6B" w:rsidP="0064614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48.6%</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229F5CF1" w14:textId="18D8589A" w:rsidR="0064614F" w:rsidRPr="004815C1" w:rsidRDefault="00AB0C6B" w:rsidP="0064614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46.5%</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56BD3FB9" w14:textId="1C78B9A1" w:rsidR="0064614F" w:rsidRPr="004815C1" w:rsidRDefault="00AB0C6B" w:rsidP="0064614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49.7%</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3542828F" w14:textId="75E1E451" w:rsidR="0064614F" w:rsidRPr="004815C1" w:rsidRDefault="00AB0C6B" w:rsidP="0064614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39.8%</w:t>
            </w:r>
          </w:p>
        </w:tc>
        <w:tc>
          <w:tcPr>
            <w:tcW w:w="1498" w:type="dxa"/>
            <w:tcBorders>
              <w:top w:val="single" w:sz="4" w:space="0" w:color="auto"/>
              <w:left w:val="single" w:sz="8" w:space="0" w:color="0070C0"/>
              <w:bottom w:val="single" w:sz="4" w:space="0" w:color="000000"/>
              <w:right w:val="single" w:sz="12" w:space="0" w:color="000000"/>
            </w:tcBorders>
            <w:shd w:val="clear" w:color="auto" w:fill="C2D69B" w:themeFill="accent3" w:themeFillTint="99"/>
            <w:vAlign w:val="center"/>
          </w:tcPr>
          <w:p w14:paraId="5397866F" w14:textId="251601B6" w:rsidR="0064614F" w:rsidRPr="00B00624" w:rsidRDefault="00AB0C6B" w:rsidP="0064614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29.9%</w:t>
            </w:r>
          </w:p>
        </w:tc>
      </w:tr>
      <w:tr w:rsidR="0064614F" w:rsidRPr="005D1511" w14:paraId="0B7BEEB1" w14:textId="77777777" w:rsidTr="00AB0C6B">
        <w:tblPrEx>
          <w:tblBorders>
            <w:top w:val="none" w:sz="0" w:space="0" w:color="auto"/>
          </w:tblBorders>
        </w:tblPrEx>
        <w:trPr>
          <w:jc w:val="center"/>
        </w:trPr>
        <w:tc>
          <w:tcPr>
            <w:tcW w:w="2468" w:type="dxa"/>
            <w:tcBorders>
              <w:top w:val="single" w:sz="4" w:space="0" w:color="000000"/>
              <w:left w:val="single" w:sz="12" w:space="0" w:color="000000"/>
              <w:bottom w:val="single" w:sz="12" w:space="0" w:color="auto"/>
              <w:right w:val="single" w:sz="18" w:space="0" w:color="0070C0"/>
            </w:tcBorders>
            <w:shd w:val="clear" w:color="auto" w:fill="auto"/>
            <w:vAlign w:val="center"/>
          </w:tcPr>
          <w:p w14:paraId="4232826F" w14:textId="78F7734E" w:rsidR="0064614F" w:rsidRPr="004815C1" w:rsidRDefault="0064614F" w:rsidP="0064614F">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$5,000 or more</w:t>
            </w:r>
          </w:p>
        </w:tc>
        <w:tc>
          <w:tcPr>
            <w:tcW w:w="1498" w:type="dxa"/>
            <w:tcBorders>
              <w:top w:val="single" w:sz="4" w:space="0" w:color="000000"/>
              <w:left w:val="single" w:sz="18" w:space="0" w:color="0070C0"/>
              <w:bottom w:val="single" w:sz="12" w:space="0" w:color="auto"/>
              <w:right w:val="single" w:sz="8" w:space="0" w:color="0070C0"/>
            </w:tcBorders>
            <w:shd w:val="clear" w:color="auto" w:fill="D6E3BC" w:themeFill="accent3" w:themeFillTint="66"/>
            <w:vAlign w:val="center"/>
          </w:tcPr>
          <w:p w14:paraId="26C2BE55" w14:textId="2DA9FA0A" w:rsidR="0064614F" w:rsidRPr="000C0BD3" w:rsidRDefault="00AB0C6B" w:rsidP="0064614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20.2%</w:t>
            </w:r>
          </w:p>
        </w:tc>
        <w:tc>
          <w:tcPr>
            <w:tcW w:w="1498" w:type="dxa"/>
            <w:tcBorders>
              <w:top w:val="single" w:sz="4" w:space="0" w:color="000000"/>
              <w:left w:val="single" w:sz="8" w:space="0" w:color="0070C0"/>
              <w:bottom w:val="single" w:sz="12" w:space="0" w:color="auto"/>
              <w:right w:val="single" w:sz="8" w:space="0" w:color="0070C0"/>
            </w:tcBorders>
            <w:shd w:val="clear" w:color="auto" w:fill="D6E3BC" w:themeFill="accent3" w:themeFillTint="66"/>
            <w:vAlign w:val="center"/>
          </w:tcPr>
          <w:p w14:paraId="180C8CD6" w14:textId="36128FFA" w:rsidR="0064614F" w:rsidRPr="004815C1" w:rsidRDefault="00AB0C6B" w:rsidP="0064614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19.0%</w:t>
            </w:r>
          </w:p>
        </w:tc>
        <w:tc>
          <w:tcPr>
            <w:tcW w:w="1498" w:type="dxa"/>
            <w:tcBorders>
              <w:top w:val="single" w:sz="4" w:space="0" w:color="000000"/>
              <w:left w:val="single" w:sz="8" w:space="0" w:color="0070C0"/>
              <w:bottom w:val="single" w:sz="12" w:space="0" w:color="auto"/>
              <w:right w:val="single" w:sz="8" w:space="0" w:color="0070C0"/>
            </w:tcBorders>
            <w:shd w:val="clear" w:color="auto" w:fill="C2D69B" w:themeFill="accent3" w:themeFillTint="99"/>
            <w:vAlign w:val="center"/>
          </w:tcPr>
          <w:p w14:paraId="3483ABEF" w14:textId="791495AC" w:rsidR="0064614F" w:rsidRPr="00B00624" w:rsidRDefault="00AB0C6B" w:rsidP="0064614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24.5%</w:t>
            </w:r>
          </w:p>
        </w:tc>
        <w:tc>
          <w:tcPr>
            <w:tcW w:w="1498" w:type="dxa"/>
            <w:tcBorders>
              <w:top w:val="single" w:sz="4" w:space="0" w:color="000000"/>
              <w:left w:val="single" w:sz="8" w:space="0" w:color="0070C0"/>
              <w:bottom w:val="single" w:sz="12" w:space="0" w:color="auto"/>
              <w:right w:val="single" w:sz="8" w:space="0" w:color="0070C0"/>
            </w:tcBorders>
            <w:shd w:val="clear" w:color="auto" w:fill="C2D69B" w:themeFill="accent3" w:themeFillTint="99"/>
            <w:vAlign w:val="center"/>
          </w:tcPr>
          <w:p w14:paraId="3A67C086" w14:textId="3CB18B52" w:rsidR="0064614F" w:rsidRPr="004815C1" w:rsidRDefault="00AB0C6B" w:rsidP="0064614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27.7%</w:t>
            </w:r>
          </w:p>
        </w:tc>
        <w:tc>
          <w:tcPr>
            <w:tcW w:w="1498" w:type="dxa"/>
            <w:tcBorders>
              <w:top w:val="single" w:sz="4" w:space="0" w:color="000000"/>
              <w:left w:val="single" w:sz="8" w:space="0" w:color="0070C0"/>
              <w:bottom w:val="single" w:sz="12" w:space="0" w:color="auto"/>
              <w:right w:val="single" w:sz="12" w:space="0" w:color="000000"/>
            </w:tcBorders>
            <w:shd w:val="clear" w:color="auto" w:fill="C2D69B" w:themeFill="accent3" w:themeFillTint="99"/>
            <w:vAlign w:val="center"/>
          </w:tcPr>
          <w:p w14:paraId="3951A035" w14:textId="488215D5" w:rsidR="0064614F" w:rsidRPr="00493053" w:rsidRDefault="00AB0C6B" w:rsidP="0064614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25.2%</w:t>
            </w:r>
          </w:p>
        </w:tc>
      </w:tr>
    </w:tbl>
    <w:p w14:paraId="2C80C32F" w14:textId="77777777" w:rsidR="0030496A" w:rsidRDefault="0030496A" w:rsidP="00AB0C6B">
      <w:pPr>
        <w:spacing w:after="0" w:line="240" w:lineRule="auto"/>
        <w:contextualSpacing/>
        <w:mirrorIndents/>
        <w:rPr>
          <w:sz w:val="16"/>
          <w:szCs w:val="16"/>
        </w:rPr>
      </w:pPr>
      <w:r w:rsidRPr="00573142">
        <w:rPr>
          <w:sz w:val="16"/>
          <w:szCs w:val="16"/>
        </w:rPr>
        <w:t xml:space="preserve">Based on The Media Audit’s 2021 surveys  </w:t>
      </w:r>
      <w:r w:rsidRPr="00573142">
        <w:rPr>
          <w:sz w:val="16"/>
          <w:szCs w:val="16"/>
        </w:rPr>
        <w:tab/>
      </w:r>
    </w:p>
    <w:p w14:paraId="6F2ECB73" w14:textId="713FF0A3" w:rsidR="005A207B" w:rsidRDefault="005A207B" w:rsidP="00F94CE8">
      <w:pPr>
        <w:pStyle w:val="NoSpacing"/>
        <w:contextualSpacing/>
        <w:rPr>
          <w:sz w:val="20"/>
          <w:szCs w:val="20"/>
        </w:rPr>
      </w:pPr>
    </w:p>
    <w:p w14:paraId="3CFF92C7" w14:textId="33AEB5FC" w:rsidR="005A207B" w:rsidRDefault="005A207B" w:rsidP="00F94CE8">
      <w:pPr>
        <w:pStyle w:val="NoSpacing"/>
        <w:contextualSpacing/>
        <w:rPr>
          <w:sz w:val="20"/>
          <w:szCs w:val="20"/>
        </w:rPr>
      </w:pPr>
    </w:p>
    <w:p w14:paraId="50884848" w14:textId="1749D3CA" w:rsidR="005A207B" w:rsidRDefault="005A207B" w:rsidP="00F94CE8">
      <w:pPr>
        <w:pStyle w:val="NoSpacing"/>
        <w:contextualSpacing/>
        <w:rPr>
          <w:sz w:val="20"/>
          <w:szCs w:val="20"/>
        </w:rPr>
      </w:pPr>
    </w:p>
    <w:p w14:paraId="064EB9DD" w14:textId="153CFFB8" w:rsidR="005A207B" w:rsidRDefault="005A207B" w:rsidP="00F94CE8">
      <w:pPr>
        <w:pStyle w:val="NoSpacing"/>
        <w:contextualSpacing/>
        <w:rPr>
          <w:sz w:val="20"/>
          <w:szCs w:val="20"/>
        </w:rPr>
      </w:pPr>
    </w:p>
    <w:p w14:paraId="602B04AB" w14:textId="77777777" w:rsidR="005A207B" w:rsidRPr="00C66D00" w:rsidRDefault="005A207B" w:rsidP="00F94CE8">
      <w:pPr>
        <w:pStyle w:val="NoSpacing"/>
        <w:contextualSpacing/>
        <w:rPr>
          <w:sz w:val="20"/>
          <w:szCs w:val="20"/>
        </w:rPr>
      </w:pPr>
    </w:p>
    <w:p w14:paraId="72A9D893" w14:textId="77777777" w:rsidR="00F94CE8" w:rsidRDefault="00F94CE8" w:rsidP="00F94CE8">
      <w:pPr>
        <w:pStyle w:val="NoSpacing"/>
        <w:contextualSpacing/>
        <w:rPr>
          <w:sz w:val="20"/>
          <w:szCs w:val="20"/>
        </w:rPr>
      </w:pPr>
    </w:p>
    <w:p w14:paraId="78E679E8" w14:textId="77777777" w:rsidR="00F94CE8" w:rsidRDefault="00F94CE8" w:rsidP="00F94CE8">
      <w:pPr>
        <w:pStyle w:val="NoSpacing"/>
        <w:contextualSpacing/>
        <w:rPr>
          <w:sz w:val="20"/>
          <w:szCs w:val="20"/>
        </w:rPr>
      </w:pPr>
    </w:p>
    <w:p w14:paraId="3CDFB8E2" w14:textId="77777777" w:rsidR="00F94CE8" w:rsidRDefault="00F94CE8" w:rsidP="00F94CE8">
      <w:pPr>
        <w:pStyle w:val="NoSpacing"/>
        <w:contextualSpacing/>
        <w:rPr>
          <w:sz w:val="20"/>
          <w:szCs w:val="20"/>
        </w:rPr>
      </w:pPr>
    </w:p>
    <w:p w14:paraId="6DC49CD3" w14:textId="77777777" w:rsidR="00F94CE8" w:rsidRDefault="00F94CE8" w:rsidP="00F94CE8">
      <w:pPr>
        <w:pStyle w:val="NoSpacing"/>
        <w:contextualSpacing/>
        <w:rPr>
          <w:sz w:val="20"/>
          <w:szCs w:val="20"/>
        </w:rPr>
      </w:pPr>
    </w:p>
    <w:p w14:paraId="2C60B016" w14:textId="77777777" w:rsidR="00F94CE8" w:rsidRDefault="00F94CE8" w:rsidP="00F94CE8">
      <w:pPr>
        <w:pStyle w:val="NoSpacing"/>
        <w:contextualSpacing/>
        <w:rPr>
          <w:sz w:val="20"/>
          <w:szCs w:val="20"/>
        </w:rPr>
      </w:pPr>
    </w:p>
    <w:p w14:paraId="14500FC4" w14:textId="77777777" w:rsidR="00F94CE8" w:rsidRDefault="00F94CE8" w:rsidP="00F94CE8">
      <w:pPr>
        <w:pStyle w:val="NoSpacing"/>
        <w:contextualSpacing/>
        <w:rPr>
          <w:sz w:val="20"/>
          <w:szCs w:val="20"/>
        </w:rPr>
      </w:pPr>
    </w:p>
    <w:p w14:paraId="5E798886" w14:textId="77777777" w:rsidR="00F94CE8" w:rsidRDefault="00F94CE8" w:rsidP="00F94CE8">
      <w:pPr>
        <w:pStyle w:val="NoSpacing"/>
        <w:contextualSpacing/>
        <w:rPr>
          <w:sz w:val="20"/>
          <w:szCs w:val="20"/>
        </w:rPr>
      </w:pPr>
    </w:p>
    <w:p w14:paraId="777770F7" w14:textId="77777777" w:rsidR="00F94CE8" w:rsidRDefault="00F94CE8" w:rsidP="00F94CE8">
      <w:pPr>
        <w:pStyle w:val="NoSpacing"/>
        <w:contextualSpacing/>
        <w:rPr>
          <w:sz w:val="20"/>
          <w:szCs w:val="20"/>
        </w:rPr>
      </w:pPr>
    </w:p>
    <w:p w14:paraId="3C35B056" w14:textId="77777777" w:rsidR="00F94CE8" w:rsidRDefault="00F94CE8" w:rsidP="00F94CE8">
      <w:pPr>
        <w:pStyle w:val="NoSpacing"/>
        <w:contextualSpacing/>
        <w:rPr>
          <w:sz w:val="20"/>
          <w:szCs w:val="20"/>
        </w:rPr>
      </w:pPr>
    </w:p>
    <w:p w14:paraId="72BAAFC7" w14:textId="347B0D02" w:rsidR="00F94CE8" w:rsidRPr="006D024E" w:rsidRDefault="00F94CE8" w:rsidP="00F94CE8">
      <w:pPr>
        <w:spacing w:after="0" w:line="240" w:lineRule="auto"/>
        <w:rPr>
          <w:rFonts w:ascii="Verdana" w:hAnsi="Verdana"/>
          <w:sz w:val="16"/>
          <w:szCs w:val="16"/>
        </w:rPr>
      </w:pPr>
      <w:r w:rsidRPr="006D024E">
        <w:rPr>
          <w:rFonts w:ascii="Verdana" w:hAnsi="Verdana"/>
          <w:i/>
          <w:sz w:val="16"/>
          <w:szCs w:val="16"/>
        </w:rPr>
        <w:t>Sources:</w:t>
      </w:r>
      <w:r w:rsidRPr="006D024E">
        <w:rPr>
          <w:rFonts w:ascii="Verdana" w:hAnsi="Verdana"/>
          <w:sz w:val="16"/>
          <w:szCs w:val="16"/>
        </w:rPr>
        <w:t xml:space="preserve"> </w:t>
      </w:r>
      <w:r w:rsidR="006D024E" w:rsidRPr="006D024E">
        <w:rPr>
          <w:sz w:val="16"/>
          <w:szCs w:val="16"/>
        </w:rPr>
        <w:t xml:space="preserve">Associated General Contractors of America </w:t>
      </w:r>
      <w:r w:rsidRPr="006D024E">
        <w:rPr>
          <w:rFonts w:ascii="Verdana" w:hAnsi="Verdana"/>
          <w:sz w:val="16"/>
          <w:szCs w:val="16"/>
        </w:rPr>
        <w:t xml:space="preserve">Website, </w:t>
      </w:r>
      <w:r w:rsidR="0045797F" w:rsidRPr="006D024E">
        <w:rPr>
          <w:rFonts w:ascii="Verdana" w:hAnsi="Verdana"/>
          <w:sz w:val="16"/>
          <w:szCs w:val="16"/>
        </w:rPr>
        <w:t>3</w:t>
      </w:r>
      <w:r w:rsidR="00306D88" w:rsidRPr="006D024E">
        <w:rPr>
          <w:rFonts w:ascii="Verdana" w:hAnsi="Verdana"/>
          <w:sz w:val="16"/>
          <w:szCs w:val="16"/>
        </w:rPr>
        <w:t>/</w:t>
      </w:r>
      <w:r w:rsidR="00AE6B2A" w:rsidRPr="006D024E">
        <w:rPr>
          <w:rFonts w:ascii="Verdana" w:hAnsi="Verdana"/>
          <w:sz w:val="16"/>
          <w:szCs w:val="16"/>
        </w:rPr>
        <w:t>2</w:t>
      </w:r>
      <w:r w:rsidR="00C8473A" w:rsidRPr="006D024E">
        <w:rPr>
          <w:rFonts w:ascii="Verdana" w:hAnsi="Verdana"/>
          <w:sz w:val="16"/>
          <w:szCs w:val="16"/>
        </w:rPr>
        <w:t>2</w:t>
      </w:r>
      <w:r w:rsidRPr="006D024E">
        <w:rPr>
          <w:rFonts w:ascii="Verdana" w:hAnsi="Verdana"/>
          <w:sz w:val="16"/>
          <w:szCs w:val="16"/>
        </w:rPr>
        <w:t xml:space="preserve">; </w:t>
      </w:r>
      <w:r w:rsidR="006D024E" w:rsidRPr="006D024E">
        <w:rPr>
          <w:sz w:val="16"/>
          <w:szCs w:val="16"/>
        </w:rPr>
        <w:t>Equipment World</w:t>
      </w:r>
      <w:r w:rsidRPr="006D024E">
        <w:rPr>
          <w:rFonts w:ascii="Verdana" w:hAnsi="Verdana"/>
          <w:sz w:val="16"/>
          <w:szCs w:val="16"/>
        </w:rPr>
        <w:t xml:space="preserve"> Website, </w:t>
      </w:r>
      <w:r w:rsidR="0045797F" w:rsidRPr="006D024E">
        <w:rPr>
          <w:rFonts w:ascii="Verdana" w:hAnsi="Verdana"/>
          <w:sz w:val="16"/>
          <w:szCs w:val="16"/>
        </w:rPr>
        <w:t>3</w:t>
      </w:r>
      <w:r w:rsidR="004E421A" w:rsidRPr="006D024E">
        <w:rPr>
          <w:rFonts w:ascii="Verdana" w:hAnsi="Verdana"/>
          <w:sz w:val="16"/>
          <w:szCs w:val="16"/>
        </w:rPr>
        <w:t>/</w:t>
      </w:r>
      <w:r w:rsidR="00AE6B2A" w:rsidRPr="006D024E">
        <w:rPr>
          <w:rFonts w:ascii="Verdana" w:hAnsi="Verdana"/>
          <w:sz w:val="16"/>
          <w:szCs w:val="16"/>
        </w:rPr>
        <w:t>2</w:t>
      </w:r>
      <w:r w:rsidR="00C8473A" w:rsidRPr="006D024E">
        <w:rPr>
          <w:rFonts w:ascii="Verdana" w:hAnsi="Verdana"/>
          <w:sz w:val="16"/>
          <w:szCs w:val="16"/>
        </w:rPr>
        <w:t>2</w:t>
      </w:r>
      <w:r w:rsidRPr="006D024E">
        <w:rPr>
          <w:rFonts w:ascii="Verdana" w:hAnsi="Verdana"/>
          <w:sz w:val="16"/>
          <w:szCs w:val="16"/>
        </w:rPr>
        <w:t xml:space="preserve">; </w:t>
      </w:r>
      <w:r w:rsidR="006D024E" w:rsidRPr="006D024E">
        <w:rPr>
          <w:sz w:val="16"/>
          <w:szCs w:val="16"/>
        </w:rPr>
        <w:t xml:space="preserve">The Farnsworth Group </w:t>
      </w:r>
      <w:r w:rsidRPr="006D024E">
        <w:rPr>
          <w:rFonts w:ascii="Verdana" w:hAnsi="Verdana"/>
          <w:sz w:val="16"/>
          <w:szCs w:val="16"/>
        </w:rPr>
        <w:t>Website</w:t>
      </w:r>
      <w:r w:rsidR="00A00453" w:rsidRPr="006D024E">
        <w:rPr>
          <w:rFonts w:ascii="Verdana" w:hAnsi="Verdana"/>
          <w:sz w:val="16"/>
          <w:szCs w:val="16"/>
        </w:rPr>
        <w:t xml:space="preserve">, </w:t>
      </w:r>
      <w:r w:rsidR="0045797F" w:rsidRPr="006D024E">
        <w:rPr>
          <w:rFonts w:ascii="Verdana" w:hAnsi="Verdana"/>
          <w:sz w:val="16"/>
          <w:szCs w:val="16"/>
        </w:rPr>
        <w:t>3</w:t>
      </w:r>
      <w:r w:rsidR="00306D88" w:rsidRPr="006D024E">
        <w:rPr>
          <w:rFonts w:ascii="Verdana" w:hAnsi="Verdana"/>
          <w:sz w:val="16"/>
          <w:szCs w:val="16"/>
        </w:rPr>
        <w:t>/</w:t>
      </w:r>
      <w:r w:rsidR="00AE6B2A" w:rsidRPr="006D024E">
        <w:rPr>
          <w:rFonts w:ascii="Verdana" w:hAnsi="Verdana"/>
          <w:sz w:val="16"/>
          <w:szCs w:val="16"/>
        </w:rPr>
        <w:t>2</w:t>
      </w:r>
      <w:r w:rsidR="00C8473A" w:rsidRPr="006D024E">
        <w:rPr>
          <w:rFonts w:ascii="Verdana" w:hAnsi="Verdana"/>
          <w:sz w:val="16"/>
          <w:szCs w:val="16"/>
        </w:rPr>
        <w:t>2</w:t>
      </w:r>
      <w:r w:rsidR="006D024E">
        <w:rPr>
          <w:rFonts w:ascii="Verdana" w:hAnsi="Verdana"/>
          <w:sz w:val="16"/>
          <w:szCs w:val="16"/>
        </w:rPr>
        <w:t>;</w:t>
      </w:r>
      <w:r w:rsidR="006D024E" w:rsidRPr="006D024E">
        <w:rPr>
          <w:rFonts w:ascii="Verdana" w:hAnsi="Verdana"/>
          <w:sz w:val="16"/>
          <w:szCs w:val="16"/>
        </w:rPr>
        <w:t xml:space="preserve"> </w:t>
      </w:r>
      <w:r w:rsidR="006D024E" w:rsidRPr="006D024E">
        <w:rPr>
          <w:sz w:val="16"/>
          <w:szCs w:val="16"/>
        </w:rPr>
        <w:t>Houzz Website</w:t>
      </w:r>
      <w:r w:rsidR="006D024E" w:rsidRPr="006D024E">
        <w:rPr>
          <w:rFonts w:ascii="Verdana" w:hAnsi="Verdana"/>
          <w:sz w:val="16"/>
          <w:szCs w:val="16"/>
        </w:rPr>
        <w:t>, 3/22</w:t>
      </w:r>
      <w:r w:rsidR="006D024E">
        <w:rPr>
          <w:rFonts w:ascii="Verdana" w:hAnsi="Verdana"/>
          <w:sz w:val="16"/>
          <w:szCs w:val="16"/>
        </w:rPr>
        <w:t>;</w:t>
      </w:r>
      <w:r w:rsidR="006D024E" w:rsidRPr="006D024E">
        <w:rPr>
          <w:rFonts w:ascii="Verdana" w:hAnsi="Verdana"/>
          <w:sz w:val="16"/>
          <w:szCs w:val="16"/>
        </w:rPr>
        <w:t xml:space="preserve"> </w:t>
      </w:r>
      <w:r w:rsidR="006D024E" w:rsidRPr="006D024E">
        <w:rPr>
          <w:sz w:val="16"/>
          <w:szCs w:val="16"/>
        </w:rPr>
        <w:t>The Media Audit Website</w:t>
      </w:r>
      <w:r w:rsidR="006D024E" w:rsidRPr="006D024E">
        <w:rPr>
          <w:rFonts w:ascii="Verdana" w:hAnsi="Verdana"/>
          <w:sz w:val="16"/>
          <w:szCs w:val="16"/>
        </w:rPr>
        <w:t>, 3/22</w:t>
      </w:r>
      <w:r w:rsidR="006D024E">
        <w:rPr>
          <w:rFonts w:ascii="Verdana" w:hAnsi="Verdana"/>
          <w:sz w:val="16"/>
          <w:szCs w:val="16"/>
        </w:rPr>
        <w:t>;</w:t>
      </w:r>
      <w:r w:rsidR="006D024E" w:rsidRPr="006D024E">
        <w:rPr>
          <w:sz w:val="16"/>
          <w:szCs w:val="16"/>
        </w:rPr>
        <w:t xml:space="preserve"> </w:t>
      </w:r>
      <w:r w:rsidR="006D024E" w:rsidRPr="006D024E">
        <w:rPr>
          <w:sz w:val="16"/>
          <w:szCs w:val="16"/>
        </w:rPr>
        <w:t>US Census Bureau Website</w:t>
      </w:r>
      <w:r w:rsidR="006D024E" w:rsidRPr="006D024E">
        <w:rPr>
          <w:rFonts w:ascii="Verdana" w:hAnsi="Verdana"/>
          <w:sz w:val="16"/>
          <w:szCs w:val="16"/>
        </w:rPr>
        <w:t>, 3/22</w:t>
      </w:r>
      <w:r w:rsidR="006D024E">
        <w:rPr>
          <w:rFonts w:ascii="Verdana" w:hAnsi="Verdana"/>
          <w:sz w:val="16"/>
          <w:szCs w:val="16"/>
        </w:rPr>
        <w:t>;</w:t>
      </w:r>
      <w:r w:rsidR="006D024E" w:rsidRPr="006D024E">
        <w:rPr>
          <w:sz w:val="16"/>
          <w:szCs w:val="16"/>
        </w:rPr>
        <w:t xml:space="preserve"> </w:t>
      </w:r>
      <w:r w:rsidR="006D024E" w:rsidRPr="006D024E">
        <w:rPr>
          <w:sz w:val="16"/>
          <w:szCs w:val="16"/>
        </w:rPr>
        <w:t>Air-Conditioning, Heating, &amp; Refrigeration Institute Website</w:t>
      </w:r>
      <w:r w:rsidR="006D024E" w:rsidRPr="006D024E">
        <w:rPr>
          <w:rFonts w:ascii="Verdana" w:hAnsi="Verdana"/>
          <w:sz w:val="16"/>
          <w:szCs w:val="16"/>
        </w:rPr>
        <w:t>, 3/22</w:t>
      </w:r>
      <w:r w:rsidR="006D024E">
        <w:rPr>
          <w:rFonts w:ascii="Verdana" w:hAnsi="Verdana"/>
          <w:sz w:val="16"/>
          <w:szCs w:val="16"/>
        </w:rPr>
        <w:t>;</w:t>
      </w:r>
      <w:r w:rsidR="006D024E" w:rsidRPr="006D024E">
        <w:rPr>
          <w:sz w:val="16"/>
          <w:szCs w:val="16"/>
        </w:rPr>
        <w:t xml:space="preserve"> </w:t>
      </w:r>
      <w:r w:rsidR="006D024E" w:rsidRPr="006D024E">
        <w:rPr>
          <w:sz w:val="16"/>
          <w:szCs w:val="16"/>
        </w:rPr>
        <w:t>Builder Website</w:t>
      </w:r>
      <w:r w:rsidR="006D024E" w:rsidRPr="006D024E">
        <w:rPr>
          <w:rFonts w:ascii="Verdana" w:hAnsi="Verdana"/>
          <w:sz w:val="16"/>
          <w:szCs w:val="16"/>
        </w:rPr>
        <w:t>, 3/22</w:t>
      </w:r>
      <w:r w:rsidR="006D024E">
        <w:rPr>
          <w:rFonts w:ascii="Verdana" w:hAnsi="Verdana"/>
          <w:sz w:val="16"/>
          <w:szCs w:val="16"/>
        </w:rPr>
        <w:t>.</w:t>
      </w:r>
    </w:p>
    <w:p w14:paraId="7EF64BA4" w14:textId="77777777" w:rsidR="00F94CE8" w:rsidRPr="00690E6A" w:rsidRDefault="00F94CE8" w:rsidP="00F94CE8">
      <w:pPr>
        <w:spacing w:after="0" w:line="240" w:lineRule="auto"/>
        <w:rPr>
          <w:rFonts w:ascii="Verdana" w:hAnsi="Verdana"/>
          <w:sz w:val="16"/>
        </w:rPr>
      </w:pPr>
    </w:p>
    <w:p w14:paraId="49C0D793" w14:textId="4F4B89FE" w:rsidR="00F94CE8" w:rsidRPr="00690E6A" w:rsidRDefault="00F94CE8" w:rsidP="00F94CE8">
      <w:pPr>
        <w:spacing w:after="0" w:line="240" w:lineRule="auto"/>
        <w:rPr>
          <w:rFonts w:ascii="Verdana" w:hAnsi="Verdana"/>
          <w:strike/>
          <w:sz w:val="16"/>
        </w:rPr>
      </w:pPr>
      <w:r w:rsidRPr="00690E6A">
        <w:rPr>
          <w:rFonts w:ascii="Verdana" w:hAnsi="Verdana"/>
          <w:i/>
          <w:sz w:val="16"/>
        </w:rPr>
        <w:t>Updated</w:t>
      </w:r>
      <w:r w:rsidR="003F0FE1">
        <w:rPr>
          <w:rFonts w:ascii="Verdana" w:hAnsi="Verdana"/>
          <w:sz w:val="16"/>
        </w:rPr>
        <w:t xml:space="preserve">: </w:t>
      </w:r>
      <w:r w:rsidR="0045797F">
        <w:rPr>
          <w:rFonts w:ascii="Verdana" w:hAnsi="Verdana"/>
          <w:sz w:val="16"/>
        </w:rPr>
        <w:t>March</w:t>
      </w:r>
      <w:r w:rsidR="00C8473A">
        <w:rPr>
          <w:rFonts w:ascii="Verdana" w:hAnsi="Verdana"/>
          <w:sz w:val="16"/>
        </w:rPr>
        <w:t xml:space="preserve"> 2022</w:t>
      </w:r>
    </w:p>
    <w:p w14:paraId="061B0C21" w14:textId="77777777" w:rsidR="00F94CE8" w:rsidRDefault="00F94CE8" w:rsidP="00F94CE8">
      <w:pPr>
        <w:pStyle w:val="NoSpacing"/>
        <w:contextualSpacing/>
        <w:rPr>
          <w:sz w:val="20"/>
          <w:szCs w:val="20"/>
        </w:rPr>
      </w:pPr>
    </w:p>
    <w:p w14:paraId="56AD0CC7" w14:textId="00868E95" w:rsidR="00F94CE8" w:rsidRPr="00FF1EBA" w:rsidRDefault="00F94CE8" w:rsidP="00F94CE8">
      <w:pPr>
        <w:pStyle w:val="NoSpacing"/>
        <w:contextualSpacing/>
        <w:rPr>
          <w:sz w:val="16"/>
          <w:szCs w:val="16"/>
        </w:rPr>
      </w:pPr>
      <w:r w:rsidRPr="00FF1EBA">
        <w:rPr>
          <w:rFonts w:ascii="Verdana" w:hAnsi="Verdana"/>
          <w:sz w:val="16"/>
          <w:szCs w:val="16"/>
        </w:rPr>
        <w:t>©</w:t>
      </w:r>
      <w:r w:rsidR="00306D88">
        <w:rPr>
          <w:sz w:val="16"/>
          <w:szCs w:val="16"/>
        </w:rPr>
        <w:t xml:space="preserve"> 20</w:t>
      </w:r>
      <w:r w:rsidR="00AE6B2A">
        <w:rPr>
          <w:sz w:val="16"/>
          <w:szCs w:val="16"/>
        </w:rPr>
        <w:t>2</w:t>
      </w:r>
      <w:r w:rsidR="00C8473A">
        <w:rPr>
          <w:sz w:val="16"/>
          <w:szCs w:val="16"/>
        </w:rPr>
        <w:t>2</w:t>
      </w:r>
      <w:r>
        <w:rPr>
          <w:sz w:val="16"/>
          <w:szCs w:val="16"/>
        </w:rPr>
        <w:t xml:space="preserve"> Media Group Online, Inc</w:t>
      </w:r>
      <w:r w:rsidRPr="00FF1EBA">
        <w:rPr>
          <w:sz w:val="16"/>
          <w:szCs w:val="16"/>
        </w:rPr>
        <w:t>. All rights reserved.</w:t>
      </w:r>
    </w:p>
    <w:p w14:paraId="47D01060" w14:textId="64A6C5D5" w:rsidR="00F94CE8" w:rsidRDefault="00F94CE8" w:rsidP="00260DE9">
      <w:pPr>
        <w:pStyle w:val="NoSpacing"/>
        <w:rPr>
          <w:sz w:val="20"/>
          <w:szCs w:val="20"/>
        </w:rPr>
      </w:pPr>
    </w:p>
    <w:p w14:paraId="6D0066ED" w14:textId="4379772D" w:rsidR="00AE1F72" w:rsidRDefault="00AE1F72" w:rsidP="00260DE9">
      <w:pPr>
        <w:pStyle w:val="NoSpacing"/>
        <w:rPr>
          <w:sz w:val="20"/>
          <w:szCs w:val="20"/>
        </w:rPr>
      </w:pPr>
    </w:p>
    <w:p w14:paraId="25DDD48A" w14:textId="4A2F67C8" w:rsidR="00AE1F72" w:rsidRDefault="00AE1F72">
      <w:pPr>
        <w:rPr>
          <w:sz w:val="20"/>
          <w:szCs w:val="20"/>
        </w:rPr>
      </w:pPr>
      <w:r>
        <w:rPr>
          <w:sz w:val="20"/>
          <w:szCs w:val="20"/>
        </w:rPr>
        <w:br w:type="page"/>
      </w:r>
    </w:p>
    <w:p w14:paraId="392FDD45" w14:textId="1FFC3855" w:rsidR="00AE1F72" w:rsidRPr="00720E0B" w:rsidRDefault="00AE1F72" w:rsidP="00AE1F72">
      <w:pPr>
        <w:pStyle w:val="NoSpacing"/>
        <w:jc w:val="center"/>
        <w:rPr>
          <w:b/>
          <w:color w:val="0070C0"/>
          <w:sz w:val="20"/>
          <w:szCs w:val="20"/>
        </w:rPr>
      </w:pPr>
      <w:r w:rsidRPr="00720E0B">
        <w:rPr>
          <w:b/>
          <w:color w:val="0070C0"/>
          <w:sz w:val="20"/>
          <w:szCs w:val="20"/>
        </w:rPr>
        <w:lastRenderedPageBreak/>
        <w:t xml:space="preserve">Local </w:t>
      </w:r>
      <w:r w:rsidR="0050254D">
        <w:rPr>
          <w:b/>
          <w:color w:val="0070C0"/>
          <w:sz w:val="20"/>
          <w:szCs w:val="20"/>
        </w:rPr>
        <w:t xml:space="preserve">Market </w:t>
      </w:r>
      <w:r w:rsidRPr="00720E0B">
        <w:rPr>
          <w:b/>
          <w:color w:val="0070C0"/>
          <w:sz w:val="20"/>
          <w:szCs w:val="20"/>
        </w:rPr>
        <w:t>and Station Information</w:t>
      </w:r>
    </w:p>
    <w:p w14:paraId="17AD3F99" w14:textId="77777777" w:rsidR="00AE1F72" w:rsidRPr="00260DE9" w:rsidRDefault="00AE1F72" w:rsidP="00260DE9">
      <w:pPr>
        <w:pStyle w:val="NoSpacing"/>
        <w:rPr>
          <w:sz w:val="20"/>
          <w:szCs w:val="20"/>
        </w:rPr>
      </w:pPr>
    </w:p>
    <w:sectPr w:rsidR="00AE1F72" w:rsidRPr="00260DE9" w:rsidSect="00260DE9">
      <w:headerReference w:type="default" r:id="rId8"/>
      <w:footerReference w:type="default" r:id="rId9"/>
      <w:pgSz w:w="12240" w:h="15840" w:code="1"/>
      <w:pgMar w:top="2160" w:right="1440" w:bottom="1440" w:left="1440" w:header="144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BA523" w14:textId="77777777" w:rsidR="002278DB" w:rsidRDefault="002278DB" w:rsidP="00260DE9">
      <w:pPr>
        <w:spacing w:after="0" w:line="240" w:lineRule="auto"/>
      </w:pPr>
      <w:r>
        <w:separator/>
      </w:r>
    </w:p>
  </w:endnote>
  <w:endnote w:type="continuationSeparator" w:id="0">
    <w:p w14:paraId="611F4A99" w14:textId="77777777" w:rsidR="002278DB" w:rsidRDefault="002278DB" w:rsidP="0026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B63B7" w14:textId="77777777" w:rsidR="003E2E9B" w:rsidRDefault="003E2E9B" w:rsidP="003E2E9B">
    <w:pPr>
      <w:pStyle w:val="Footer"/>
      <w:jc w:val="center"/>
      <w:rPr>
        <w:rFonts w:ascii="Arial" w:hAnsi="Arial" w:cs="Arial"/>
        <w:sz w:val="16"/>
        <w:szCs w:val="16"/>
      </w:rPr>
    </w:pPr>
    <w:r>
      <w:rPr>
        <w:rFonts w:ascii="Arial" w:hAnsi="Arial" w:cs="Arial"/>
        <w:noProof/>
        <w:sz w:val="16"/>
        <w:szCs w:val="16"/>
      </w:rPr>
      <w:drawing>
        <wp:inline distT="0" distB="0" distL="0" distR="0" wp14:anchorId="4724D9F8" wp14:editId="6BCACCF1">
          <wp:extent cx="300990" cy="300990"/>
          <wp:effectExtent l="19050" t="0" r="3810" b="0"/>
          <wp:docPr id="4" name="Picture 3" descr="MGOlogoBlack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OlogoBlackC.png"/>
                  <pic:cNvPicPr/>
                </pic:nvPicPr>
                <pic:blipFill>
                  <a:blip r:embed="rId1"/>
                  <a:stretch>
                    <a:fillRect/>
                  </a:stretch>
                </pic:blipFill>
                <pic:spPr>
                  <a:xfrm>
                    <a:off x="0" y="0"/>
                    <a:ext cx="300942" cy="300942"/>
                  </a:xfrm>
                  <a:prstGeom prst="rect">
                    <a:avLst/>
                  </a:prstGeom>
                </pic:spPr>
              </pic:pic>
            </a:graphicData>
          </a:graphic>
        </wp:inline>
      </w:drawing>
    </w:r>
  </w:p>
  <w:p w14:paraId="688D5080" w14:textId="77777777" w:rsidR="00260DE9" w:rsidRPr="0097480E" w:rsidRDefault="00EF6AB9" w:rsidP="00EF6AB9">
    <w:pPr>
      <w:pStyle w:val="Footer"/>
      <w:jc w:val="center"/>
      <w:rPr>
        <w:rFonts w:ascii="Arial" w:hAnsi="Arial" w:cs="Arial"/>
        <w:sz w:val="16"/>
        <w:szCs w:val="16"/>
      </w:rPr>
    </w:pPr>
    <w:r w:rsidRPr="0097480E">
      <w:rPr>
        <w:rFonts w:ascii="Arial" w:hAnsi="Arial" w:cs="Arial"/>
        <w:sz w:val="16"/>
        <w:szCs w:val="16"/>
        <w:shd w:val="clear" w:color="auto" w:fill="FFFFFF"/>
      </w:rPr>
      <w:t>Media Group Online, Inc.</w:t>
    </w:r>
    <w:r w:rsidRPr="0097480E">
      <w:rPr>
        <w:rFonts w:ascii="Arial" w:hAnsi="Arial" w:cs="Arial"/>
        <w:sz w:val="16"/>
        <w:szCs w:val="16"/>
      </w:rPr>
      <w:t xml:space="preserve">• </w:t>
    </w:r>
    <w:r w:rsidRPr="0097480E">
      <w:rPr>
        <w:rFonts w:ascii="Arial" w:hAnsi="Arial" w:cs="Arial"/>
        <w:sz w:val="16"/>
        <w:szCs w:val="16"/>
        <w:shd w:val="clear" w:color="auto" w:fill="FFFFFF"/>
      </w:rPr>
      <w:t>103 Sterling Mine Rd.</w:t>
    </w:r>
    <w:r w:rsidRPr="0097480E">
      <w:rPr>
        <w:rFonts w:ascii="Arial" w:hAnsi="Arial" w:cs="Arial"/>
        <w:sz w:val="16"/>
        <w:szCs w:val="16"/>
      </w:rPr>
      <w:t xml:space="preserve">• </w:t>
    </w:r>
    <w:r w:rsidRPr="0097480E">
      <w:rPr>
        <w:rFonts w:ascii="Arial" w:hAnsi="Arial" w:cs="Arial"/>
        <w:sz w:val="16"/>
        <w:szCs w:val="16"/>
        <w:shd w:val="clear" w:color="auto" w:fill="FFFFFF"/>
      </w:rPr>
      <w:t xml:space="preserve">Sloatsburg, NY </w:t>
    </w:r>
    <w:r w:rsidR="0097480E" w:rsidRPr="0097480E">
      <w:rPr>
        <w:rFonts w:ascii="Arial" w:hAnsi="Arial" w:cs="Arial"/>
        <w:sz w:val="16"/>
        <w:szCs w:val="16"/>
        <w:shd w:val="clear" w:color="auto" w:fill="FFFFFF"/>
      </w:rPr>
      <w:t>10974</w:t>
    </w:r>
    <w:r w:rsidRPr="0097480E">
      <w:rPr>
        <w:rFonts w:ascii="Arial" w:hAnsi="Arial" w:cs="Arial"/>
        <w:sz w:val="16"/>
        <w:szCs w:val="16"/>
        <w:shd w:val="clear" w:color="auto" w:fill="FFFFFF"/>
      </w:rPr>
      <w:t xml:space="preserve"> </w:t>
    </w:r>
    <w:r w:rsidRPr="0097480E">
      <w:rPr>
        <w:rFonts w:ascii="Arial" w:hAnsi="Arial" w:cs="Arial"/>
        <w:sz w:val="16"/>
        <w:szCs w:val="16"/>
      </w:rPr>
      <w:t>• Tel 866-921-1026 • Fax 845-712-5168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BAA61" w14:textId="77777777" w:rsidR="002278DB" w:rsidRDefault="002278DB" w:rsidP="00260DE9">
      <w:pPr>
        <w:spacing w:after="0" w:line="240" w:lineRule="auto"/>
      </w:pPr>
      <w:r>
        <w:separator/>
      </w:r>
    </w:p>
  </w:footnote>
  <w:footnote w:type="continuationSeparator" w:id="0">
    <w:p w14:paraId="24C8E076" w14:textId="77777777" w:rsidR="002278DB" w:rsidRDefault="002278DB" w:rsidP="00260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3DC73" w14:textId="77777777" w:rsidR="00260DE9" w:rsidRDefault="00635FF3">
    <w:pPr>
      <w:pStyle w:val="Header"/>
    </w:pPr>
    <w:r>
      <w:rPr>
        <w:noProof/>
      </w:rPr>
      <w:drawing>
        <wp:anchor distT="0" distB="0" distL="114300" distR="114300" simplePos="0" relativeHeight="251658240" behindDoc="1" locked="0" layoutInCell="1" allowOverlap="1" wp14:anchorId="67BDB21C" wp14:editId="7366BB1A">
          <wp:simplePos x="0" y="0"/>
          <wp:positionH relativeFrom="column">
            <wp:posOffset>-638175</wp:posOffset>
          </wp:positionH>
          <wp:positionV relativeFrom="paragraph">
            <wp:posOffset>-771525</wp:posOffset>
          </wp:positionV>
          <wp:extent cx="5943600" cy="1192530"/>
          <wp:effectExtent l="0" t="0" r="0" b="0"/>
          <wp:wrapTight wrapText="bothSides">
            <wp:wrapPolygon edited="0">
              <wp:start x="1454" y="0"/>
              <wp:lineTo x="1038" y="690"/>
              <wp:lineTo x="69" y="4486"/>
              <wp:lineTo x="0" y="7936"/>
              <wp:lineTo x="0" y="13802"/>
              <wp:lineTo x="138" y="17252"/>
              <wp:lineTo x="1177" y="21393"/>
              <wp:lineTo x="1385" y="21393"/>
              <wp:lineTo x="2838" y="21393"/>
              <wp:lineTo x="8931" y="16907"/>
              <wp:lineTo x="21531" y="15872"/>
              <wp:lineTo x="21531" y="6901"/>
              <wp:lineTo x="19938" y="4831"/>
              <wp:lineTo x="2838" y="0"/>
              <wp:lineTo x="145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GOProfilerHeaderSmall.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925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DE9"/>
    <w:rsid w:val="00002B64"/>
    <w:rsid w:val="00004575"/>
    <w:rsid w:val="000052A8"/>
    <w:rsid w:val="00006EB7"/>
    <w:rsid w:val="00027DCD"/>
    <w:rsid w:val="00030B4A"/>
    <w:rsid w:val="0003466E"/>
    <w:rsid w:val="00052024"/>
    <w:rsid w:val="0005633E"/>
    <w:rsid w:val="000577D6"/>
    <w:rsid w:val="0007198D"/>
    <w:rsid w:val="000830D7"/>
    <w:rsid w:val="00093ACC"/>
    <w:rsid w:val="000C0BD3"/>
    <w:rsid w:val="000C4B96"/>
    <w:rsid w:val="000C7821"/>
    <w:rsid w:val="000D19C7"/>
    <w:rsid w:val="000D2F3A"/>
    <w:rsid w:val="000D7611"/>
    <w:rsid w:val="000D7C07"/>
    <w:rsid w:val="00112A85"/>
    <w:rsid w:val="0012010F"/>
    <w:rsid w:val="00142DEE"/>
    <w:rsid w:val="00150417"/>
    <w:rsid w:val="001531C2"/>
    <w:rsid w:val="00154344"/>
    <w:rsid w:val="00160474"/>
    <w:rsid w:val="00161442"/>
    <w:rsid w:val="0016492E"/>
    <w:rsid w:val="00177D0F"/>
    <w:rsid w:val="001A05E7"/>
    <w:rsid w:val="001B64B0"/>
    <w:rsid w:val="001C2831"/>
    <w:rsid w:val="001D53A3"/>
    <w:rsid w:val="001F5DFA"/>
    <w:rsid w:val="002278DB"/>
    <w:rsid w:val="00260DE9"/>
    <w:rsid w:val="00294474"/>
    <w:rsid w:val="002945EA"/>
    <w:rsid w:val="002A4A73"/>
    <w:rsid w:val="002A6286"/>
    <w:rsid w:val="002B0BCF"/>
    <w:rsid w:val="002B3E1A"/>
    <w:rsid w:val="002B428E"/>
    <w:rsid w:val="002E1F38"/>
    <w:rsid w:val="002F44B2"/>
    <w:rsid w:val="00304042"/>
    <w:rsid w:val="0030496A"/>
    <w:rsid w:val="00306D88"/>
    <w:rsid w:val="00327C87"/>
    <w:rsid w:val="003630CD"/>
    <w:rsid w:val="0038459A"/>
    <w:rsid w:val="003B417B"/>
    <w:rsid w:val="003B631A"/>
    <w:rsid w:val="003C15ED"/>
    <w:rsid w:val="003D6958"/>
    <w:rsid w:val="003E2E9B"/>
    <w:rsid w:val="003F0FE1"/>
    <w:rsid w:val="00400606"/>
    <w:rsid w:val="00412473"/>
    <w:rsid w:val="004143A4"/>
    <w:rsid w:val="00422A36"/>
    <w:rsid w:val="004242E3"/>
    <w:rsid w:val="00424E79"/>
    <w:rsid w:val="00432903"/>
    <w:rsid w:val="0045212B"/>
    <w:rsid w:val="0045797F"/>
    <w:rsid w:val="0046193A"/>
    <w:rsid w:val="00475615"/>
    <w:rsid w:val="0048482F"/>
    <w:rsid w:val="00493053"/>
    <w:rsid w:val="00493426"/>
    <w:rsid w:val="00494CA5"/>
    <w:rsid w:val="004D4671"/>
    <w:rsid w:val="004E421A"/>
    <w:rsid w:val="004F56A9"/>
    <w:rsid w:val="004F7F58"/>
    <w:rsid w:val="0050254D"/>
    <w:rsid w:val="00520014"/>
    <w:rsid w:val="0056258A"/>
    <w:rsid w:val="0057012D"/>
    <w:rsid w:val="00571D6A"/>
    <w:rsid w:val="00592462"/>
    <w:rsid w:val="00596832"/>
    <w:rsid w:val="005A0739"/>
    <w:rsid w:val="005A207B"/>
    <w:rsid w:val="005C3BA5"/>
    <w:rsid w:val="005F19E9"/>
    <w:rsid w:val="00600CFD"/>
    <w:rsid w:val="00601F2D"/>
    <w:rsid w:val="00635FF3"/>
    <w:rsid w:val="00637CB9"/>
    <w:rsid w:val="0064614F"/>
    <w:rsid w:val="00652D76"/>
    <w:rsid w:val="006557DC"/>
    <w:rsid w:val="00657B52"/>
    <w:rsid w:val="0067102D"/>
    <w:rsid w:val="0068770F"/>
    <w:rsid w:val="0069436D"/>
    <w:rsid w:val="006B3A10"/>
    <w:rsid w:val="006D01D1"/>
    <w:rsid w:val="006D024E"/>
    <w:rsid w:val="006D1053"/>
    <w:rsid w:val="006E538A"/>
    <w:rsid w:val="006E6275"/>
    <w:rsid w:val="00707104"/>
    <w:rsid w:val="007139CE"/>
    <w:rsid w:val="007257B5"/>
    <w:rsid w:val="007375D8"/>
    <w:rsid w:val="007651A4"/>
    <w:rsid w:val="007862CF"/>
    <w:rsid w:val="00793BD0"/>
    <w:rsid w:val="007B6E29"/>
    <w:rsid w:val="007D3185"/>
    <w:rsid w:val="00814190"/>
    <w:rsid w:val="0082749D"/>
    <w:rsid w:val="00865869"/>
    <w:rsid w:val="00875007"/>
    <w:rsid w:val="0088350D"/>
    <w:rsid w:val="0088505B"/>
    <w:rsid w:val="00892732"/>
    <w:rsid w:val="0089324F"/>
    <w:rsid w:val="008B6C48"/>
    <w:rsid w:val="009229BB"/>
    <w:rsid w:val="00923C8D"/>
    <w:rsid w:val="00931A86"/>
    <w:rsid w:val="009419F0"/>
    <w:rsid w:val="0097289D"/>
    <w:rsid w:val="0097480E"/>
    <w:rsid w:val="00981872"/>
    <w:rsid w:val="00984421"/>
    <w:rsid w:val="00984DF0"/>
    <w:rsid w:val="0099163D"/>
    <w:rsid w:val="0099377F"/>
    <w:rsid w:val="00994C05"/>
    <w:rsid w:val="00997401"/>
    <w:rsid w:val="009A3728"/>
    <w:rsid w:val="009A3EBE"/>
    <w:rsid w:val="009A4526"/>
    <w:rsid w:val="009A6479"/>
    <w:rsid w:val="009C6A17"/>
    <w:rsid w:val="009F1447"/>
    <w:rsid w:val="009F3C8C"/>
    <w:rsid w:val="00A00453"/>
    <w:rsid w:val="00A031C1"/>
    <w:rsid w:val="00A12BB9"/>
    <w:rsid w:val="00A30B01"/>
    <w:rsid w:val="00A55AAE"/>
    <w:rsid w:val="00A55AB4"/>
    <w:rsid w:val="00A61F9B"/>
    <w:rsid w:val="00A71026"/>
    <w:rsid w:val="00A820F9"/>
    <w:rsid w:val="00AB01D8"/>
    <w:rsid w:val="00AB0C6B"/>
    <w:rsid w:val="00AD28E5"/>
    <w:rsid w:val="00AE087E"/>
    <w:rsid w:val="00AE1F72"/>
    <w:rsid w:val="00AE6B2A"/>
    <w:rsid w:val="00AE71B7"/>
    <w:rsid w:val="00B12A59"/>
    <w:rsid w:val="00B22E6C"/>
    <w:rsid w:val="00B33B46"/>
    <w:rsid w:val="00B36421"/>
    <w:rsid w:val="00B4203D"/>
    <w:rsid w:val="00B51B0C"/>
    <w:rsid w:val="00B6421F"/>
    <w:rsid w:val="00BB7CC3"/>
    <w:rsid w:val="00BC0DB8"/>
    <w:rsid w:val="00BC2144"/>
    <w:rsid w:val="00BD3178"/>
    <w:rsid w:val="00BE4BEC"/>
    <w:rsid w:val="00BE6652"/>
    <w:rsid w:val="00C11931"/>
    <w:rsid w:val="00C147E3"/>
    <w:rsid w:val="00C20878"/>
    <w:rsid w:val="00C21D13"/>
    <w:rsid w:val="00C412D4"/>
    <w:rsid w:val="00C50E94"/>
    <w:rsid w:val="00C54007"/>
    <w:rsid w:val="00C65128"/>
    <w:rsid w:val="00C77B54"/>
    <w:rsid w:val="00C77F32"/>
    <w:rsid w:val="00C8473A"/>
    <w:rsid w:val="00CE3B31"/>
    <w:rsid w:val="00CE7889"/>
    <w:rsid w:val="00CF0AD6"/>
    <w:rsid w:val="00D16971"/>
    <w:rsid w:val="00D17DB0"/>
    <w:rsid w:val="00D22E81"/>
    <w:rsid w:val="00D26223"/>
    <w:rsid w:val="00D37649"/>
    <w:rsid w:val="00D8342E"/>
    <w:rsid w:val="00D85C19"/>
    <w:rsid w:val="00D93E11"/>
    <w:rsid w:val="00DA1474"/>
    <w:rsid w:val="00DA62F9"/>
    <w:rsid w:val="00DC4F7C"/>
    <w:rsid w:val="00DD449C"/>
    <w:rsid w:val="00DD5A41"/>
    <w:rsid w:val="00DE0FDD"/>
    <w:rsid w:val="00E13B28"/>
    <w:rsid w:val="00E20F93"/>
    <w:rsid w:val="00E21202"/>
    <w:rsid w:val="00E31C88"/>
    <w:rsid w:val="00E37D6F"/>
    <w:rsid w:val="00E45F8D"/>
    <w:rsid w:val="00E80C14"/>
    <w:rsid w:val="00ED42A4"/>
    <w:rsid w:val="00EF6801"/>
    <w:rsid w:val="00EF6AB9"/>
    <w:rsid w:val="00F05337"/>
    <w:rsid w:val="00F056FA"/>
    <w:rsid w:val="00F2704A"/>
    <w:rsid w:val="00F44628"/>
    <w:rsid w:val="00F66EA8"/>
    <w:rsid w:val="00F70E29"/>
    <w:rsid w:val="00F7565E"/>
    <w:rsid w:val="00F94CE8"/>
    <w:rsid w:val="00FA495C"/>
    <w:rsid w:val="00FB418C"/>
    <w:rsid w:val="00FC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0252B"/>
  <w15:docId w15:val="{00033884-83A0-4105-8CD5-C8A13830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05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DE9"/>
  </w:style>
  <w:style w:type="paragraph" w:styleId="Footer">
    <w:name w:val="footer"/>
    <w:basedOn w:val="Normal"/>
    <w:link w:val="FooterChar"/>
    <w:uiPriority w:val="99"/>
    <w:unhideWhenUsed/>
    <w:rsid w:val="0026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DE9"/>
  </w:style>
  <w:style w:type="paragraph" w:styleId="NoSpacing">
    <w:name w:val="No Spacing"/>
    <w:uiPriority w:val="1"/>
    <w:qFormat/>
    <w:rsid w:val="00260DE9"/>
    <w:pPr>
      <w:spacing w:after="0" w:line="240" w:lineRule="auto"/>
    </w:pPr>
  </w:style>
  <w:style w:type="paragraph" w:styleId="BalloonText">
    <w:name w:val="Balloon Text"/>
    <w:basedOn w:val="Normal"/>
    <w:link w:val="BalloonTextChar"/>
    <w:uiPriority w:val="99"/>
    <w:semiHidden/>
    <w:unhideWhenUsed/>
    <w:rsid w:val="003E2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E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ABECD-D5BF-8A47-B41B-5E66C68C5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Whelan</dc:creator>
  <cp:lastModifiedBy>Bob Sillick</cp:lastModifiedBy>
  <cp:revision>2</cp:revision>
  <dcterms:created xsi:type="dcterms:W3CDTF">2022-04-01T16:58:00Z</dcterms:created>
  <dcterms:modified xsi:type="dcterms:W3CDTF">2022-04-01T16:58:00Z</dcterms:modified>
</cp:coreProperties>
</file>