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6F85CDCE" w:rsidR="00F94CE8" w:rsidRPr="005F19E9" w:rsidRDefault="00334F8B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Exterminating and Pest Control Services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1A7D71" w:rsidRDefault="00F94CE8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49AE115" w14:textId="77777777" w:rsidR="001A7D71" w:rsidRPr="001A7D71" w:rsidRDefault="001A7D71" w:rsidP="001A7D71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1A7D71">
        <w:rPr>
          <w:rFonts w:ascii="Verdana" w:hAnsi="Verdana"/>
          <w:b/>
          <w:bCs/>
          <w:color w:val="0070C0"/>
          <w:sz w:val="20"/>
          <w:szCs w:val="20"/>
        </w:rPr>
        <w:t>Business Is Good Because Pests Are Bad</w:t>
      </w:r>
    </w:p>
    <w:p w14:paraId="04B9CCE2" w14:textId="77777777" w:rsidR="001A7D71" w:rsidRP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E1A1B47" w14:textId="739EA336" w:rsidR="001A7D71" w:rsidRDefault="006B0BD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Pests don’t care about the pandemic, which is why </w:t>
      </w:r>
      <w:r w:rsidRPr="00DE294C">
        <w:rPr>
          <w:rFonts w:ascii="Verdana" w:hAnsi="Verdana"/>
          <w:i/>
          <w:iCs/>
          <w:sz w:val="20"/>
          <w:szCs w:val="20"/>
        </w:rPr>
        <w:t>Pest Management Professional</w:t>
      </w:r>
      <w:r w:rsidR="00055D6C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2022 State of the Industry survey</w:t>
      </w:r>
      <w:r w:rsidR="00E82B33">
        <w:rPr>
          <w:rFonts w:ascii="Verdana" w:hAnsi="Verdana"/>
          <w:sz w:val="20"/>
          <w:szCs w:val="20"/>
        </w:rPr>
        <w:t xml:space="preserve"> (conducted during November 2021)</w:t>
      </w:r>
      <w:r>
        <w:rPr>
          <w:rFonts w:ascii="Verdana" w:hAnsi="Verdana"/>
          <w:sz w:val="20"/>
          <w:szCs w:val="20"/>
        </w:rPr>
        <w:t xml:space="preserve"> reports 67% of contractors expect their 2022 revenues to increase at least 10% and 15% more than 26%.</w:t>
      </w:r>
    </w:p>
    <w:p w14:paraId="2C9EF6C8" w14:textId="696E3284" w:rsidR="006B0BD1" w:rsidRDefault="006B0BD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94E651" w14:textId="0853EB2B" w:rsidR="006B0BD1" w:rsidRDefault="006B0BD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 more consumers working from home or working a hybrid schedule</w:t>
      </w:r>
      <w:r w:rsidR="00E82B33">
        <w:rPr>
          <w:rFonts w:ascii="Verdana" w:hAnsi="Verdana"/>
          <w:sz w:val="20"/>
          <w:szCs w:val="20"/>
        </w:rPr>
        <w:t>, they are more likely to notice pests. Many business locations have been closed or operating partially, which requires pest-control inspections and services before re-opening and employees returning.</w:t>
      </w:r>
    </w:p>
    <w:p w14:paraId="1671872C" w14:textId="1C5B5F74" w:rsidR="00E82B33" w:rsidRDefault="00E82B33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69AF04" w14:textId="682073C4" w:rsidR="00E82B33" w:rsidRDefault="00E82B33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February 2022 William Blair/PCO M&amp;A Specialists Pest Index increased 19.7% YOY</w:t>
      </w:r>
      <w:r w:rsidR="009A65F1">
        <w:rPr>
          <w:rFonts w:ascii="Verdana" w:hAnsi="Verdana"/>
          <w:sz w:val="20"/>
          <w:szCs w:val="20"/>
        </w:rPr>
        <w:t xml:space="preserve">, with the various index segments also increasing YOY: the residential index by 23%, the commercial index by 19%, the termite index by 18% and the bed bug index by 17%. </w:t>
      </w:r>
    </w:p>
    <w:p w14:paraId="09203D44" w14:textId="77777777" w:rsid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A9AF32E" w14:textId="77777777" w:rsidR="009A65F1" w:rsidRDefault="009A65F1" w:rsidP="009A65F1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Pest Control Companies’ Projected Top 2022 </w:t>
      </w:r>
    </w:p>
    <w:p w14:paraId="5F240D4D" w14:textId="6D98609A" w:rsidR="009A65F1" w:rsidRPr="000C747D" w:rsidRDefault="009A65F1" w:rsidP="009A65F1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Challenges and Opportunities</w:t>
      </w:r>
      <w:r w:rsidRPr="000C747D">
        <w:rPr>
          <w:rFonts w:ascii="Verdana" w:hAnsi="Verdana"/>
          <w:b/>
          <w:sz w:val="20"/>
          <w:szCs w:val="20"/>
        </w:rPr>
        <w:t xml:space="preserve">, </w:t>
      </w:r>
      <w:r w:rsidR="006A3858">
        <w:rPr>
          <w:rFonts w:ascii="Verdana" w:hAnsi="Verdana"/>
          <w:b/>
          <w:sz w:val="20"/>
          <w:szCs w:val="20"/>
        </w:rPr>
        <w:t>July/August</w:t>
      </w:r>
      <w:r>
        <w:rPr>
          <w:rFonts w:ascii="Verdana" w:hAnsi="Verdana"/>
          <w:b/>
          <w:sz w:val="20"/>
          <w:szCs w:val="20"/>
        </w:rPr>
        <w:t xml:space="preserve"> 2021</w:t>
      </w:r>
    </w:p>
    <w:tbl>
      <w:tblPr>
        <w:tblW w:w="749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750"/>
      </w:tblGrid>
      <w:tr w:rsidR="009A65F1" w:rsidRPr="000C747D" w14:paraId="28FCA4EB" w14:textId="77777777" w:rsidTr="007815CB">
        <w:trPr>
          <w:trHeight w:val="285"/>
          <w:jc w:val="center"/>
        </w:trPr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51F1ADE" w14:textId="54FE3658" w:rsidR="009A65F1" w:rsidRPr="000C747D" w:rsidRDefault="009A65F1" w:rsidP="007815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Top Challenges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2F90FB08" w14:textId="6EED0F87" w:rsidR="009A65F1" w:rsidRPr="000C747D" w:rsidRDefault="009A65F1" w:rsidP="007815C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Top Opportunities</w:t>
            </w:r>
          </w:p>
        </w:tc>
      </w:tr>
      <w:tr w:rsidR="009A65F1" w:rsidRPr="000C747D" w14:paraId="1A4E8BEC" w14:textId="77777777" w:rsidTr="006A385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44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F4F95FF" w14:textId="6BF42F44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Hiring and training</w:t>
            </w:r>
          </w:p>
        </w:tc>
        <w:tc>
          <w:tcPr>
            <w:tcW w:w="375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CA2A8A" w14:textId="0345AA43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Increas</w:t>
            </w:r>
            <w:r w:rsidR="006A3858">
              <w:rPr>
                <w:rFonts w:ascii="Verdana" w:eastAsia="Times New Roman" w:hAnsi="Verdana"/>
                <w:sz w:val="20"/>
                <w:szCs w:val="20"/>
              </w:rPr>
              <w:t>ing referrals</w:t>
            </w:r>
          </w:p>
        </w:tc>
      </w:tr>
      <w:tr w:rsidR="009A65F1" w:rsidRPr="000C747D" w14:paraId="167D1E46" w14:textId="77777777" w:rsidTr="006A385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25A91EF" w14:textId="25F6B74C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General economy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0528C1" w14:textId="16C8E612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</w:t>
            </w:r>
            <w:r w:rsidR="006A3858">
              <w:rPr>
                <w:rFonts w:ascii="Verdana" w:eastAsia="Times New Roman" w:hAnsi="Verdana"/>
                <w:sz w:val="20"/>
                <w:szCs w:val="20"/>
              </w:rPr>
              <w:t>: Increasing repeat business</w:t>
            </w:r>
          </w:p>
        </w:tc>
      </w:tr>
      <w:tr w:rsidR="009A65F1" w:rsidRPr="000C747D" w14:paraId="43882DFA" w14:textId="77777777" w:rsidTr="006A385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8FF21D8" w14:textId="434D4F1C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Lowball competitors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473512" w14:textId="598C1325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#3: </w:t>
            </w:r>
            <w:r w:rsidR="006A3858">
              <w:rPr>
                <w:rFonts w:ascii="Verdana" w:eastAsia="Times New Roman" w:hAnsi="Verdana"/>
                <w:sz w:val="20"/>
                <w:szCs w:val="20"/>
              </w:rPr>
              <w:t>Improving customer retention</w:t>
            </w:r>
          </w:p>
        </w:tc>
      </w:tr>
      <w:tr w:rsidR="009A65F1" w:rsidRPr="000C747D" w14:paraId="6439B8BC" w14:textId="77777777" w:rsidTr="006A385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A58B233" w14:textId="0C8AAD4B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Fuel costs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25AF1A" w14:textId="279AEA46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#4: </w:t>
            </w:r>
            <w:r w:rsidR="006A3858">
              <w:rPr>
                <w:rFonts w:ascii="Verdana" w:eastAsia="Times New Roman" w:hAnsi="Verdana"/>
                <w:sz w:val="20"/>
                <w:szCs w:val="20"/>
              </w:rPr>
              <w:t>Upselling services</w:t>
            </w:r>
          </w:p>
        </w:tc>
      </w:tr>
      <w:tr w:rsidR="009A65F1" w:rsidRPr="000C747D" w14:paraId="12099278" w14:textId="77777777" w:rsidTr="006A385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74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1570EDCD" w14:textId="012AFBDE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Pandemic restrictions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C4080" w14:textId="10755178" w:rsidR="009A65F1" w:rsidRPr="000C747D" w:rsidRDefault="009A65F1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#5: </w:t>
            </w:r>
            <w:r w:rsidR="006A3858">
              <w:rPr>
                <w:rFonts w:ascii="Verdana" w:eastAsia="Times New Roman" w:hAnsi="Verdana"/>
                <w:sz w:val="20"/>
                <w:szCs w:val="20"/>
              </w:rPr>
              <w:t>Increasing prices</w:t>
            </w:r>
          </w:p>
        </w:tc>
      </w:tr>
    </w:tbl>
    <w:p w14:paraId="1444CEBA" w14:textId="7C41D7CA" w:rsidR="009A65F1" w:rsidRPr="000C747D" w:rsidRDefault="006A3858" w:rsidP="006A3858">
      <w:pPr>
        <w:tabs>
          <w:tab w:val="left" w:pos="99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ab/>
      </w:r>
      <w:r w:rsidR="009A65F1" w:rsidRPr="00CE33C4">
        <w:rPr>
          <w:rFonts w:ascii="Verdana" w:hAnsi="Verdana"/>
          <w:i/>
          <w:sz w:val="16"/>
          <w:szCs w:val="16"/>
        </w:rPr>
        <w:t>P</w:t>
      </w:r>
      <w:r w:rsidR="009A65F1">
        <w:rPr>
          <w:rFonts w:ascii="Verdana" w:hAnsi="Verdana"/>
          <w:i/>
          <w:sz w:val="16"/>
          <w:szCs w:val="16"/>
        </w:rPr>
        <w:t>est Management Professional</w:t>
      </w:r>
      <w:r w:rsidR="009A65F1">
        <w:rPr>
          <w:rFonts w:ascii="Verdana" w:hAnsi="Verdana"/>
          <w:sz w:val="16"/>
          <w:szCs w:val="16"/>
        </w:rPr>
        <w:t>, November 202</w:t>
      </w:r>
      <w:r>
        <w:rPr>
          <w:rFonts w:ascii="Verdana" w:hAnsi="Verdana"/>
          <w:sz w:val="16"/>
          <w:szCs w:val="16"/>
        </w:rPr>
        <w:t>1</w:t>
      </w:r>
    </w:p>
    <w:p w14:paraId="51959AE4" w14:textId="77777777" w:rsid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6F59CF1" w14:textId="73640BB8" w:rsidR="001A7D71" w:rsidRPr="0048620A" w:rsidRDefault="001A7D71" w:rsidP="0048620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8620A">
        <w:rPr>
          <w:rFonts w:ascii="Verdana" w:hAnsi="Verdana"/>
          <w:b/>
          <w:bCs/>
          <w:color w:val="0070C0"/>
          <w:sz w:val="20"/>
          <w:szCs w:val="20"/>
        </w:rPr>
        <w:t>Protecting Homes and Homelife from Termites</w:t>
      </w:r>
    </w:p>
    <w:p w14:paraId="7792B525" w14:textId="6568F1CB" w:rsid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610D3B7" w14:textId="64EF607E" w:rsidR="00255C94" w:rsidRDefault="00255C94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Although estimates are not exact, the most-reliable data reveals approximately 600,000 homes in the US are damaged by termites annually and </w:t>
      </w:r>
      <w:r w:rsidR="00055D6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total </w:t>
      </w:r>
      <w:r w:rsidR="00055D6C">
        <w:rPr>
          <w:rFonts w:ascii="Verdana" w:hAnsi="Verdana"/>
          <w:sz w:val="20"/>
          <w:szCs w:val="20"/>
        </w:rPr>
        <w:t>cost</w:t>
      </w:r>
      <w:r>
        <w:rPr>
          <w:rFonts w:ascii="Verdana" w:hAnsi="Verdana"/>
          <w:sz w:val="20"/>
          <w:szCs w:val="20"/>
        </w:rPr>
        <w:t>, including crops</w:t>
      </w:r>
      <w:r w:rsidR="00055D6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is approximately $30 billion.</w:t>
      </w:r>
    </w:p>
    <w:p w14:paraId="068CD703" w14:textId="77777777" w:rsidR="00255C94" w:rsidRPr="001A7D71" w:rsidRDefault="00255C94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BFE53F6" w14:textId="54420889" w:rsidR="007A14B5" w:rsidRPr="007A14B5" w:rsidRDefault="007A14B5" w:rsidP="007A14B5">
      <w:pPr>
        <w:spacing w:after="0" w:line="240" w:lineRule="auto"/>
        <w:contextualSpacing/>
        <w:mirrorIndents/>
        <w:rPr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0398F" w:rsidRPr="007A14B5">
        <w:rPr>
          <w:rFonts w:ascii="Verdana" w:hAnsi="Verdana"/>
          <w:sz w:val="20"/>
          <w:szCs w:val="20"/>
        </w:rPr>
        <w:t xml:space="preserve">ermites are always ready </w:t>
      </w:r>
      <w:r w:rsidRPr="007A14B5">
        <w:rPr>
          <w:rFonts w:ascii="Verdana" w:hAnsi="Verdana"/>
          <w:sz w:val="20"/>
          <w:szCs w:val="20"/>
        </w:rPr>
        <w:t>to make their home</w:t>
      </w:r>
      <w:r>
        <w:rPr>
          <w:rFonts w:ascii="Verdana" w:hAnsi="Verdana"/>
          <w:sz w:val="20"/>
          <w:szCs w:val="20"/>
        </w:rPr>
        <w:t xml:space="preserve"> in any property</w:t>
      </w:r>
      <w:r w:rsidRPr="007A14B5">
        <w:rPr>
          <w:rFonts w:ascii="Verdana" w:hAnsi="Verdana"/>
          <w:sz w:val="20"/>
          <w:szCs w:val="20"/>
        </w:rPr>
        <w:t>. The October/November 2021 survey for</w:t>
      </w:r>
      <w:r>
        <w:rPr>
          <w:rFonts w:ascii="Verdana" w:hAnsi="Verdana"/>
          <w:sz w:val="20"/>
          <w:szCs w:val="20"/>
        </w:rPr>
        <w:t xml:space="preserve"> the</w:t>
      </w:r>
      <w:r w:rsidRPr="007A14B5">
        <w:rPr>
          <w:rFonts w:ascii="Verdana" w:hAnsi="Verdana"/>
          <w:sz w:val="20"/>
          <w:szCs w:val="20"/>
        </w:rPr>
        <w:t xml:space="preserve"> </w:t>
      </w:r>
      <w:r w:rsidRPr="007A14B5">
        <w:rPr>
          <w:i/>
          <w:sz w:val="20"/>
          <w:szCs w:val="20"/>
        </w:rPr>
        <w:t>PCT (Pest Control Technology)</w:t>
      </w:r>
      <w:r>
        <w:rPr>
          <w:iCs/>
          <w:sz w:val="20"/>
          <w:szCs w:val="20"/>
        </w:rPr>
        <w:t xml:space="preserve"> State of the Termite </w:t>
      </w:r>
      <w:r w:rsidR="00357A00">
        <w:rPr>
          <w:iCs/>
          <w:sz w:val="20"/>
          <w:szCs w:val="20"/>
        </w:rPr>
        <w:t xml:space="preserve">Market </w:t>
      </w:r>
      <w:r>
        <w:rPr>
          <w:iCs/>
          <w:sz w:val="20"/>
          <w:szCs w:val="20"/>
        </w:rPr>
        <w:t>Report found 64% of pest</w:t>
      </w:r>
      <w:r w:rsidR="007815C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control companies expected their 2022 revenues to increase.</w:t>
      </w:r>
    </w:p>
    <w:p w14:paraId="76AB1C4B" w14:textId="176B706D" w:rsidR="0048620A" w:rsidRDefault="0048620A" w:rsidP="007A14B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FC4CF2E" w14:textId="404246C0" w:rsidR="007A14B5" w:rsidRDefault="007A14B5" w:rsidP="007A14B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34% said their termite control business was a more significant revenue source than five years ago (12% more significant and 22% somewhat more significant) and calls for termite control services increased </w:t>
      </w:r>
      <w:r w:rsidR="00055D6C">
        <w:rPr>
          <w:rFonts w:ascii="Verdana" w:hAnsi="Verdana"/>
          <w:sz w:val="20"/>
          <w:szCs w:val="20"/>
        </w:rPr>
        <w:t xml:space="preserve">by </w:t>
      </w:r>
      <w:r w:rsidR="008378FF">
        <w:rPr>
          <w:rFonts w:ascii="Verdana" w:hAnsi="Verdana"/>
          <w:sz w:val="20"/>
          <w:szCs w:val="20"/>
        </w:rPr>
        <w:t>49% from 2020.</w:t>
      </w:r>
    </w:p>
    <w:p w14:paraId="42B5FFE3" w14:textId="5B267BFC" w:rsidR="002A508D" w:rsidRDefault="002A508D" w:rsidP="007A14B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0B1395" w14:textId="77777777" w:rsidR="0045235E" w:rsidRDefault="002A508D" w:rsidP="0045235E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Types of Termite Control Services Offered </w:t>
      </w:r>
      <w:r w:rsidR="0045235E">
        <w:rPr>
          <w:rFonts w:ascii="Verdana" w:hAnsi="Verdana"/>
          <w:b/>
          <w:sz w:val="20"/>
          <w:szCs w:val="20"/>
        </w:rPr>
        <w:t>by Survey Respondents of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448D7A0F" w14:textId="59FAF7AB" w:rsidR="002A508D" w:rsidRPr="000C747D" w:rsidRDefault="002A508D" w:rsidP="0045235E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State of the Termite </w:t>
      </w:r>
      <w:r w:rsidR="0045235E">
        <w:rPr>
          <w:rFonts w:ascii="Verdana" w:hAnsi="Verdana"/>
          <w:b/>
          <w:sz w:val="20"/>
          <w:szCs w:val="20"/>
        </w:rPr>
        <w:t xml:space="preserve">Market </w:t>
      </w:r>
      <w:r>
        <w:rPr>
          <w:rFonts w:ascii="Verdana" w:hAnsi="Verdana"/>
          <w:b/>
          <w:sz w:val="20"/>
          <w:szCs w:val="20"/>
        </w:rPr>
        <w:t>Report</w:t>
      </w:r>
      <w:r w:rsidRPr="000C747D">
        <w:rPr>
          <w:rFonts w:ascii="Verdana" w:hAnsi="Verdana"/>
          <w:b/>
          <w:sz w:val="20"/>
          <w:szCs w:val="20"/>
        </w:rPr>
        <w:t xml:space="preserve">, </w:t>
      </w:r>
      <w:r w:rsidR="003B3F0A">
        <w:rPr>
          <w:rFonts w:ascii="Verdana" w:hAnsi="Verdana"/>
          <w:b/>
          <w:sz w:val="20"/>
          <w:szCs w:val="20"/>
        </w:rPr>
        <w:t xml:space="preserve">October/November </w:t>
      </w:r>
      <w:r>
        <w:rPr>
          <w:rFonts w:ascii="Verdana" w:hAnsi="Verdana"/>
          <w:b/>
          <w:sz w:val="20"/>
          <w:szCs w:val="20"/>
        </w:rPr>
        <w:t>202</w:t>
      </w:r>
      <w:r w:rsidR="003B3F0A">
        <w:rPr>
          <w:rFonts w:ascii="Verdana" w:hAnsi="Verdana"/>
          <w:b/>
          <w:sz w:val="20"/>
          <w:szCs w:val="20"/>
        </w:rPr>
        <w:t>1</w:t>
      </w:r>
    </w:p>
    <w:tbl>
      <w:tblPr>
        <w:tblW w:w="1143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1267"/>
        <w:gridCol w:w="4450"/>
        <w:gridCol w:w="1267"/>
      </w:tblGrid>
      <w:tr w:rsidR="002A508D" w:rsidRPr="000C747D" w14:paraId="713E9A57" w14:textId="77777777" w:rsidTr="00C53303">
        <w:trPr>
          <w:trHeight w:val="285"/>
          <w:jc w:val="center"/>
        </w:trPr>
        <w:tc>
          <w:tcPr>
            <w:tcW w:w="445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29065D3" w14:textId="2524D30C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Service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89EF0FE" w14:textId="77777777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445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49039F7" w14:textId="3523357A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Service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2C0C5C53" w14:textId="77777777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2A508D" w:rsidRPr="000C747D" w14:paraId="1A9AD8E2" w14:textId="77777777" w:rsidTr="00C5330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5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9B3F2AC" w14:textId="3F1FBA7F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#1: 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>Termite renewals (re-inspection)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577155B9" w14:textId="168279E4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88%</w:t>
            </w:r>
          </w:p>
        </w:tc>
        <w:tc>
          <w:tcPr>
            <w:tcW w:w="445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F27E9D" w14:textId="752D997F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>Inspection or “monitoring only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EF00FCC" w14:textId="14DAC6EC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</w:tr>
      <w:tr w:rsidR="002A508D" w:rsidRPr="000C747D" w14:paraId="069EC1D3" w14:textId="77777777" w:rsidTr="00C5330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CC3135" w14:textId="031EEBEE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#2: 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>Post-construction termite treatments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54889159" w14:textId="6E95BFF3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87%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63CEE08" w14:textId="4848A6B2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#6: 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 xml:space="preserve">Termite exclusion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A84758F" w14:textId="02DFC738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</w:tr>
      <w:tr w:rsidR="002A508D" w:rsidRPr="000C747D" w14:paraId="0FF8C196" w14:textId="77777777" w:rsidTr="00C5330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37E6B16" w14:textId="5F44BE8E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#3: 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>Pre-construction termite treatments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73DEDDA4" w14:textId="21856F06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74%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7E9D4B0" w14:textId="5F66254A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#7: </w:t>
            </w:r>
            <w:r w:rsidR="003B3F0A">
              <w:rPr>
                <w:rFonts w:ascii="Verdana" w:eastAsia="Times New Roman" w:hAnsi="Verdana"/>
                <w:sz w:val="20"/>
                <w:szCs w:val="20"/>
              </w:rPr>
              <w:t>Fumigation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091445E" w14:textId="140B5432" w:rsidR="002A508D" w:rsidRPr="000C747D" w:rsidRDefault="003B3F0A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</w:tr>
      <w:tr w:rsidR="002A508D" w:rsidRPr="000C747D" w14:paraId="34FA7D03" w14:textId="77777777" w:rsidTr="00C5330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5275FA6" w14:textId="16C95715" w:rsidR="002A508D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</w:t>
            </w:r>
            <w:r w:rsidR="002A508D">
              <w:rPr>
                <w:rFonts w:ascii="Verdana" w:eastAsia="Times New Roman" w:hAnsi="Verdana"/>
                <w:sz w:val="20"/>
                <w:szCs w:val="20"/>
              </w:rPr>
              <w:t>Borate wood treatments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628D3A12" w14:textId="1B96A61E" w:rsidR="002A508D" w:rsidRPr="000C747D" w:rsidRDefault="002A508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62%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EF9AB6A" w14:textId="65A29F5A" w:rsidR="002A508D" w:rsidRPr="000C747D" w:rsidRDefault="00C53303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#8: </w:t>
            </w:r>
            <w:r w:rsidR="003B3F0A"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B31EA69" w14:textId="5713813F" w:rsidR="002A508D" w:rsidRPr="000C747D" w:rsidRDefault="003B3F0A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7%</w:t>
            </w:r>
          </w:p>
        </w:tc>
      </w:tr>
    </w:tbl>
    <w:p w14:paraId="089A9EC8" w14:textId="7796A831" w:rsidR="002A508D" w:rsidRPr="000C747D" w:rsidRDefault="00131DA0" w:rsidP="00C53303">
      <w:pPr>
        <w:spacing w:after="0" w:line="240" w:lineRule="auto"/>
        <w:ind w:hanging="9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PCT (Pest Control Technology)</w:t>
      </w:r>
      <w:r w:rsidR="002A508D">
        <w:rPr>
          <w:rFonts w:ascii="Verdana" w:hAnsi="Verdana"/>
          <w:sz w:val="16"/>
          <w:szCs w:val="16"/>
        </w:rPr>
        <w:t xml:space="preserve">, </w:t>
      </w:r>
      <w:r w:rsidR="003B3F0A">
        <w:rPr>
          <w:rFonts w:ascii="Verdana" w:hAnsi="Verdana"/>
          <w:sz w:val="16"/>
          <w:szCs w:val="16"/>
        </w:rPr>
        <w:t>February 202</w:t>
      </w:r>
      <w:r w:rsidR="0045235E">
        <w:rPr>
          <w:rFonts w:ascii="Verdana" w:hAnsi="Verdana"/>
          <w:sz w:val="16"/>
          <w:szCs w:val="16"/>
        </w:rPr>
        <w:t>2</w:t>
      </w:r>
    </w:p>
    <w:p w14:paraId="6E6F4830" w14:textId="3E314AE1" w:rsidR="002A508D" w:rsidRDefault="002A508D" w:rsidP="007A14B5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23C4659" w14:textId="28370885" w:rsidR="001A7D71" w:rsidRPr="00DF0401" w:rsidRDefault="001A7D71" w:rsidP="00DF0401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DF0401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Rodent Control </w:t>
      </w:r>
      <w:r w:rsidR="00DF0401">
        <w:rPr>
          <w:rFonts w:ascii="Verdana" w:hAnsi="Verdana"/>
          <w:b/>
          <w:bCs/>
          <w:color w:val="0070C0"/>
          <w:sz w:val="20"/>
          <w:szCs w:val="20"/>
        </w:rPr>
        <w:t>Is a Revenue Generator</w:t>
      </w:r>
    </w:p>
    <w:p w14:paraId="6D63B28D" w14:textId="77777777" w:rsidR="001A7D71" w:rsidRP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5CDFD6" w14:textId="443BFAC9" w:rsidR="00DF0401" w:rsidRPr="00DF0401" w:rsidRDefault="00DF0401" w:rsidP="001A7D71">
      <w:pPr>
        <w:spacing w:after="0" w:line="240" w:lineRule="auto"/>
        <w:contextualSpacing/>
        <w:mirrorIndents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Comparing 2014 and 2021 data </w:t>
      </w:r>
      <w:r w:rsidR="00BA2E24">
        <w:rPr>
          <w:rFonts w:ascii="Verdana" w:hAnsi="Verdana"/>
          <w:sz w:val="20"/>
          <w:szCs w:val="20"/>
        </w:rPr>
        <w:t>in the</w:t>
      </w:r>
      <w:r>
        <w:rPr>
          <w:rFonts w:ascii="Verdana" w:hAnsi="Verdana"/>
          <w:sz w:val="20"/>
          <w:szCs w:val="20"/>
        </w:rPr>
        <w:t xml:space="preserve"> </w:t>
      </w:r>
      <w:r w:rsidRPr="007A14B5">
        <w:rPr>
          <w:i/>
          <w:sz w:val="20"/>
          <w:szCs w:val="20"/>
        </w:rPr>
        <w:t>PCT (Pest Control Technology)</w:t>
      </w:r>
      <w:r>
        <w:rPr>
          <w:iCs/>
          <w:sz w:val="20"/>
          <w:szCs w:val="20"/>
        </w:rPr>
        <w:t xml:space="preserve"> </w:t>
      </w:r>
      <w:r w:rsidR="00BA2E24">
        <w:rPr>
          <w:iCs/>
          <w:sz w:val="20"/>
          <w:szCs w:val="20"/>
        </w:rPr>
        <w:t xml:space="preserve">2021 </w:t>
      </w:r>
      <w:r>
        <w:rPr>
          <w:iCs/>
          <w:sz w:val="20"/>
          <w:szCs w:val="20"/>
        </w:rPr>
        <w:t xml:space="preserve">State of the Rodent Market </w:t>
      </w:r>
      <w:r w:rsidR="00357A00">
        <w:rPr>
          <w:iCs/>
          <w:sz w:val="20"/>
          <w:szCs w:val="20"/>
        </w:rPr>
        <w:t xml:space="preserve">Report </w:t>
      </w:r>
      <w:r>
        <w:rPr>
          <w:iCs/>
          <w:sz w:val="20"/>
          <w:szCs w:val="20"/>
        </w:rPr>
        <w:t xml:space="preserve">reveals </w:t>
      </w:r>
      <w:r w:rsidR="008A0DCB">
        <w:rPr>
          <w:iCs/>
          <w:sz w:val="20"/>
          <w:szCs w:val="20"/>
        </w:rPr>
        <w:t xml:space="preserve">20.3% of the survey respondents (July 2021) said they were deriving revenues from rodent control services while 14.6% were </w:t>
      </w:r>
      <w:r w:rsidR="00983827">
        <w:rPr>
          <w:iCs/>
          <w:sz w:val="20"/>
          <w:szCs w:val="20"/>
        </w:rPr>
        <w:t>during</w:t>
      </w:r>
      <w:r w:rsidR="008A0DCB">
        <w:rPr>
          <w:iCs/>
          <w:sz w:val="20"/>
          <w:szCs w:val="20"/>
        </w:rPr>
        <w:t xml:space="preserve"> 2014. </w:t>
      </w:r>
    </w:p>
    <w:p w14:paraId="429A0EF4" w14:textId="2B3C7E3C" w:rsidR="00DF0401" w:rsidRDefault="00DF040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C3843C" w14:textId="4CB42A3A" w:rsidR="00DF0401" w:rsidRDefault="008A0DCB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the 2021 survey respondents, 67% said residential rodent control was generating the most revenues, with commercial non-food second at 16% and commercial: food at 14%. Almost half (48%) agreed the rodent population was more visible in their market areas.</w:t>
      </w:r>
    </w:p>
    <w:p w14:paraId="392B6FEC" w14:textId="5271730C" w:rsidR="00DF0401" w:rsidRDefault="00DF040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55763AE" w14:textId="2F775C75" w:rsidR="00DF0401" w:rsidRDefault="00D81928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indication of the rodent problem is </w:t>
      </w:r>
      <w:r w:rsidR="00055D6C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34% of 2021 survey respondents </w:t>
      </w:r>
      <w:r w:rsidR="00055D6C">
        <w:rPr>
          <w:rFonts w:ascii="Verdana" w:hAnsi="Verdana"/>
          <w:sz w:val="20"/>
          <w:szCs w:val="20"/>
        </w:rPr>
        <w:t xml:space="preserve">who </w:t>
      </w:r>
      <w:r>
        <w:rPr>
          <w:rFonts w:ascii="Verdana" w:hAnsi="Verdana"/>
          <w:sz w:val="20"/>
          <w:szCs w:val="20"/>
        </w:rPr>
        <w:t xml:space="preserve">said there was no seasonal difference as to when their businesses were busiest providing rodent control services, compared to 21% in the 2014 survey. </w:t>
      </w:r>
    </w:p>
    <w:p w14:paraId="363668CE" w14:textId="605F6BD8" w:rsidR="00DF0401" w:rsidRDefault="00DF040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5AB8307" w14:textId="77777777" w:rsidR="0045235E" w:rsidRDefault="0045235E" w:rsidP="0045235E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Non-Toxic Rodent Control Products Used by Survey Respondents </w:t>
      </w:r>
    </w:p>
    <w:p w14:paraId="11E0356E" w14:textId="6FCE62EE" w:rsidR="0045235E" w:rsidRPr="000C747D" w:rsidRDefault="0045235E" w:rsidP="0045235E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 the State of the Rodent Market Report Survey</w:t>
      </w:r>
      <w:r w:rsidRPr="000C747D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July 2021</w:t>
      </w:r>
    </w:p>
    <w:tbl>
      <w:tblPr>
        <w:tblW w:w="909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267"/>
        <w:gridCol w:w="3278"/>
        <w:gridCol w:w="1267"/>
      </w:tblGrid>
      <w:tr w:rsidR="0045235E" w:rsidRPr="000C747D" w14:paraId="7FCF5AFD" w14:textId="77777777" w:rsidTr="0045235E">
        <w:trPr>
          <w:trHeight w:val="285"/>
          <w:jc w:val="center"/>
        </w:trPr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16E723C" w14:textId="4D10C3C3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Product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5214741" w14:textId="77777777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8B77230" w14:textId="48A2AD24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Product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40A472A8" w14:textId="77777777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BA2E24" w:rsidRPr="000C747D" w14:paraId="4FD1872E" w14:textId="77777777" w:rsidTr="00BA2E2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8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0E29272" w14:textId="64F6ADB0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Traps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1F19070B" w14:textId="224863C5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83%</w:t>
            </w:r>
          </w:p>
        </w:tc>
        <w:tc>
          <w:tcPr>
            <w:tcW w:w="327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E2FEC7E" w14:textId="65C4FE2E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Monitoring non-toxic bait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F9059CB" w14:textId="4D28F9AF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</w:tr>
      <w:tr w:rsidR="00BA2E24" w:rsidRPr="000C747D" w14:paraId="648CA7CB" w14:textId="77777777" w:rsidTr="00BA2E2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51B02C9" w14:textId="4E3D71E9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Exclusion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784682D4" w14:textId="5277B599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415E67E" w14:textId="3990FB9C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Repellents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73843C5" w14:textId="73A478CB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14%</w:t>
            </w:r>
          </w:p>
        </w:tc>
      </w:tr>
      <w:tr w:rsidR="00BA2E24" w:rsidRPr="000C747D" w14:paraId="09D2B4E8" w14:textId="77777777" w:rsidTr="00BA2E2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030DFEAD" w14:textId="7DD07B66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Glueboards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AEFE3DA" w14:textId="5CB1D3B8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47%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004F417" w14:textId="7DDE6002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151BA8" w14:textId="07E0828F" w:rsidR="0045235E" w:rsidRPr="000C747D" w:rsidRDefault="0045235E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</w:tbl>
    <w:p w14:paraId="7372D696" w14:textId="5E760082" w:rsidR="0045235E" w:rsidRPr="000C747D" w:rsidRDefault="00131DA0" w:rsidP="0045235E">
      <w:pPr>
        <w:spacing w:after="0" w:line="240" w:lineRule="auto"/>
        <w:ind w:firstLine="18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16"/>
          <w:szCs w:val="16"/>
        </w:rPr>
        <w:t>PCT (Pest Control Technology)</w:t>
      </w:r>
      <w:r w:rsidR="0045235E">
        <w:rPr>
          <w:rFonts w:ascii="Verdana" w:hAnsi="Verdana"/>
          <w:sz w:val="16"/>
          <w:szCs w:val="16"/>
        </w:rPr>
        <w:t>, December 2021</w:t>
      </w:r>
    </w:p>
    <w:p w14:paraId="47B92279" w14:textId="246C501A" w:rsidR="00DF0401" w:rsidRDefault="00DF040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4C5AC7B" w14:textId="34E17958" w:rsidR="001A7D71" w:rsidRPr="00BA2E24" w:rsidRDefault="008E2880" w:rsidP="00BA2E2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Bed Bugs Are Still a Bugaboo</w:t>
      </w:r>
    </w:p>
    <w:p w14:paraId="4E76BBD5" w14:textId="77777777" w:rsidR="001A7D71" w:rsidRP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4D2367" w14:textId="0D10C7EE" w:rsidR="00BA2E24" w:rsidRDefault="00BA2E24" w:rsidP="001A7D71">
      <w:pPr>
        <w:spacing w:after="0" w:line="240" w:lineRule="auto"/>
        <w:contextualSpacing/>
        <w:mirrorIndents/>
        <w:rPr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</w:t>
      </w:r>
      <w:r w:rsidRPr="007A14B5">
        <w:rPr>
          <w:i/>
          <w:sz w:val="20"/>
          <w:szCs w:val="20"/>
        </w:rPr>
        <w:t>PCT (Pest Control Technology)</w:t>
      </w:r>
      <w:r>
        <w:rPr>
          <w:iCs/>
          <w:sz w:val="20"/>
          <w:szCs w:val="20"/>
        </w:rPr>
        <w:t xml:space="preserve"> 2021 State of </w:t>
      </w:r>
      <w:r w:rsidR="008E2880">
        <w:rPr>
          <w:iCs/>
          <w:sz w:val="20"/>
          <w:szCs w:val="20"/>
        </w:rPr>
        <w:t>the Bed bug Control</w:t>
      </w:r>
      <w:r>
        <w:rPr>
          <w:iCs/>
          <w:sz w:val="20"/>
          <w:szCs w:val="20"/>
        </w:rPr>
        <w:t xml:space="preserve"> Market</w:t>
      </w:r>
      <w:r w:rsidR="00357A00">
        <w:rPr>
          <w:iCs/>
          <w:sz w:val="20"/>
          <w:szCs w:val="20"/>
        </w:rPr>
        <w:t xml:space="preserve"> Report</w:t>
      </w:r>
      <w:r>
        <w:rPr>
          <w:iCs/>
          <w:sz w:val="20"/>
          <w:szCs w:val="20"/>
        </w:rPr>
        <w:t xml:space="preserve">, </w:t>
      </w:r>
      <w:r w:rsidR="008E2880">
        <w:rPr>
          <w:iCs/>
          <w:sz w:val="20"/>
          <w:szCs w:val="20"/>
        </w:rPr>
        <w:t>the pandemic had little effect on this service for many pest</w:t>
      </w:r>
      <w:r w:rsidR="000F4A7F">
        <w:rPr>
          <w:iCs/>
          <w:sz w:val="20"/>
          <w:szCs w:val="20"/>
        </w:rPr>
        <w:t xml:space="preserve"> </w:t>
      </w:r>
      <w:r w:rsidR="008E2880">
        <w:rPr>
          <w:iCs/>
          <w:sz w:val="20"/>
          <w:szCs w:val="20"/>
        </w:rPr>
        <w:t>control companies. Some said there was increased activity at medical facilities serving as vaccination centers.</w:t>
      </w:r>
    </w:p>
    <w:p w14:paraId="4FB439C9" w14:textId="5019C430" w:rsidR="00357A00" w:rsidRDefault="00357A00" w:rsidP="001A7D71">
      <w:pPr>
        <w:spacing w:after="0" w:line="240" w:lineRule="auto"/>
        <w:contextualSpacing/>
        <w:mirrorIndents/>
        <w:rPr>
          <w:iCs/>
          <w:sz w:val="20"/>
          <w:szCs w:val="20"/>
        </w:rPr>
      </w:pPr>
    </w:p>
    <w:p w14:paraId="22957870" w14:textId="34A08C1D" w:rsidR="00BA2E24" w:rsidRDefault="008E2880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August 2021 survey found 52% of respondents expected increased bed bug revenues during the next</w:t>
      </w:r>
      <w:r w:rsidR="006C792C">
        <w:rPr>
          <w:rFonts w:ascii="Verdana" w:hAnsi="Verdana"/>
          <w:sz w:val="20"/>
          <w:szCs w:val="20"/>
        </w:rPr>
        <w:t xml:space="preserve"> year, compared to 42% in the 2020 survey and 59% in the 2019 survey.</w:t>
      </w:r>
    </w:p>
    <w:p w14:paraId="0E2BF3B4" w14:textId="4730F896" w:rsidR="006C792C" w:rsidRDefault="006C792C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BD752C" w14:textId="638664B1" w:rsidR="006C792C" w:rsidRDefault="006C792C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pandemic had a definite negative effect on the commercial bed bug sector, as reported by 44% of survey respondents, especially because many hotels and other leisure &amp; hospitality properties were operating at very reduced capacities. </w:t>
      </w:r>
    </w:p>
    <w:p w14:paraId="633A8658" w14:textId="5919FEFC" w:rsidR="00BA2E24" w:rsidRDefault="00BA2E24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7E987E6" w14:textId="100CD20E" w:rsidR="004C5FCC" w:rsidRPr="000C747D" w:rsidRDefault="00EA1BAD" w:rsidP="004C5FCC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Sources of Bed Bug Control Revenues</w:t>
      </w:r>
      <w:r w:rsidR="004C5FCC" w:rsidRPr="000C747D">
        <w:rPr>
          <w:rFonts w:ascii="Verdana" w:hAnsi="Verdana"/>
          <w:b/>
          <w:sz w:val="20"/>
          <w:szCs w:val="20"/>
        </w:rPr>
        <w:t>, 20</w:t>
      </w:r>
      <w:r w:rsidR="004C5FCC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, 2019 and 2018</w:t>
      </w:r>
    </w:p>
    <w:tbl>
      <w:tblPr>
        <w:tblW w:w="706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200"/>
        <w:gridCol w:w="1200"/>
        <w:gridCol w:w="1200"/>
      </w:tblGrid>
      <w:tr w:rsidR="004C5FCC" w:rsidRPr="000C747D" w14:paraId="28F1065A" w14:textId="77777777" w:rsidTr="00983827">
        <w:trPr>
          <w:jc w:val="center"/>
        </w:trPr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50F42EC" w14:textId="279B03CD" w:rsidR="004C5FCC" w:rsidRPr="000C747D" w:rsidRDefault="00EA1BAD" w:rsidP="009838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Source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832E4B5" w14:textId="4DF9C219" w:rsidR="004C5FCC" w:rsidRPr="000C747D" w:rsidRDefault="00EA1BAD" w:rsidP="009838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DB9DAE1" w14:textId="4AC1A47E" w:rsidR="004C5FCC" w:rsidRPr="000C747D" w:rsidRDefault="00EA1BAD" w:rsidP="009838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2019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5870C57" w14:textId="32B0098A" w:rsidR="004C5FCC" w:rsidRPr="000C747D" w:rsidRDefault="00EA1BAD" w:rsidP="009838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2018</w:t>
            </w:r>
          </w:p>
        </w:tc>
      </w:tr>
      <w:tr w:rsidR="004C5FCC" w:rsidRPr="000C747D" w14:paraId="6E43CE51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18D6CA2" w14:textId="4138BC40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Single-family homes</w:t>
            </w:r>
          </w:p>
        </w:tc>
        <w:tc>
          <w:tcPr>
            <w:tcW w:w="12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66B70894" w14:textId="146C3DD5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  <w:tc>
          <w:tcPr>
            <w:tcW w:w="12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575517BB" w14:textId="31D79C50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  <w:tc>
          <w:tcPr>
            <w:tcW w:w="12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698D56B2" w14:textId="33A145A0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4C5FCC" w:rsidRPr="000C747D" w14:paraId="2167C48E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A4EE998" w14:textId="23D6F9D5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Apartments/Multifamily housing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9FA8E2A" w14:textId="5403A55F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7438B77" w14:textId="21D0B0B1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06442EA" w14:textId="7D7E34C8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</w:tr>
      <w:tr w:rsidR="004C5FCC" w:rsidRPr="000C747D" w14:paraId="67861B9D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4EC423F" w14:textId="15F1AF87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Hospitality industry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0F4BBFC" w14:textId="16B096D7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746D7B2" w14:textId="4074F6E3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6B637C4" w14:textId="6C55F2BC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8%</w:t>
            </w:r>
          </w:p>
        </w:tc>
      </w:tr>
      <w:tr w:rsidR="004C5FCC" w:rsidRPr="000C747D" w14:paraId="0CD6B27C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979B9DA" w14:textId="21ABD136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Hospitals/Healthcare facilities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7079569" w14:textId="3FA3C603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57CC3B9" w14:textId="030BCE65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DDB9B04" w14:textId="6479B1D8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3%</w:t>
            </w:r>
          </w:p>
        </w:tc>
      </w:tr>
      <w:tr w:rsidR="004C5FCC" w:rsidRPr="000C747D" w14:paraId="648DCEA4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148448" w14:textId="1FE13315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Schools/Colleges/Universities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FC3C3E2" w14:textId="234CA8CA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4063CFF" w14:textId="066C5493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239813" w14:textId="4F299308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</w:tr>
      <w:tr w:rsidR="004C5FCC" w:rsidRPr="000C747D" w14:paraId="6A57B5B6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EDE45D5" w14:textId="6B49306B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Transitional housing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22DB58BD" w14:textId="55B9839A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E4D403C" w14:textId="4DF8A25D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029B027" w14:textId="13D77F2E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</w:tr>
      <w:tr w:rsidR="004C5FCC" w:rsidRPr="000C747D" w14:paraId="63815AF7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1E2F663" w14:textId="54677100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Businesses/Offices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0646D3CE" w14:textId="4C841751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E14715E" w14:textId="6A8F58B1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1303B0" w14:textId="7A8B3E90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</w:tr>
      <w:tr w:rsidR="004C5FCC" w:rsidRPr="000C747D" w14:paraId="775EE323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48BA260" w14:textId="7394AA47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None/Equal mix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150FCE58" w14:textId="1FBEA466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859A2CD" w14:textId="79D60DB4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BE12540" w14:textId="4B901FA8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2%</w:t>
            </w:r>
          </w:p>
        </w:tc>
      </w:tr>
      <w:tr w:rsidR="004C5FCC" w:rsidRPr="000C747D" w14:paraId="66CB00E3" w14:textId="77777777" w:rsidTr="0098382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E3C9C38" w14:textId="196006B7" w:rsidR="004C5FCC" w:rsidRPr="000C747D" w:rsidRDefault="00EA1BAD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08B2989" w14:textId="39DAEE89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4E76C0C" w14:textId="0BC98766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41D667" w14:textId="5EDEBAF9" w:rsidR="004C5FCC" w:rsidRPr="000C747D" w:rsidRDefault="00EA1BAD" w:rsidP="0098382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0%</w:t>
            </w:r>
          </w:p>
        </w:tc>
      </w:tr>
    </w:tbl>
    <w:p w14:paraId="63925D95" w14:textId="0DCF9F4C" w:rsidR="00EA1BAD" w:rsidRPr="000C747D" w:rsidRDefault="004C5FCC" w:rsidP="00EA1BAD">
      <w:pPr>
        <w:tabs>
          <w:tab w:val="left" w:pos="117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16"/>
          <w:szCs w:val="16"/>
        </w:rPr>
        <w:tab/>
      </w:r>
      <w:r w:rsidR="00131DA0">
        <w:rPr>
          <w:rFonts w:ascii="Verdana" w:hAnsi="Verdana"/>
          <w:i/>
          <w:sz w:val="16"/>
          <w:szCs w:val="16"/>
        </w:rPr>
        <w:t>PCT (Pest Control Technology)</w:t>
      </w:r>
      <w:r w:rsidR="00EA1BAD">
        <w:rPr>
          <w:rFonts w:ascii="Verdana" w:hAnsi="Verdana"/>
          <w:sz w:val="16"/>
          <w:szCs w:val="16"/>
        </w:rPr>
        <w:t>, November 2021</w:t>
      </w:r>
    </w:p>
    <w:p w14:paraId="14EDEBA5" w14:textId="011D13AB" w:rsidR="004C5FCC" w:rsidRPr="000C747D" w:rsidRDefault="004C5FCC" w:rsidP="004C5FCC">
      <w:pPr>
        <w:pStyle w:val="NoSpacing"/>
        <w:tabs>
          <w:tab w:val="left" w:pos="2430"/>
        </w:tabs>
        <w:contextualSpacing/>
        <w:mirrorIndents/>
        <w:rPr>
          <w:rFonts w:ascii="Verdana" w:hAnsi="Verdana"/>
          <w:sz w:val="20"/>
          <w:szCs w:val="20"/>
        </w:rPr>
      </w:pPr>
    </w:p>
    <w:p w14:paraId="5557F67E" w14:textId="2A981DA9" w:rsidR="004C5FCC" w:rsidRDefault="004C5FCC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10A95B" w14:textId="5B3A361B" w:rsidR="001A7D71" w:rsidRPr="00F93B47" w:rsidRDefault="001A7D71" w:rsidP="00F93B4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F93B47">
        <w:rPr>
          <w:rFonts w:ascii="Verdana" w:hAnsi="Verdana"/>
          <w:b/>
          <w:bCs/>
          <w:color w:val="0070C0"/>
          <w:sz w:val="20"/>
          <w:szCs w:val="20"/>
        </w:rPr>
        <w:lastRenderedPageBreak/>
        <w:t>Identifying Pest Control Customers</w:t>
      </w:r>
    </w:p>
    <w:p w14:paraId="663DCCC4" w14:textId="77777777" w:rsidR="001A7D71" w:rsidRPr="001A7D71" w:rsidRDefault="001A7D71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7E763CB" w14:textId="48BFD17A" w:rsidR="00485AB5" w:rsidRDefault="00F93B47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Analysis of data from five representative 2021 consumer/market surveys conducted by The Media Audit shows adults 18+ who </w:t>
      </w:r>
      <w:r w:rsidR="00FA3E0F">
        <w:rPr>
          <w:rFonts w:ascii="Verdana" w:hAnsi="Verdana"/>
          <w:sz w:val="20"/>
          <w:szCs w:val="20"/>
        </w:rPr>
        <w:t xml:space="preserve">are planning </w:t>
      </w:r>
      <w:r>
        <w:rPr>
          <w:rFonts w:ascii="Verdana" w:hAnsi="Verdana"/>
          <w:sz w:val="20"/>
          <w:szCs w:val="20"/>
        </w:rPr>
        <w:t xml:space="preserve">pest control services during the next </w:t>
      </w:r>
      <w:r w:rsidR="00983827">
        <w:rPr>
          <w:rFonts w:ascii="Verdana" w:hAnsi="Verdana"/>
          <w:sz w:val="20"/>
          <w:szCs w:val="20"/>
        </w:rPr>
        <w:t xml:space="preserve">12 </w:t>
      </w:r>
      <w:r>
        <w:rPr>
          <w:rFonts w:ascii="Verdana" w:hAnsi="Verdana"/>
          <w:sz w:val="20"/>
          <w:szCs w:val="20"/>
        </w:rPr>
        <w:t>month</w:t>
      </w:r>
      <w:r w:rsidR="0098382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at an average age of 42.9 years and </w:t>
      </w:r>
      <w:r w:rsidR="000F4A7F">
        <w:rPr>
          <w:rFonts w:ascii="Verdana" w:hAnsi="Verdana"/>
          <w:sz w:val="20"/>
          <w:szCs w:val="20"/>
        </w:rPr>
        <w:t xml:space="preserve">an </w:t>
      </w:r>
      <w:r>
        <w:rPr>
          <w:rFonts w:ascii="Verdana" w:hAnsi="Verdana"/>
          <w:sz w:val="20"/>
          <w:szCs w:val="20"/>
        </w:rPr>
        <w:t>average household income of $79,200.</w:t>
      </w:r>
    </w:p>
    <w:p w14:paraId="1C923005" w14:textId="34978788" w:rsidR="00485AB5" w:rsidRDefault="00485AB5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3730D1" w14:textId="4BBD94FB" w:rsidR="00F93B47" w:rsidRDefault="00F93B47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younger adults over-index</w:t>
      </w:r>
      <w:r w:rsidR="00FE516C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>, on average, for pest control service</w:t>
      </w:r>
      <w:r w:rsidR="00FA3E0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, since they have been buying homes: Gen Z</w:t>
      </w:r>
      <w:r w:rsidR="00FA3E0F">
        <w:rPr>
          <w:rFonts w:ascii="Verdana" w:hAnsi="Verdana"/>
          <w:sz w:val="20"/>
          <w:szCs w:val="20"/>
        </w:rPr>
        <w:t>ers at 108 and Millennials at 136, Gen Xers at 110. Older adults under-index on average: Baby Boomers at 62 and Silent Generation at 43.</w:t>
      </w:r>
    </w:p>
    <w:p w14:paraId="024FFF81" w14:textId="5209A21F" w:rsidR="00FA3E0F" w:rsidRDefault="00FA3E0F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B3C9822" w14:textId="170EF18C" w:rsidR="00B064FC" w:rsidRDefault="00B064FC" w:rsidP="00B064FC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Are Planning Pest Control Services During the </w:t>
      </w:r>
    </w:p>
    <w:p w14:paraId="1CF426FF" w14:textId="48DE8261" w:rsidR="00B064FC" w:rsidRPr="005D1511" w:rsidRDefault="00B064FC" w:rsidP="00B064FC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Next 12 Months by Their Homes’ Market Value,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1074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657"/>
        <w:gridCol w:w="1656"/>
        <w:gridCol w:w="1656"/>
        <w:gridCol w:w="1656"/>
        <w:gridCol w:w="1656"/>
      </w:tblGrid>
      <w:tr w:rsidR="00B064FC" w:rsidRPr="005D1511" w14:paraId="277AAB2D" w14:textId="77777777" w:rsidTr="005B42D8">
        <w:trPr>
          <w:jc w:val="center"/>
        </w:trPr>
        <w:tc>
          <w:tcPr>
            <w:tcW w:w="246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D88C3CD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Market Value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2CC6E08" w14:textId="5870EFB3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 Palm Beach, FL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7A60B96" w14:textId="47286460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Southern New Hampshire*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18175BCD" w14:textId="31169A94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Chicago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32986F0" w14:textId="2BCB38E0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B2A7941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Seattle-Tacoma</w:t>
            </w:r>
          </w:p>
        </w:tc>
      </w:tr>
      <w:tr w:rsidR="00B064FC" w:rsidRPr="005D1511" w14:paraId="6BD7417D" w14:textId="77777777" w:rsidTr="007151A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8059ADE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$100,000–$199,999</w:t>
            </w:r>
          </w:p>
        </w:tc>
        <w:tc>
          <w:tcPr>
            <w:tcW w:w="165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7A12EEFE" w14:textId="27ECA903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57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36776E4" w14:textId="0DAF8DFE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7348E2F7" w14:textId="15F35B77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E380B46" w14:textId="06BDDC79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57156BD9" w14:textId="38CDE265" w:rsidR="00B064FC" w:rsidRPr="004815C1" w:rsidRDefault="008D2579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188</w:t>
            </w:r>
          </w:p>
        </w:tc>
      </w:tr>
      <w:tr w:rsidR="00B064FC" w:rsidRPr="005D1511" w14:paraId="3D260680" w14:textId="77777777" w:rsidTr="00D8195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F85A90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$200,000–$299,999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1B70D6B" w14:textId="1245A47D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68AAA2C" w14:textId="21794533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0AF2DD5" w14:textId="451B9555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B7E01AB" w14:textId="0A6F3EDF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C12ED4A" w14:textId="21F588C4" w:rsidR="00B064FC" w:rsidRPr="00B00624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</w:tr>
      <w:tr w:rsidR="00B064FC" w:rsidRPr="005D1511" w14:paraId="0A2EB3A1" w14:textId="77777777" w:rsidTr="00D8195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6D43570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$300,000–$399,999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612FAD4" w14:textId="4CEB681D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12D7BA5" w14:textId="772F0A68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8ED409C" w14:textId="040140A7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0D46814" w14:textId="59523B8F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FA9A513" w14:textId="62EE578D" w:rsidR="00B064FC" w:rsidRPr="00B00624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</w:tr>
      <w:tr w:rsidR="00B064FC" w:rsidRPr="005D1511" w14:paraId="0A4671B1" w14:textId="77777777" w:rsidTr="00D8195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ADE647" w14:textId="77777777" w:rsidR="00B064FC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$400,000–$499,999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66813DF" w14:textId="0E7D8ECB" w:rsidR="00B064FC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1CF494D" w14:textId="663CAC6F" w:rsidR="00B064FC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83BC90A" w14:textId="3F146F47" w:rsidR="00B064FC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89C7C12" w14:textId="60458D4B" w:rsidR="00B064FC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650868B" w14:textId="2C1CA911" w:rsidR="00B064FC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</w:tr>
      <w:tr w:rsidR="00B064FC" w:rsidRPr="005D1511" w14:paraId="69AAAD6A" w14:textId="77777777" w:rsidTr="00D8195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B845C0E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$500,000–$999,999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FCC6D3D" w14:textId="4BC6A016" w:rsidR="00B064FC" w:rsidRPr="004815C1" w:rsidRDefault="008D2579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0878311" w14:textId="4D13B273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9BC0F12" w14:textId="60F66A99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E9B14F5" w14:textId="20A870FD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E7FD8BD" w14:textId="0FED52EE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</w:tr>
      <w:tr w:rsidR="00B064FC" w:rsidRPr="005D1511" w14:paraId="51FF6DB3" w14:textId="77777777" w:rsidTr="00D8195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3CBA4C8" w14:textId="77777777" w:rsidR="00B064FC" w:rsidRPr="004815C1" w:rsidRDefault="00B064FC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 million or more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67D6E5D" w14:textId="24A27EA3" w:rsidR="00B064FC" w:rsidRPr="000C0BD3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2F2F2" w:themeFill="background1" w:themeFillShade="F2"/>
            <w:vAlign w:val="center"/>
          </w:tcPr>
          <w:p w14:paraId="54FFBA3A" w14:textId="6D14AD60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0C0BD3">
              <w:rPr>
                <w:rFonts w:ascii="Verdana" w:hAnsi="Verdana"/>
                <w:sz w:val="20"/>
                <w:szCs w:val="20"/>
              </w:rPr>
              <w:t>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198381B" w14:textId="097AE25F" w:rsidR="00B064FC" w:rsidRPr="00B00624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7AD595E" w14:textId="3D9CABA2" w:rsidR="00B064FC" w:rsidRPr="004815C1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04A6B33" w14:textId="20848B07" w:rsidR="00B064FC" w:rsidRPr="00493053" w:rsidRDefault="008D2579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</w:tr>
    </w:tbl>
    <w:p w14:paraId="4F2054A0" w14:textId="77777777" w:rsidR="00B064FC" w:rsidRDefault="00B064FC" w:rsidP="00B064FC">
      <w:pPr>
        <w:spacing w:after="0" w:line="240" w:lineRule="auto"/>
        <w:ind w:hanging="720"/>
        <w:contextualSpacing/>
        <w:mirrorIndents/>
        <w:rPr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</w:p>
    <w:p w14:paraId="265B6DD8" w14:textId="77777777" w:rsidR="00B064FC" w:rsidRPr="00814190" w:rsidRDefault="00B064FC" w:rsidP="00B064FC">
      <w:pPr>
        <w:spacing w:after="0" w:line="240" w:lineRule="auto"/>
        <w:ind w:hanging="720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>*Belknap, Cheshire, Hillsborough, Merrimack, Rockingham and Strafford counties</w:t>
      </w:r>
      <w:r>
        <w:rPr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†</w:t>
      </w:r>
      <w:r>
        <w:rPr>
          <w:sz w:val="16"/>
          <w:szCs w:val="16"/>
        </w:rPr>
        <w:t>insufficient data</w:t>
      </w:r>
    </w:p>
    <w:p w14:paraId="569D6A30" w14:textId="77777777" w:rsidR="00FA3E0F" w:rsidRDefault="00FA3E0F" w:rsidP="001A7D7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BE56AB2" w14:textId="26FFB0D1" w:rsidR="001A7D71" w:rsidRPr="00326A64" w:rsidRDefault="00BA2E24" w:rsidP="00326A6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26A64">
        <w:rPr>
          <w:rFonts w:ascii="Verdana" w:hAnsi="Verdana"/>
          <w:b/>
          <w:bCs/>
          <w:color w:val="0070C0"/>
          <w:sz w:val="20"/>
          <w:szCs w:val="20"/>
        </w:rPr>
        <w:t xml:space="preserve">Media </w:t>
      </w:r>
      <w:r w:rsidR="001A7D71" w:rsidRPr="00326A64">
        <w:rPr>
          <w:rFonts w:ascii="Verdana" w:hAnsi="Verdana"/>
          <w:b/>
          <w:bCs/>
          <w:color w:val="0070C0"/>
          <w:sz w:val="20"/>
          <w:szCs w:val="20"/>
        </w:rPr>
        <w:t>Engag</w:t>
      </w:r>
      <w:r w:rsidRPr="00326A64">
        <w:rPr>
          <w:rFonts w:ascii="Verdana" w:hAnsi="Verdana"/>
          <w:b/>
          <w:bCs/>
          <w:color w:val="0070C0"/>
          <w:sz w:val="20"/>
          <w:szCs w:val="20"/>
        </w:rPr>
        <w:t>ement</w:t>
      </w:r>
      <w:r w:rsidR="001A7D71" w:rsidRPr="00326A64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261AC0">
        <w:rPr>
          <w:rFonts w:ascii="Verdana" w:hAnsi="Verdana"/>
          <w:b/>
          <w:bCs/>
          <w:color w:val="0070C0"/>
          <w:sz w:val="20"/>
          <w:szCs w:val="20"/>
        </w:rPr>
        <w:t>with</w:t>
      </w:r>
      <w:r w:rsidR="001A7D71" w:rsidRPr="00326A64">
        <w:rPr>
          <w:rFonts w:ascii="Verdana" w:hAnsi="Verdana"/>
          <w:b/>
          <w:bCs/>
          <w:color w:val="0070C0"/>
          <w:sz w:val="20"/>
          <w:szCs w:val="20"/>
        </w:rPr>
        <w:t xml:space="preserve"> Pest Control Customers</w:t>
      </w:r>
    </w:p>
    <w:p w14:paraId="286AC9F6" w14:textId="77777777" w:rsidR="00F94CE8" w:rsidRPr="001A7D71" w:rsidRDefault="00F94CE8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31BEA9C1" w:rsidR="00F94CE8" w:rsidRPr="001A7D71" w:rsidRDefault="00326A64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same five surveys from The Media Audit reveal adults 18+ planning pest control services over-index</w:t>
      </w:r>
      <w:r w:rsidR="00FE516C">
        <w:rPr>
          <w:rFonts w:ascii="Verdana" w:hAnsi="Verdana"/>
          <w:sz w:val="20"/>
          <w:szCs w:val="20"/>
        </w:rPr>
        <w:t>ed, on average,</w:t>
      </w:r>
      <w:r>
        <w:rPr>
          <w:rFonts w:ascii="Verdana" w:hAnsi="Verdana"/>
          <w:sz w:val="20"/>
          <w:szCs w:val="20"/>
        </w:rPr>
        <w:t xml:space="preserve"> for heav</w:t>
      </w:r>
      <w:r w:rsidR="00FE516C">
        <w:rPr>
          <w:rFonts w:ascii="Verdana" w:hAnsi="Verdana"/>
          <w:sz w:val="20"/>
          <w:szCs w:val="20"/>
        </w:rPr>
        <w:t>y exposure</w:t>
      </w:r>
      <w:r w:rsidR="00433EB0">
        <w:rPr>
          <w:rFonts w:ascii="Verdana" w:hAnsi="Verdana"/>
          <w:sz w:val="20"/>
          <w:szCs w:val="20"/>
        </w:rPr>
        <w:t>*</w:t>
      </w:r>
      <w:r w:rsidR="00FE516C">
        <w:rPr>
          <w:rFonts w:ascii="Verdana" w:hAnsi="Verdana"/>
          <w:sz w:val="20"/>
          <w:szCs w:val="20"/>
        </w:rPr>
        <w:t xml:space="preserve"> to four offline media: newspaper at 160, radio at 132, </w:t>
      </w:r>
      <w:r w:rsidR="00085B34">
        <w:rPr>
          <w:rFonts w:ascii="Verdana" w:hAnsi="Verdana"/>
          <w:sz w:val="20"/>
          <w:szCs w:val="20"/>
        </w:rPr>
        <w:t>direct mail at 120</w:t>
      </w:r>
      <w:r w:rsidR="00085B34">
        <w:rPr>
          <w:rFonts w:ascii="Verdana" w:hAnsi="Verdana"/>
          <w:sz w:val="20"/>
          <w:szCs w:val="20"/>
        </w:rPr>
        <w:t xml:space="preserve"> and </w:t>
      </w:r>
      <w:r w:rsidR="00FE516C">
        <w:rPr>
          <w:rFonts w:ascii="Verdana" w:hAnsi="Verdana"/>
          <w:sz w:val="20"/>
          <w:szCs w:val="20"/>
        </w:rPr>
        <w:t>outdoor at 114, but under-indexed for TV at 88.</w:t>
      </w:r>
    </w:p>
    <w:p w14:paraId="664EB1A4" w14:textId="77777777" w:rsidR="00F94CE8" w:rsidRPr="001A7D71" w:rsidRDefault="00F94CE8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5037D10E" w:rsidR="00F94CE8" w:rsidRPr="001A7D71" w:rsidRDefault="00FE516C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These adults over-indexed, on average for five online media: podcast listening at 198, audio streaming at 154, social media at 129 and the Internet and video streaming both at 116.</w:t>
      </w:r>
    </w:p>
    <w:p w14:paraId="02C0BC62" w14:textId="77777777" w:rsidR="00F94CE8" w:rsidRPr="001A7D71" w:rsidRDefault="00F94CE8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A33A7CF" w14:textId="77777777" w:rsidR="00433EB0" w:rsidRDefault="007151A6" w:rsidP="007151A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Are Planning Pest Control </w:t>
      </w:r>
    </w:p>
    <w:p w14:paraId="2316CFA3" w14:textId="77777777" w:rsidR="00433EB0" w:rsidRDefault="007151A6" w:rsidP="00433EB0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Services During the Next 12 Months </w:t>
      </w:r>
      <w:r w:rsidR="00433EB0">
        <w:rPr>
          <w:b/>
          <w:bCs/>
          <w:sz w:val="20"/>
          <w:szCs w:val="20"/>
        </w:rPr>
        <w:t xml:space="preserve">and Logged onto Social Media </w:t>
      </w:r>
    </w:p>
    <w:p w14:paraId="76DBCEC2" w14:textId="7723A67C" w:rsidR="007151A6" w:rsidRPr="005D1511" w:rsidRDefault="00433EB0" w:rsidP="00433EB0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Sites During the Past Month</w:t>
      </w:r>
      <w:r w:rsidR="007151A6">
        <w:rPr>
          <w:b/>
          <w:bCs/>
          <w:sz w:val="20"/>
          <w:szCs w:val="20"/>
        </w:rPr>
        <w:t>, in Selected Markets</w:t>
      </w:r>
      <w:r w:rsidR="007151A6" w:rsidRPr="005D1511">
        <w:rPr>
          <w:b/>
          <w:bCs/>
          <w:sz w:val="20"/>
          <w:szCs w:val="20"/>
        </w:rPr>
        <w:t>, 202</w:t>
      </w:r>
      <w:r w:rsidR="007151A6">
        <w:rPr>
          <w:b/>
          <w:bCs/>
          <w:sz w:val="20"/>
          <w:szCs w:val="20"/>
        </w:rPr>
        <w:t>1</w:t>
      </w:r>
    </w:p>
    <w:tbl>
      <w:tblPr>
        <w:tblW w:w="986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657"/>
        <w:gridCol w:w="1656"/>
        <w:gridCol w:w="1656"/>
        <w:gridCol w:w="1656"/>
        <w:gridCol w:w="1656"/>
      </w:tblGrid>
      <w:tr w:rsidR="007151A6" w:rsidRPr="005D1511" w14:paraId="79A3B466" w14:textId="77777777" w:rsidTr="00433EB0">
        <w:trPr>
          <w:jc w:val="center"/>
        </w:trPr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997E2D5" w14:textId="59EDEC7E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 Sites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2E5F70D" w14:textId="77777777" w:rsidR="007151A6" w:rsidRPr="004815C1" w:rsidRDefault="007151A6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 Palm Beach, FL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B434FE4" w14:textId="33C6105C" w:rsidR="007151A6" w:rsidRPr="004815C1" w:rsidRDefault="007151A6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Southern New Hampshire</w:t>
            </w:r>
            <w:r w:rsidR="00433EB0" w:rsidRPr="000C0BD3">
              <w:rPr>
                <w:rFonts w:ascii="Verdana" w:hAnsi="Verdana"/>
                <w:sz w:val="20"/>
                <w:szCs w:val="20"/>
              </w:rPr>
              <w:t>†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05CB113" w14:textId="77777777" w:rsidR="007151A6" w:rsidRPr="004815C1" w:rsidRDefault="007151A6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Chicago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F020F2E" w14:textId="77777777" w:rsidR="007151A6" w:rsidRPr="004815C1" w:rsidRDefault="007151A6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D0D1320" w14:textId="77777777" w:rsidR="007151A6" w:rsidRPr="004815C1" w:rsidRDefault="007151A6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Seattle-Tacoma</w:t>
            </w:r>
          </w:p>
        </w:tc>
      </w:tr>
      <w:tr w:rsidR="007151A6" w:rsidRPr="005D1511" w14:paraId="273CB717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84C9DF9" w14:textId="659E3DE6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YouTube</w:t>
            </w:r>
          </w:p>
        </w:tc>
        <w:tc>
          <w:tcPr>
            <w:tcW w:w="165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E55291B" w14:textId="34EF7DDA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416CDDF" w14:textId="50BE1389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109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9E4AE6A" w14:textId="0641AD5E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5040083" w14:textId="571B3173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656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5945991" w14:textId="032AF4A9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</w:tr>
      <w:tr w:rsidR="007151A6" w:rsidRPr="005D1511" w14:paraId="6FC977FC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F48B5A9" w14:textId="087D2F74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Facebook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36DF91A" w14:textId="24E64F67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CFA12B8" w14:textId="69FA5210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0ACE022" w14:textId="69095034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31F302C" w14:textId="48ACD21B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E87EE2F" w14:textId="061E00AD" w:rsidR="007151A6" w:rsidRPr="00B00624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</w:tr>
      <w:tr w:rsidR="007151A6" w:rsidRPr="005D1511" w14:paraId="1EBFF1D4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F0CE294" w14:textId="2A251F22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LinkedIn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C5D0E1F" w14:textId="65AC7640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8F3AA9B" w14:textId="04B4A200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6E4D301" w14:textId="38B67BD8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37F86E9" w14:textId="3AFCD8CC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3E675F4D" w14:textId="408ED413" w:rsidR="007151A6" w:rsidRPr="00B00624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179</w:t>
            </w:r>
          </w:p>
        </w:tc>
      </w:tr>
      <w:tr w:rsidR="007151A6" w:rsidRPr="005D1511" w14:paraId="69E8A3A9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4AD1839" w14:textId="1AD8E5F0" w:rsidR="007151A6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Twitter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F87241D" w14:textId="2B66B108" w:rsidR="007151A6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E814B78" w14:textId="39A368B2" w:rsidR="007151A6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13919C2" w14:textId="7D828B61" w:rsidR="007151A6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69DCED1" w14:textId="44380C62" w:rsidR="007151A6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6F13E943" w14:textId="6AC0C4D1" w:rsidR="007151A6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160</w:t>
            </w:r>
          </w:p>
        </w:tc>
      </w:tr>
      <w:tr w:rsidR="007151A6" w:rsidRPr="005D1511" w14:paraId="2C5829E5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CDB6FC6" w14:textId="1BCA9CE7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Pinterest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95BCF8E" w14:textId="30DAF8B6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2363F25" w14:textId="2BCFBDDF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6215000" w14:textId="3F3E68F8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706D682" w14:textId="0844632C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C601025" w14:textId="662A13AE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</w:tr>
      <w:tr w:rsidR="007151A6" w:rsidRPr="005D1511" w14:paraId="2B88523D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C01ABB1" w14:textId="5B681990" w:rsidR="007151A6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Instagram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724A5F5" w14:textId="1BE8A9E7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3FF56D5" w14:textId="7C003AA4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5B31760" w14:textId="530586FC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2948A3A" w14:textId="4E53B8AB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787B06E" w14:textId="37E1DC5D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</w:tr>
      <w:tr w:rsidR="007151A6" w:rsidRPr="005D1511" w14:paraId="733B2256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C670B9C" w14:textId="3373AC0B" w:rsidR="007151A6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Snapchat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83551B6" w14:textId="75B556AF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08C9E7E" w14:textId="643F6170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DA9067E" w14:textId="5E7C4B77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86AC485" w14:textId="7A4382F0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33021DB9" w14:textId="058152D1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194</w:t>
            </w:r>
          </w:p>
        </w:tc>
      </w:tr>
      <w:tr w:rsidR="007151A6" w:rsidRPr="005D1511" w14:paraId="3E9861C3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D4BF07C" w14:textId="7DCECBD0" w:rsidR="007151A6" w:rsidRPr="004815C1" w:rsidRDefault="00433EB0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TikTok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555AB05" w14:textId="05F45F85" w:rsidR="007151A6" w:rsidRPr="000C0BD3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00B050"/>
            <w:vAlign w:val="center"/>
          </w:tcPr>
          <w:p w14:paraId="728EE72F" w14:textId="7B27A303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F47E664" w14:textId="1E275E76" w:rsidR="007151A6" w:rsidRPr="00B00624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45E6EF5" w14:textId="35928D3B" w:rsidR="007151A6" w:rsidRPr="004815C1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00B050"/>
            <w:vAlign w:val="center"/>
          </w:tcPr>
          <w:p w14:paraId="25D384BF" w14:textId="42F59F0A" w:rsidR="007151A6" w:rsidRPr="00493053" w:rsidRDefault="00433EB0" w:rsidP="005B42D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175</w:t>
            </w:r>
          </w:p>
        </w:tc>
      </w:tr>
    </w:tbl>
    <w:p w14:paraId="537ACCCB" w14:textId="77777777" w:rsidR="00433EB0" w:rsidRDefault="007151A6" w:rsidP="00433EB0">
      <w:pPr>
        <w:spacing w:after="0" w:line="240" w:lineRule="auto"/>
        <w:ind w:hanging="270"/>
        <w:contextualSpacing/>
        <w:mirrorIndents/>
        <w:rPr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</w:p>
    <w:p w14:paraId="37079E4B" w14:textId="0E1FA37F" w:rsidR="00F94CE8" w:rsidRDefault="00433EB0" w:rsidP="00433EB0">
      <w:pPr>
        <w:spacing w:after="0" w:line="240" w:lineRule="auto"/>
        <w:ind w:hanging="270"/>
        <w:contextualSpacing/>
        <w:mirrorIndents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†</w:t>
      </w:r>
      <w:r w:rsidR="007151A6">
        <w:rPr>
          <w:sz w:val="16"/>
          <w:szCs w:val="16"/>
        </w:rPr>
        <w:t>Belknap, Cheshire, Hillsborough, Merrimack, Rockingham and Strafford counties</w:t>
      </w:r>
    </w:p>
    <w:p w14:paraId="6ECFF083" w14:textId="3A4AC654" w:rsidR="00C65A1B" w:rsidRDefault="00C65A1B" w:rsidP="00433EB0">
      <w:pPr>
        <w:spacing w:after="0" w:line="240" w:lineRule="auto"/>
        <w:ind w:hanging="270"/>
        <w:contextualSpacing/>
        <w:mirrorIndents/>
        <w:rPr>
          <w:sz w:val="16"/>
          <w:szCs w:val="16"/>
        </w:rPr>
      </w:pPr>
    </w:p>
    <w:p w14:paraId="61A75E5A" w14:textId="223629D8" w:rsidR="00C65A1B" w:rsidRPr="007151A6" w:rsidRDefault="00C65A1B" w:rsidP="00433EB0">
      <w:pPr>
        <w:spacing w:after="0" w:line="240" w:lineRule="auto"/>
        <w:ind w:hanging="270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>*See page four for</w:t>
      </w:r>
      <w:r w:rsidR="007927B9">
        <w:rPr>
          <w:sz w:val="16"/>
          <w:szCs w:val="16"/>
        </w:rPr>
        <w:t xml:space="preserve"> heavy exposure amounts</w:t>
      </w:r>
    </w:p>
    <w:p w14:paraId="3A5080E9" w14:textId="77777777" w:rsidR="00F94CE8" w:rsidRPr="001A7D71" w:rsidRDefault="00F94CE8" w:rsidP="001A7D7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4F067DEC" w14:textId="7A32BE91" w:rsidR="009967C5" w:rsidRPr="000C747D" w:rsidRDefault="009967C5" w:rsidP="009967C5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 Ten Clothes Moth Cities and Top Ten Termite Cities</w:t>
      </w:r>
      <w:r w:rsidRPr="000C747D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2021</w:t>
      </w:r>
    </w:p>
    <w:tbl>
      <w:tblPr>
        <w:tblW w:w="472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1"/>
      </w:tblGrid>
      <w:tr w:rsidR="009967C5" w:rsidRPr="000C747D" w14:paraId="69F7A861" w14:textId="77777777" w:rsidTr="009967C5">
        <w:trPr>
          <w:trHeight w:val="285"/>
          <w:jc w:val="center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719B720" w14:textId="3D664A78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Clothes Moth Cities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40933226" w14:textId="49540738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Termite Cities</w:t>
            </w:r>
          </w:p>
        </w:tc>
      </w:tr>
      <w:tr w:rsidR="009967C5" w:rsidRPr="000C747D" w14:paraId="19283BF0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D038381" w14:textId="762F8862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New York</w:t>
            </w:r>
          </w:p>
        </w:tc>
        <w:tc>
          <w:tcPr>
            <w:tcW w:w="236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D8C5C6" w14:textId="3731D5D7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Los Angeles</w:t>
            </w:r>
          </w:p>
        </w:tc>
      </w:tr>
      <w:tr w:rsidR="009967C5" w:rsidRPr="000C747D" w14:paraId="784063E8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790152B" w14:textId="54F63051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Boston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88E831" w14:textId="1DAFB33F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Miami</w:t>
            </w:r>
          </w:p>
        </w:tc>
      </w:tr>
      <w:tr w:rsidR="009967C5" w:rsidRPr="000C747D" w14:paraId="79D4D921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BA54F5E" w14:textId="2DDB9A53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Philadelphia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E2C60E" w14:textId="6B4A49FA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Washington, DC</w:t>
            </w:r>
          </w:p>
        </w:tc>
      </w:tr>
      <w:tr w:rsidR="009967C5" w:rsidRPr="000C747D" w14:paraId="16081872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F6AF2F5" w14:textId="06995C73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Cincinnati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F78077" w14:textId="0FE36FF4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Tampa</w:t>
            </w:r>
          </w:p>
        </w:tc>
      </w:tr>
      <w:tr w:rsidR="009967C5" w:rsidRPr="000C747D" w14:paraId="6D19D2EC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8EB99B7" w14:textId="2FE5E22B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Dallas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74E8F5" w14:textId="0E8D1E8A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Chicago</w:t>
            </w:r>
          </w:p>
        </w:tc>
      </w:tr>
      <w:tr w:rsidR="009967C5" w:rsidRPr="000C747D" w14:paraId="4015FFA5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E9557AB" w14:textId="75EF654C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Chicago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5132C8" w14:textId="4437D8B8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Atlanta</w:t>
            </w:r>
          </w:p>
        </w:tc>
      </w:tr>
      <w:tr w:rsidR="009967C5" w:rsidRPr="000C747D" w14:paraId="153CF4A7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F108A98" w14:textId="313E957F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Portland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A1E0E2" w14:textId="478845C8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New York</w:t>
            </w:r>
          </w:p>
        </w:tc>
      </w:tr>
      <w:tr w:rsidR="009967C5" w:rsidRPr="000C747D" w14:paraId="4430E100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945BFC1" w14:textId="2CBBC693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Atlanta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DA2E58" w14:textId="5CD078DA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Raleigh</w:t>
            </w:r>
          </w:p>
        </w:tc>
      </w:tr>
      <w:tr w:rsidR="009967C5" w:rsidRPr="000C747D" w14:paraId="41A67C78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234A095" w14:textId="5BB84124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Los Angeles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0136F7" w14:textId="6C0600E4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Dallas</w:t>
            </w:r>
          </w:p>
        </w:tc>
      </w:tr>
      <w:tr w:rsidR="009967C5" w:rsidRPr="000C747D" w14:paraId="07E177E3" w14:textId="77777777" w:rsidTr="009967C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6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2B01E029" w14:textId="606902B2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Minneapolis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15333" w14:textId="7FC50C55" w:rsidR="009967C5" w:rsidRPr="000C747D" w:rsidRDefault="009967C5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Orlando</w:t>
            </w:r>
          </w:p>
        </w:tc>
      </w:tr>
    </w:tbl>
    <w:p w14:paraId="22AD90BB" w14:textId="77777777" w:rsidR="00131DA0" w:rsidRDefault="009967C5" w:rsidP="00131DA0">
      <w:pPr>
        <w:tabs>
          <w:tab w:val="left" w:pos="2340"/>
        </w:tabs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 w:rsidRPr="00CE33C4">
        <w:rPr>
          <w:rFonts w:ascii="Verdana" w:hAnsi="Verdana"/>
          <w:i/>
          <w:sz w:val="16"/>
          <w:szCs w:val="16"/>
        </w:rPr>
        <w:t>P</w:t>
      </w:r>
      <w:r>
        <w:rPr>
          <w:rFonts w:ascii="Verdana" w:hAnsi="Verdana"/>
          <w:i/>
          <w:sz w:val="16"/>
          <w:szCs w:val="16"/>
        </w:rPr>
        <w:t>est Management Professional</w:t>
      </w:r>
      <w:r>
        <w:rPr>
          <w:rFonts w:ascii="Verdana" w:hAnsi="Verdana"/>
          <w:sz w:val="16"/>
          <w:szCs w:val="16"/>
        </w:rPr>
        <w:t xml:space="preserve">, </w:t>
      </w:r>
      <w:r w:rsidR="00131DA0">
        <w:rPr>
          <w:rFonts w:ascii="Verdana" w:hAnsi="Verdana"/>
          <w:sz w:val="16"/>
          <w:szCs w:val="16"/>
        </w:rPr>
        <w:t xml:space="preserve">March 2022 and </w:t>
      </w:r>
    </w:p>
    <w:p w14:paraId="6FC10752" w14:textId="0D821BBB" w:rsidR="009967C5" w:rsidRPr="00131DA0" w:rsidRDefault="00131DA0" w:rsidP="00131DA0">
      <w:pPr>
        <w:tabs>
          <w:tab w:val="left" w:pos="2340"/>
        </w:tabs>
        <w:spacing w:after="0" w:line="240" w:lineRule="auto"/>
        <w:contextualSpacing/>
        <w:mirrorIndents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PCT (Pest Control Technology)</w:t>
      </w:r>
      <w:r>
        <w:rPr>
          <w:rFonts w:ascii="Verdana" w:hAnsi="Verdana"/>
          <w:iCs/>
          <w:sz w:val="16"/>
          <w:szCs w:val="16"/>
        </w:rPr>
        <w:t>, March 2022</w:t>
      </w:r>
    </w:p>
    <w:p w14:paraId="3CDFB8E2" w14:textId="536E95D2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767EAB" w14:textId="60E636BE" w:rsidR="00131DA0" w:rsidRDefault="00131DA0" w:rsidP="00F94CE8">
      <w:pPr>
        <w:pStyle w:val="NoSpacing"/>
        <w:contextualSpacing/>
        <w:rPr>
          <w:sz w:val="20"/>
          <w:szCs w:val="20"/>
        </w:rPr>
      </w:pPr>
    </w:p>
    <w:p w14:paraId="7ACF01F1" w14:textId="77777777" w:rsidR="00131DA0" w:rsidRDefault="00131DA0" w:rsidP="00F94CE8">
      <w:pPr>
        <w:pStyle w:val="NoSpacing"/>
        <w:contextualSpacing/>
        <w:rPr>
          <w:sz w:val="20"/>
          <w:szCs w:val="20"/>
        </w:rPr>
      </w:pPr>
    </w:p>
    <w:p w14:paraId="6D7431CB" w14:textId="77777777" w:rsidR="00C65A1B" w:rsidRPr="007F1120" w:rsidRDefault="00C65A1B" w:rsidP="00C65A1B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Media Audit: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C65A1B" w:rsidRPr="007F1120" w14:paraId="02A24BB3" w14:textId="77777777" w:rsidTr="005B42D8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1DA73AE6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338B50AA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C65A1B" w:rsidRPr="007F1120" w14:paraId="682BDBE8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73EBF83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5C1E3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C65A1B" w:rsidRPr="007F1120" w14:paraId="1EC0CF51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5A04731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D822EE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C65A1B" w:rsidRPr="007F1120" w14:paraId="5F76128D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5DE1B82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D23634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C65A1B" w:rsidRPr="007F1120" w14:paraId="13122EE0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FB284C3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9C0901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C65A1B" w:rsidRPr="007F1120" w14:paraId="1E9FD932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9D141A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9034A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C65A1B" w:rsidRPr="007F1120" w14:paraId="7EB25C4B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55C0630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665406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C65A1B" w:rsidRPr="007F1120" w14:paraId="0D86B924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B8B9B97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DCAA86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C65A1B" w:rsidRPr="007F1120" w14:paraId="089D9D85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479411F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Audio streaming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C3E7BA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C65A1B" w:rsidRPr="007F1120" w14:paraId="68D1A6FF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1B0ADB7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Podcast 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051A61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C65A1B" w:rsidRPr="007F1120" w14:paraId="73E55849" w14:textId="77777777" w:rsidTr="005B42D8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006179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Video streaming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A83AD1" w14:textId="77777777" w:rsidR="00C65A1B" w:rsidRPr="00294183" w:rsidRDefault="00C65A1B" w:rsidP="005B42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</w:tbl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1F0469A1" w:rsidR="00F94CE8" w:rsidRPr="00690E6A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690E6A">
        <w:rPr>
          <w:rFonts w:ascii="Verdana" w:hAnsi="Verdana"/>
          <w:i/>
          <w:sz w:val="16"/>
        </w:rPr>
        <w:t>Sources:</w:t>
      </w:r>
      <w:r w:rsidRPr="00690E6A">
        <w:rPr>
          <w:rFonts w:ascii="Verdana" w:hAnsi="Verdana"/>
          <w:sz w:val="16"/>
        </w:rPr>
        <w:t xml:space="preserve"> </w:t>
      </w:r>
      <w:r w:rsidRPr="00690E6A">
        <w:rPr>
          <w:rFonts w:ascii="Verdana" w:hAnsi="Verdana"/>
          <w:sz w:val="16"/>
          <w:szCs w:val="16"/>
        </w:rPr>
        <w:t xml:space="preserve">Edmunds.com Website, </w:t>
      </w:r>
      <w:r w:rsidR="008058FD">
        <w:rPr>
          <w:rFonts w:ascii="Verdana" w:hAnsi="Verdana"/>
          <w:sz w:val="16"/>
          <w:szCs w:val="16"/>
        </w:rPr>
        <w:t>4</w:t>
      </w:r>
      <w:r w:rsidR="00306D88">
        <w:rPr>
          <w:rFonts w:ascii="Verdana" w:hAnsi="Verdana"/>
          <w:sz w:val="16"/>
          <w:szCs w:val="16"/>
        </w:rPr>
        <w:t>/</w:t>
      </w:r>
      <w:r w:rsidR="00AE6B2A">
        <w:rPr>
          <w:rFonts w:ascii="Verdana" w:hAnsi="Verdana"/>
          <w:sz w:val="16"/>
          <w:szCs w:val="16"/>
        </w:rPr>
        <w:t>2</w:t>
      </w:r>
      <w:r w:rsidR="00C8473A">
        <w:rPr>
          <w:rFonts w:ascii="Verdana" w:hAnsi="Verdana"/>
          <w:sz w:val="16"/>
          <w:szCs w:val="16"/>
        </w:rPr>
        <w:t>2</w:t>
      </w:r>
      <w:r w:rsidRPr="00690E6A">
        <w:rPr>
          <w:rFonts w:ascii="Verdana" w:hAnsi="Verdana"/>
          <w:sz w:val="16"/>
          <w:szCs w:val="16"/>
        </w:rPr>
        <w:t xml:space="preserve">; National Automobile Dealers Association Website, </w:t>
      </w:r>
      <w:r w:rsidR="008058FD">
        <w:rPr>
          <w:rFonts w:ascii="Verdana" w:hAnsi="Verdana"/>
          <w:sz w:val="16"/>
          <w:szCs w:val="16"/>
        </w:rPr>
        <w:t>4</w:t>
      </w:r>
      <w:r w:rsidR="004E421A">
        <w:rPr>
          <w:rFonts w:ascii="Verdana" w:hAnsi="Verdana"/>
          <w:sz w:val="16"/>
          <w:szCs w:val="16"/>
        </w:rPr>
        <w:t>/</w:t>
      </w:r>
      <w:r w:rsidR="00AE6B2A">
        <w:rPr>
          <w:rFonts w:ascii="Verdana" w:hAnsi="Verdana"/>
          <w:sz w:val="16"/>
          <w:szCs w:val="16"/>
        </w:rPr>
        <w:t>2</w:t>
      </w:r>
      <w:r w:rsidR="00C8473A">
        <w:rPr>
          <w:rFonts w:ascii="Verdana" w:hAnsi="Verdana"/>
          <w:sz w:val="16"/>
          <w:szCs w:val="16"/>
        </w:rPr>
        <w:t>2</w:t>
      </w:r>
      <w:r w:rsidRPr="00690E6A">
        <w:rPr>
          <w:rFonts w:ascii="Verdana" w:hAnsi="Verdana"/>
          <w:sz w:val="16"/>
          <w:szCs w:val="16"/>
        </w:rPr>
        <w:t xml:space="preserve">; </w:t>
      </w:r>
      <w:r w:rsidRPr="00690E6A">
        <w:rPr>
          <w:rFonts w:ascii="Verdana" w:hAnsi="Verdana"/>
          <w:i/>
          <w:sz w:val="16"/>
          <w:szCs w:val="16"/>
        </w:rPr>
        <w:t>Used Care Dealer</w:t>
      </w:r>
      <w:r w:rsidR="009A3EBE">
        <w:rPr>
          <w:rFonts w:ascii="Verdana" w:hAnsi="Verdana"/>
          <w:sz w:val="16"/>
          <w:szCs w:val="16"/>
        </w:rPr>
        <w:t xml:space="preserve"> </w:t>
      </w:r>
      <w:r w:rsidRPr="00690E6A">
        <w:rPr>
          <w:rFonts w:ascii="Verdana" w:hAnsi="Verdana"/>
          <w:sz w:val="16"/>
          <w:szCs w:val="16"/>
        </w:rPr>
        <w:t>Website</w:t>
      </w:r>
      <w:r w:rsidR="00A00453">
        <w:rPr>
          <w:rFonts w:ascii="Verdana" w:hAnsi="Verdana"/>
          <w:sz w:val="16"/>
          <w:szCs w:val="16"/>
        </w:rPr>
        <w:t xml:space="preserve">, </w:t>
      </w:r>
      <w:r w:rsidR="008058FD">
        <w:rPr>
          <w:rFonts w:ascii="Verdana" w:hAnsi="Verdana"/>
          <w:sz w:val="16"/>
          <w:szCs w:val="16"/>
        </w:rPr>
        <w:t>4</w:t>
      </w:r>
      <w:r w:rsidR="00306D88">
        <w:rPr>
          <w:rFonts w:ascii="Verdana" w:hAnsi="Verdana"/>
          <w:sz w:val="16"/>
          <w:szCs w:val="16"/>
        </w:rPr>
        <w:t>/</w:t>
      </w:r>
      <w:r w:rsidR="00AE6B2A">
        <w:rPr>
          <w:rFonts w:ascii="Verdana" w:hAnsi="Verdana"/>
          <w:sz w:val="16"/>
          <w:szCs w:val="16"/>
        </w:rPr>
        <w:t>2</w:t>
      </w:r>
      <w:r w:rsidR="00C8473A">
        <w:rPr>
          <w:rFonts w:ascii="Verdana" w:hAnsi="Verdana"/>
          <w:sz w:val="16"/>
          <w:szCs w:val="16"/>
        </w:rPr>
        <w:t>2</w:t>
      </w:r>
      <w:r w:rsidRPr="00690E6A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0605FD25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8058FD">
        <w:rPr>
          <w:rFonts w:ascii="Verdana" w:hAnsi="Verdana"/>
          <w:sz w:val="16"/>
        </w:rPr>
        <w:t>April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099C" w14:textId="77777777" w:rsidR="00C0238A" w:rsidRDefault="00C0238A" w:rsidP="00260DE9">
      <w:pPr>
        <w:spacing w:after="0" w:line="240" w:lineRule="auto"/>
      </w:pPr>
      <w:r>
        <w:separator/>
      </w:r>
    </w:p>
  </w:endnote>
  <w:endnote w:type="continuationSeparator" w:id="0">
    <w:p w14:paraId="6EC8B680" w14:textId="77777777" w:rsidR="00C0238A" w:rsidRDefault="00C0238A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C33B" w14:textId="77777777" w:rsidR="00C0238A" w:rsidRDefault="00C0238A" w:rsidP="00260DE9">
      <w:pPr>
        <w:spacing w:after="0" w:line="240" w:lineRule="auto"/>
      </w:pPr>
      <w:r>
        <w:separator/>
      </w:r>
    </w:p>
  </w:footnote>
  <w:footnote w:type="continuationSeparator" w:id="0">
    <w:p w14:paraId="7FC56735" w14:textId="77777777" w:rsidR="00C0238A" w:rsidRDefault="00C0238A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5D6C"/>
    <w:rsid w:val="0005633E"/>
    <w:rsid w:val="000577D6"/>
    <w:rsid w:val="0007198D"/>
    <w:rsid w:val="000830D7"/>
    <w:rsid w:val="00085B34"/>
    <w:rsid w:val="000C4B96"/>
    <w:rsid w:val="000C7821"/>
    <w:rsid w:val="000D2F3A"/>
    <w:rsid w:val="000D7C07"/>
    <w:rsid w:val="000F4A7F"/>
    <w:rsid w:val="0010398F"/>
    <w:rsid w:val="00112A85"/>
    <w:rsid w:val="0012010F"/>
    <w:rsid w:val="00131DA0"/>
    <w:rsid w:val="00142DEE"/>
    <w:rsid w:val="001531C2"/>
    <w:rsid w:val="00154344"/>
    <w:rsid w:val="00160474"/>
    <w:rsid w:val="00161442"/>
    <w:rsid w:val="0016492E"/>
    <w:rsid w:val="00177D0F"/>
    <w:rsid w:val="001A05E7"/>
    <w:rsid w:val="001A7D71"/>
    <w:rsid w:val="001B64B0"/>
    <w:rsid w:val="001C2831"/>
    <w:rsid w:val="001D53A3"/>
    <w:rsid w:val="001E3923"/>
    <w:rsid w:val="001F5DFA"/>
    <w:rsid w:val="00255C94"/>
    <w:rsid w:val="00260DE9"/>
    <w:rsid w:val="00261AC0"/>
    <w:rsid w:val="002679E2"/>
    <w:rsid w:val="00294474"/>
    <w:rsid w:val="002A4A73"/>
    <w:rsid w:val="002A508D"/>
    <w:rsid w:val="002A6286"/>
    <w:rsid w:val="002B0BCF"/>
    <w:rsid w:val="002B3E1A"/>
    <w:rsid w:val="002B428E"/>
    <w:rsid w:val="002E1F38"/>
    <w:rsid w:val="00306D88"/>
    <w:rsid w:val="00326A64"/>
    <w:rsid w:val="00327C87"/>
    <w:rsid w:val="00334F8B"/>
    <w:rsid w:val="00357A00"/>
    <w:rsid w:val="003630CD"/>
    <w:rsid w:val="0038459A"/>
    <w:rsid w:val="003B3F0A"/>
    <w:rsid w:val="003B417B"/>
    <w:rsid w:val="003C15ED"/>
    <w:rsid w:val="003D6958"/>
    <w:rsid w:val="003E2E9B"/>
    <w:rsid w:val="003F0FE1"/>
    <w:rsid w:val="00400606"/>
    <w:rsid w:val="00412473"/>
    <w:rsid w:val="00422A36"/>
    <w:rsid w:val="00424E79"/>
    <w:rsid w:val="00432903"/>
    <w:rsid w:val="00433EB0"/>
    <w:rsid w:val="0045212B"/>
    <w:rsid w:val="0045235E"/>
    <w:rsid w:val="0045797F"/>
    <w:rsid w:val="00457D8F"/>
    <w:rsid w:val="0046193A"/>
    <w:rsid w:val="0048482F"/>
    <w:rsid w:val="00485AB5"/>
    <w:rsid w:val="0048620A"/>
    <w:rsid w:val="00493426"/>
    <w:rsid w:val="00494CA5"/>
    <w:rsid w:val="004C5FCC"/>
    <w:rsid w:val="004D4671"/>
    <w:rsid w:val="004E421A"/>
    <w:rsid w:val="004F7F58"/>
    <w:rsid w:val="0050254D"/>
    <w:rsid w:val="00520014"/>
    <w:rsid w:val="0056258A"/>
    <w:rsid w:val="0057012D"/>
    <w:rsid w:val="00571D6A"/>
    <w:rsid w:val="00592462"/>
    <w:rsid w:val="00596832"/>
    <w:rsid w:val="005C3BA5"/>
    <w:rsid w:val="005F19E9"/>
    <w:rsid w:val="00600CFD"/>
    <w:rsid w:val="00601F2D"/>
    <w:rsid w:val="00635FF3"/>
    <w:rsid w:val="00637CB9"/>
    <w:rsid w:val="006557DC"/>
    <w:rsid w:val="00657B52"/>
    <w:rsid w:val="0067102D"/>
    <w:rsid w:val="0068770F"/>
    <w:rsid w:val="0069436D"/>
    <w:rsid w:val="006A3858"/>
    <w:rsid w:val="006B0BD1"/>
    <w:rsid w:val="006B3A10"/>
    <w:rsid w:val="006C792C"/>
    <w:rsid w:val="006D1053"/>
    <w:rsid w:val="006E6275"/>
    <w:rsid w:val="00707104"/>
    <w:rsid w:val="007139CE"/>
    <w:rsid w:val="007151A6"/>
    <w:rsid w:val="007257B5"/>
    <w:rsid w:val="007651A4"/>
    <w:rsid w:val="007815CB"/>
    <w:rsid w:val="007862CF"/>
    <w:rsid w:val="007927B9"/>
    <w:rsid w:val="00793BD0"/>
    <w:rsid w:val="007A14B5"/>
    <w:rsid w:val="007B6E29"/>
    <w:rsid w:val="007D3185"/>
    <w:rsid w:val="008058FD"/>
    <w:rsid w:val="0082749D"/>
    <w:rsid w:val="008378FF"/>
    <w:rsid w:val="00875007"/>
    <w:rsid w:val="0088350D"/>
    <w:rsid w:val="0088505B"/>
    <w:rsid w:val="0089324F"/>
    <w:rsid w:val="008A0DCB"/>
    <w:rsid w:val="008D2579"/>
    <w:rsid w:val="008E2880"/>
    <w:rsid w:val="009229BB"/>
    <w:rsid w:val="00923C8D"/>
    <w:rsid w:val="00931A86"/>
    <w:rsid w:val="009419F0"/>
    <w:rsid w:val="0097289D"/>
    <w:rsid w:val="0097480E"/>
    <w:rsid w:val="00983827"/>
    <w:rsid w:val="00984DF0"/>
    <w:rsid w:val="0099377F"/>
    <w:rsid w:val="009967C5"/>
    <w:rsid w:val="009A3728"/>
    <w:rsid w:val="009A3EBE"/>
    <w:rsid w:val="009A4526"/>
    <w:rsid w:val="009A6479"/>
    <w:rsid w:val="009A65F1"/>
    <w:rsid w:val="009C6A17"/>
    <w:rsid w:val="009F3C8C"/>
    <w:rsid w:val="00A00453"/>
    <w:rsid w:val="00A031C1"/>
    <w:rsid w:val="00A12BB9"/>
    <w:rsid w:val="00A30B01"/>
    <w:rsid w:val="00A55AAE"/>
    <w:rsid w:val="00A55AB4"/>
    <w:rsid w:val="00A61F9B"/>
    <w:rsid w:val="00A71026"/>
    <w:rsid w:val="00A820F9"/>
    <w:rsid w:val="00AB01D8"/>
    <w:rsid w:val="00AE087E"/>
    <w:rsid w:val="00AE1F72"/>
    <w:rsid w:val="00AE6B2A"/>
    <w:rsid w:val="00AE71B7"/>
    <w:rsid w:val="00B064FC"/>
    <w:rsid w:val="00B12A59"/>
    <w:rsid w:val="00B33B46"/>
    <w:rsid w:val="00B36421"/>
    <w:rsid w:val="00B4203D"/>
    <w:rsid w:val="00B47080"/>
    <w:rsid w:val="00B6421F"/>
    <w:rsid w:val="00BA2E24"/>
    <w:rsid w:val="00BC0DB8"/>
    <w:rsid w:val="00BC2144"/>
    <w:rsid w:val="00BE4BEC"/>
    <w:rsid w:val="00BE6652"/>
    <w:rsid w:val="00C0238A"/>
    <w:rsid w:val="00C11931"/>
    <w:rsid w:val="00C147E3"/>
    <w:rsid w:val="00C20878"/>
    <w:rsid w:val="00C21D13"/>
    <w:rsid w:val="00C412D4"/>
    <w:rsid w:val="00C53303"/>
    <w:rsid w:val="00C54007"/>
    <w:rsid w:val="00C65128"/>
    <w:rsid w:val="00C65A1B"/>
    <w:rsid w:val="00C77B54"/>
    <w:rsid w:val="00C8473A"/>
    <w:rsid w:val="00CE3B31"/>
    <w:rsid w:val="00CE7889"/>
    <w:rsid w:val="00D16971"/>
    <w:rsid w:val="00D17DB0"/>
    <w:rsid w:val="00D22E81"/>
    <w:rsid w:val="00D26223"/>
    <w:rsid w:val="00D37649"/>
    <w:rsid w:val="00D81928"/>
    <w:rsid w:val="00D8195A"/>
    <w:rsid w:val="00D8342E"/>
    <w:rsid w:val="00D91188"/>
    <w:rsid w:val="00D93E11"/>
    <w:rsid w:val="00DA1474"/>
    <w:rsid w:val="00DC4F7C"/>
    <w:rsid w:val="00DD5A41"/>
    <w:rsid w:val="00DE0FDD"/>
    <w:rsid w:val="00DF0401"/>
    <w:rsid w:val="00E13B28"/>
    <w:rsid w:val="00E20F93"/>
    <w:rsid w:val="00E21202"/>
    <w:rsid w:val="00E31C88"/>
    <w:rsid w:val="00E45F8D"/>
    <w:rsid w:val="00E80C14"/>
    <w:rsid w:val="00E82B33"/>
    <w:rsid w:val="00E926A9"/>
    <w:rsid w:val="00EA1BAD"/>
    <w:rsid w:val="00ED42A4"/>
    <w:rsid w:val="00EF6801"/>
    <w:rsid w:val="00EF6AB9"/>
    <w:rsid w:val="00F056FA"/>
    <w:rsid w:val="00F2704A"/>
    <w:rsid w:val="00F66EA8"/>
    <w:rsid w:val="00F70E29"/>
    <w:rsid w:val="00F93B47"/>
    <w:rsid w:val="00F94CE8"/>
    <w:rsid w:val="00FA3E0F"/>
    <w:rsid w:val="00FA495C"/>
    <w:rsid w:val="00FB418C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2022-04-09T16:27:00Z</dcterms:created>
  <dcterms:modified xsi:type="dcterms:W3CDTF">2022-04-09T16:27:00Z</dcterms:modified>
</cp:coreProperties>
</file>