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425A" w14:textId="45CA16EA" w:rsidR="00F94CE8" w:rsidRPr="005F19E9" w:rsidRDefault="00975786" w:rsidP="00C11931">
      <w:pPr>
        <w:pStyle w:val="NoSpacing"/>
        <w:contextualSpacing/>
        <w:mirrorIndents/>
        <w:rPr>
          <w:rFonts w:ascii="Verdana" w:hAnsi="Verdana"/>
          <w:b/>
          <w:bCs/>
          <w:color w:val="FF0000"/>
          <w:sz w:val="20"/>
          <w:szCs w:val="20"/>
        </w:rPr>
      </w:pPr>
      <w:r>
        <w:rPr>
          <w:rFonts w:ascii="Verdana" w:hAnsi="Verdana"/>
          <w:b/>
          <w:bCs/>
          <w:color w:val="FF0000"/>
          <w:sz w:val="20"/>
          <w:szCs w:val="20"/>
        </w:rPr>
        <w:t>Construction Industry</w:t>
      </w:r>
      <w:r w:rsidR="005F19E9" w:rsidRPr="005F19E9">
        <w:rPr>
          <w:rFonts w:ascii="Verdana" w:hAnsi="Verdana"/>
          <w:b/>
          <w:bCs/>
          <w:color w:val="FF0000"/>
          <w:sz w:val="20"/>
          <w:szCs w:val="20"/>
        </w:rPr>
        <w:t xml:space="preserve"> 2022</w:t>
      </w:r>
    </w:p>
    <w:p w14:paraId="11DB62D2" w14:textId="77777777" w:rsidR="00F94CE8" w:rsidRPr="004B0652" w:rsidRDefault="00F94CE8" w:rsidP="004B0652">
      <w:pPr>
        <w:pStyle w:val="NoSpacing"/>
        <w:contextualSpacing/>
        <w:mirrorIndents/>
        <w:rPr>
          <w:rFonts w:ascii="Verdana" w:hAnsi="Verdana"/>
          <w:sz w:val="20"/>
          <w:szCs w:val="20"/>
        </w:rPr>
      </w:pPr>
    </w:p>
    <w:p w14:paraId="26CA7A9D" w14:textId="77777777" w:rsidR="004B0652" w:rsidRPr="004B0652" w:rsidRDefault="004B0652" w:rsidP="004B0652">
      <w:pPr>
        <w:spacing w:after="0" w:line="240" w:lineRule="auto"/>
        <w:contextualSpacing/>
        <w:mirrorIndents/>
        <w:jc w:val="center"/>
        <w:rPr>
          <w:rFonts w:ascii="Verdana" w:hAnsi="Verdana"/>
          <w:b/>
          <w:bCs/>
          <w:color w:val="0070C0"/>
          <w:sz w:val="20"/>
          <w:szCs w:val="20"/>
        </w:rPr>
      </w:pPr>
      <w:r w:rsidRPr="004B0652">
        <w:rPr>
          <w:rFonts w:ascii="Verdana" w:hAnsi="Verdana"/>
          <w:b/>
          <w:bCs/>
          <w:color w:val="0070C0"/>
          <w:sz w:val="20"/>
          <w:szCs w:val="20"/>
        </w:rPr>
        <w:t>Challenges Will Moderate 2022 Construction Spending</w:t>
      </w:r>
    </w:p>
    <w:p w14:paraId="40CE9FFE" w14:textId="77777777" w:rsidR="004B0652" w:rsidRPr="004B0652" w:rsidRDefault="004B0652" w:rsidP="004B0652">
      <w:pPr>
        <w:spacing w:after="0" w:line="240" w:lineRule="auto"/>
        <w:contextualSpacing/>
        <w:mirrorIndents/>
        <w:rPr>
          <w:rFonts w:ascii="Verdana" w:hAnsi="Verdana"/>
          <w:sz w:val="20"/>
          <w:szCs w:val="20"/>
        </w:rPr>
      </w:pPr>
    </w:p>
    <w:p w14:paraId="157E0167" w14:textId="77777777" w:rsidR="00EA0874" w:rsidRDefault="00EA0874" w:rsidP="00EA0874">
      <w:pPr>
        <w:spacing w:after="0" w:line="240" w:lineRule="auto"/>
        <w:contextualSpacing/>
        <w:mirrorIndents/>
        <w:rPr>
          <w:rFonts w:ascii="Verdana" w:hAnsi="Verdana"/>
          <w:sz w:val="20"/>
          <w:szCs w:val="20"/>
        </w:rPr>
      </w:pPr>
      <w:r>
        <w:rPr>
          <w:sz w:val="20"/>
        </w:rPr>
        <w:t xml:space="preserve">The </w:t>
      </w:r>
      <w:r>
        <w:rPr>
          <w:rFonts w:ascii="Verdana" w:hAnsi="Verdana"/>
          <w:sz w:val="20"/>
          <w:szCs w:val="20"/>
        </w:rPr>
        <w:t>FMI Q1 2022 North America Construction Industry Overview</w:t>
      </w:r>
      <w:r>
        <w:rPr>
          <w:sz w:val="20"/>
        </w:rPr>
        <w:t xml:space="preserve"> </w:t>
      </w:r>
      <w:r>
        <w:rPr>
          <w:rFonts w:ascii="Verdana" w:hAnsi="Verdana"/>
          <w:sz w:val="20"/>
          <w:szCs w:val="20"/>
        </w:rPr>
        <w:t>forecast</w:t>
      </w:r>
      <w:r>
        <w:rPr>
          <w:sz w:val="20"/>
        </w:rPr>
        <w:t>s</w:t>
      </w:r>
      <w:r>
        <w:rPr>
          <w:rFonts w:ascii="Verdana" w:hAnsi="Verdana"/>
          <w:sz w:val="20"/>
          <w:szCs w:val="20"/>
        </w:rPr>
        <w:t xml:space="preserve"> a 5% increase in construction spending for 2022, compared to 8% for 2021 and 6% for 2020.</w:t>
      </w:r>
      <w:r>
        <w:rPr>
          <w:sz w:val="20"/>
        </w:rPr>
        <w:t xml:space="preserve"> The decline is attributable to continued labor and building supplies issues and inflation.</w:t>
      </w:r>
    </w:p>
    <w:p w14:paraId="2B5F9E02" w14:textId="0E3D7724" w:rsidR="000D2765" w:rsidRDefault="000D2765" w:rsidP="004B0652">
      <w:pPr>
        <w:spacing w:after="0" w:line="240" w:lineRule="auto"/>
        <w:contextualSpacing/>
        <w:mirrorIndents/>
        <w:rPr>
          <w:rFonts w:ascii="Verdana" w:hAnsi="Verdana"/>
          <w:sz w:val="20"/>
          <w:szCs w:val="20"/>
        </w:rPr>
      </w:pPr>
    </w:p>
    <w:p w14:paraId="06CD4239" w14:textId="77777777" w:rsidR="000D2765" w:rsidRDefault="000D2765" w:rsidP="004B0652">
      <w:pPr>
        <w:spacing w:after="0" w:line="240" w:lineRule="auto"/>
        <w:contextualSpacing/>
        <w:mirrorIndents/>
        <w:rPr>
          <w:rFonts w:ascii="Verdana" w:hAnsi="Verdana"/>
          <w:sz w:val="20"/>
          <w:szCs w:val="20"/>
        </w:rPr>
      </w:pPr>
      <w:r>
        <w:rPr>
          <w:rFonts w:ascii="Verdana" w:hAnsi="Verdana"/>
          <w:sz w:val="20"/>
          <w:szCs w:val="20"/>
        </w:rPr>
        <w:t>Despite these and other challenges, Associated General Contractors of America (AGC) reports the 11.2% YOY increase in February 2022 construction spending was the 12</w:t>
      </w:r>
      <w:r w:rsidRPr="000D2765">
        <w:rPr>
          <w:rFonts w:ascii="Verdana" w:hAnsi="Verdana"/>
          <w:sz w:val="20"/>
          <w:szCs w:val="20"/>
          <w:vertAlign w:val="superscript"/>
        </w:rPr>
        <w:t>th</w:t>
      </w:r>
      <w:r>
        <w:rPr>
          <w:rFonts w:ascii="Verdana" w:hAnsi="Verdana"/>
          <w:sz w:val="20"/>
          <w:szCs w:val="20"/>
        </w:rPr>
        <w:t xml:space="preserve"> consecutive positive month.</w:t>
      </w:r>
    </w:p>
    <w:p w14:paraId="36FC3F18" w14:textId="77777777" w:rsidR="000D2765" w:rsidRDefault="000D2765" w:rsidP="004B0652">
      <w:pPr>
        <w:spacing w:after="0" w:line="240" w:lineRule="auto"/>
        <w:contextualSpacing/>
        <w:mirrorIndents/>
        <w:rPr>
          <w:rFonts w:ascii="Verdana" w:hAnsi="Verdana"/>
          <w:sz w:val="20"/>
          <w:szCs w:val="20"/>
        </w:rPr>
      </w:pPr>
    </w:p>
    <w:p w14:paraId="17659314" w14:textId="77777777" w:rsidR="00563BFC" w:rsidRDefault="000D2765" w:rsidP="004B0652">
      <w:pPr>
        <w:spacing w:after="0" w:line="240" w:lineRule="auto"/>
        <w:contextualSpacing/>
        <w:mirrorIndents/>
        <w:rPr>
          <w:rFonts w:ascii="Verdana" w:hAnsi="Verdana"/>
          <w:sz w:val="20"/>
          <w:szCs w:val="20"/>
        </w:rPr>
      </w:pPr>
      <w:r>
        <w:rPr>
          <w:rFonts w:ascii="Verdana" w:hAnsi="Verdana"/>
          <w:sz w:val="20"/>
          <w:szCs w:val="20"/>
        </w:rPr>
        <w:t xml:space="preserve">The private-residential subsector increased the most at 16.6% YOY and </w:t>
      </w:r>
      <w:r w:rsidR="00563BFC">
        <w:rPr>
          <w:rFonts w:ascii="Verdana" w:hAnsi="Verdana"/>
          <w:sz w:val="20"/>
          <w:szCs w:val="20"/>
        </w:rPr>
        <w:t>1.1% from January. Private nonresidential spending increased 9.7% YOY and 0.2% from January while public construction increased 1.5% YOY, but decreased 0.4% from January.</w:t>
      </w:r>
    </w:p>
    <w:p w14:paraId="50E0598B" w14:textId="77777777" w:rsidR="00563BFC" w:rsidRDefault="00563BFC" w:rsidP="004B0652">
      <w:pPr>
        <w:spacing w:after="0" w:line="240" w:lineRule="auto"/>
        <w:contextualSpacing/>
        <w:mirrorIndents/>
        <w:rPr>
          <w:rFonts w:ascii="Verdana" w:hAnsi="Verdana"/>
          <w:sz w:val="20"/>
          <w:szCs w:val="20"/>
        </w:rPr>
      </w:pPr>
    </w:p>
    <w:p w14:paraId="508EB20A" w14:textId="17949C38" w:rsidR="00B741C4" w:rsidRPr="000668B3" w:rsidRDefault="00B741C4" w:rsidP="00B741C4">
      <w:pPr>
        <w:pStyle w:val="Header"/>
        <w:jc w:val="center"/>
        <w:rPr>
          <w:b/>
          <w:sz w:val="20"/>
          <w:szCs w:val="20"/>
        </w:rPr>
      </w:pPr>
      <w:r>
        <w:rPr>
          <w:b/>
          <w:sz w:val="20"/>
          <w:szCs w:val="20"/>
        </w:rPr>
        <w:t xml:space="preserve">Five Construction Sectors Poised for </w:t>
      </w:r>
      <w:r w:rsidR="007069BB">
        <w:rPr>
          <w:b/>
          <w:sz w:val="20"/>
          <w:szCs w:val="20"/>
        </w:rPr>
        <w:t xml:space="preserve">Major </w:t>
      </w:r>
      <w:r>
        <w:rPr>
          <w:b/>
          <w:sz w:val="20"/>
          <w:szCs w:val="20"/>
        </w:rPr>
        <w:t>2022 Growth</w:t>
      </w:r>
    </w:p>
    <w:tbl>
      <w:tblPr>
        <w:tblW w:w="11595"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3555"/>
        <w:gridCol w:w="8040"/>
      </w:tblGrid>
      <w:tr w:rsidR="00B741C4" w:rsidRPr="00FA1897" w14:paraId="76B8FD8D" w14:textId="77777777" w:rsidTr="00B741C4">
        <w:trPr>
          <w:trHeight w:val="249"/>
          <w:jc w:val="center"/>
        </w:trPr>
        <w:tc>
          <w:tcPr>
            <w:tcW w:w="3555"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0D51069F" w14:textId="398DA25A" w:rsidR="00B741C4" w:rsidRPr="00FA1897" w:rsidRDefault="00B741C4" w:rsidP="005B42D8">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Pr>
                <w:rFonts w:ascii="Verdana" w:eastAsia="Times New Roman" w:hAnsi="Verdana"/>
                <w:sz w:val="20"/>
                <w:szCs w:val="20"/>
              </w:rPr>
              <w:t>Sector</w:t>
            </w:r>
          </w:p>
        </w:tc>
        <w:tc>
          <w:tcPr>
            <w:tcW w:w="8040" w:type="dxa"/>
            <w:tcBorders>
              <w:top w:val="single" w:sz="12" w:space="0" w:color="000000"/>
              <w:left w:val="single" w:sz="8" w:space="0" w:color="0070C0"/>
              <w:bottom w:val="single" w:sz="18" w:space="0" w:color="C0504D" w:themeColor="accent2"/>
              <w:right w:val="single" w:sz="12" w:space="0" w:color="auto"/>
            </w:tcBorders>
            <w:shd w:val="clear" w:color="auto" w:fill="auto"/>
            <w:vAlign w:val="center"/>
          </w:tcPr>
          <w:p w14:paraId="25D4FB4A" w14:textId="1BEFB2F1" w:rsidR="00B741C4" w:rsidRPr="00FA1897" w:rsidRDefault="00B741C4" w:rsidP="005B42D8">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Pr>
                <w:rFonts w:ascii="Verdana" w:eastAsia="Times New Roman" w:hAnsi="Verdana"/>
                <w:sz w:val="20"/>
                <w:szCs w:val="20"/>
              </w:rPr>
              <w:t>Drivers</w:t>
            </w:r>
          </w:p>
        </w:tc>
      </w:tr>
      <w:tr w:rsidR="00B741C4" w:rsidRPr="00FA1897" w14:paraId="42E7D741" w14:textId="77777777" w:rsidTr="00B741C4">
        <w:tblPrEx>
          <w:tblBorders>
            <w:top w:val="none" w:sz="0" w:space="0" w:color="auto"/>
          </w:tblBorders>
        </w:tblPrEx>
        <w:trPr>
          <w:trHeight w:val="249"/>
          <w:jc w:val="center"/>
        </w:trPr>
        <w:tc>
          <w:tcPr>
            <w:tcW w:w="3555"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31E408DA" w14:textId="577D189B" w:rsidR="00B741C4" w:rsidRPr="00FA1897" w:rsidRDefault="00B741C4"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Distribution centers/warehouses</w:t>
            </w:r>
          </w:p>
        </w:tc>
        <w:tc>
          <w:tcPr>
            <w:tcW w:w="8040" w:type="dxa"/>
            <w:tcBorders>
              <w:top w:val="single" w:sz="18" w:space="0" w:color="C0504D" w:themeColor="accent2"/>
              <w:left w:val="single" w:sz="8" w:space="0" w:color="0070C0"/>
              <w:bottom w:val="single" w:sz="4" w:space="0" w:color="000000"/>
              <w:right w:val="single" w:sz="12" w:space="0" w:color="auto"/>
            </w:tcBorders>
            <w:shd w:val="clear" w:color="auto" w:fill="auto"/>
            <w:vAlign w:val="center"/>
          </w:tcPr>
          <w:p w14:paraId="3A25457E" w14:textId="73CCEBBD" w:rsidR="00B741C4" w:rsidRPr="00FA1897" w:rsidRDefault="00B741C4" w:rsidP="00B741C4">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Strong e-commerce sales, more need near transportation hubs and corridors</w:t>
            </w:r>
          </w:p>
        </w:tc>
      </w:tr>
      <w:tr w:rsidR="00B741C4" w:rsidRPr="00FA1897" w14:paraId="4A3CFC45" w14:textId="77777777" w:rsidTr="00B741C4">
        <w:tblPrEx>
          <w:tblBorders>
            <w:top w:val="none" w:sz="0" w:space="0" w:color="auto"/>
          </w:tblBorders>
        </w:tblPrEx>
        <w:trPr>
          <w:trHeight w:val="249"/>
          <w:jc w:val="center"/>
        </w:trPr>
        <w:tc>
          <w:tcPr>
            <w:tcW w:w="3555"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5339A258" w14:textId="34AA3700" w:rsidR="00B741C4" w:rsidRPr="00FA1897" w:rsidRDefault="00B741C4"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Data centers</w:t>
            </w:r>
          </w:p>
        </w:tc>
        <w:tc>
          <w:tcPr>
            <w:tcW w:w="8040" w:type="dxa"/>
            <w:tcBorders>
              <w:top w:val="single" w:sz="4" w:space="0" w:color="000000"/>
              <w:left w:val="single" w:sz="8" w:space="0" w:color="0070C0"/>
              <w:bottom w:val="single" w:sz="4" w:space="0" w:color="000000"/>
              <w:right w:val="single" w:sz="12" w:space="0" w:color="auto"/>
            </w:tcBorders>
            <w:shd w:val="clear" w:color="auto" w:fill="auto"/>
            <w:vAlign w:val="center"/>
          </w:tcPr>
          <w:p w14:paraId="124A5F76" w14:textId="31D538C5" w:rsidR="00B741C4" w:rsidRPr="00FA1897" w:rsidRDefault="00B741C4" w:rsidP="00B741C4">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Strong e-commerce sales, larger projects, cryptocurrency</w:t>
            </w:r>
          </w:p>
        </w:tc>
      </w:tr>
      <w:tr w:rsidR="00B741C4" w:rsidRPr="00FA1897" w14:paraId="3F936274" w14:textId="77777777" w:rsidTr="00B741C4">
        <w:tblPrEx>
          <w:tblBorders>
            <w:top w:val="none" w:sz="0" w:space="0" w:color="auto"/>
          </w:tblBorders>
        </w:tblPrEx>
        <w:trPr>
          <w:trHeight w:val="249"/>
          <w:jc w:val="center"/>
        </w:trPr>
        <w:tc>
          <w:tcPr>
            <w:tcW w:w="3555"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0A6CB12" w14:textId="71804E26" w:rsidR="00B741C4" w:rsidRPr="00FA1897" w:rsidRDefault="00B741C4"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Port projects</w:t>
            </w:r>
          </w:p>
        </w:tc>
        <w:tc>
          <w:tcPr>
            <w:tcW w:w="8040" w:type="dxa"/>
            <w:tcBorders>
              <w:top w:val="single" w:sz="4" w:space="0" w:color="000000"/>
              <w:left w:val="single" w:sz="8" w:space="0" w:color="0070C0"/>
              <w:bottom w:val="single" w:sz="4" w:space="0" w:color="000000"/>
              <w:right w:val="single" w:sz="12" w:space="0" w:color="auto"/>
            </w:tcBorders>
            <w:shd w:val="clear" w:color="auto" w:fill="auto"/>
            <w:vAlign w:val="center"/>
          </w:tcPr>
          <w:p w14:paraId="754A545D" w14:textId="4C6DAF9B" w:rsidR="00B741C4" w:rsidRPr="00FA1897" w:rsidRDefault="007069BB" w:rsidP="00B741C4">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Continuing supply chain issues, federal infrastructure dollars</w:t>
            </w:r>
          </w:p>
        </w:tc>
      </w:tr>
      <w:tr w:rsidR="00B741C4" w:rsidRPr="00FA1897" w14:paraId="05C83F1C" w14:textId="77777777" w:rsidTr="00B741C4">
        <w:tblPrEx>
          <w:tblBorders>
            <w:top w:val="none" w:sz="0" w:space="0" w:color="auto"/>
          </w:tblBorders>
        </w:tblPrEx>
        <w:trPr>
          <w:trHeight w:val="249"/>
          <w:jc w:val="center"/>
        </w:trPr>
        <w:tc>
          <w:tcPr>
            <w:tcW w:w="3555"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1434E0EC" w14:textId="30501D44" w:rsidR="00B741C4" w:rsidRPr="00FA1897" w:rsidRDefault="007069BB"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Life sciences (laboratories)</w:t>
            </w:r>
          </w:p>
        </w:tc>
        <w:tc>
          <w:tcPr>
            <w:tcW w:w="8040" w:type="dxa"/>
            <w:tcBorders>
              <w:top w:val="single" w:sz="4" w:space="0" w:color="000000"/>
              <w:left w:val="single" w:sz="8" w:space="0" w:color="0070C0"/>
              <w:bottom w:val="single" w:sz="4" w:space="0" w:color="000000"/>
              <w:right w:val="single" w:sz="12" w:space="0" w:color="auto"/>
            </w:tcBorders>
            <w:shd w:val="clear" w:color="auto" w:fill="auto"/>
            <w:vAlign w:val="center"/>
          </w:tcPr>
          <w:p w14:paraId="26B841FD" w14:textId="36A782C9" w:rsidR="00B741C4" w:rsidRPr="00FA1897" w:rsidRDefault="007069BB" w:rsidP="00B741C4">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Faster R&amp;D and production of more drugs, new emerging US markets</w:t>
            </w:r>
          </w:p>
        </w:tc>
      </w:tr>
      <w:tr w:rsidR="00B741C4" w:rsidRPr="00FA1897" w14:paraId="4FBECEC5" w14:textId="77777777" w:rsidTr="00B741C4">
        <w:tblPrEx>
          <w:tblBorders>
            <w:top w:val="none" w:sz="0" w:space="0" w:color="auto"/>
          </w:tblBorders>
        </w:tblPrEx>
        <w:trPr>
          <w:trHeight w:val="249"/>
          <w:jc w:val="center"/>
        </w:trPr>
        <w:tc>
          <w:tcPr>
            <w:tcW w:w="3555" w:type="dxa"/>
            <w:tcBorders>
              <w:top w:val="single" w:sz="4" w:space="0" w:color="000000"/>
              <w:left w:val="single" w:sz="12" w:space="0" w:color="000000"/>
              <w:bottom w:val="single" w:sz="12" w:space="0" w:color="000000"/>
              <w:right w:val="single" w:sz="18" w:space="0" w:color="0070C0"/>
            </w:tcBorders>
            <w:shd w:val="clear" w:color="auto" w:fill="auto"/>
            <w:vAlign w:val="center"/>
          </w:tcPr>
          <w:p w14:paraId="6E29D17D" w14:textId="651E39FC" w:rsidR="00B741C4" w:rsidRPr="00FA1897" w:rsidRDefault="00593AA0"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Infrastructure</w:t>
            </w:r>
          </w:p>
        </w:tc>
        <w:tc>
          <w:tcPr>
            <w:tcW w:w="8040" w:type="dxa"/>
            <w:tcBorders>
              <w:top w:val="single" w:sz="4" w:space="0" w:color="000000"/>
              <w:left w:val="single" w:sz="8" w:space="0" w:color="0070C0"/>
              <w:bottom w:val="single" w:sz="12" w:space="0" w:color="000000"/>
              <w:right w:val="single" w:sz="12" w:space="0" w:color="auto"/>
            </w:tcBorders>
            <w:shd w:val="clear" w:color="auto" w:fill="auto"/>
            <w:vAlign w:val="center"/>
          </w:tcPr>
          <w:p w14:paraId="7414744E" w14:textId="113B4495" w:rsidR="00B741C4" w:rsidRPr="00FA1897" w:rsidRDefault="00593AA0" w:rsidP="00B741C4">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First distribution of funds to states from federal infrastructure bill</w:t>
            </w:r>
          </w:p>
        </w:tc>
      </w:tr>
    </w:tbl>
    <w:p w14:paraId="67104D55" w14:textId="79BAF187" w:rsidR="000D2765" w:rsidRDefault="00BB2EF2" w:rsidP="00910959">
      <w:pPr>
        <w:spacing w:after="0" w:line="240" w:lineRule="auto"/>
        <w:ind w:hanging="1080"/>
        <w:contextualSpacing/>
        <w:mirrorIndents/>
        <w:rPr>
          <w:rFonts w:ascii="Verdana" w:hAnsi="Verdana"/>
          <w:sz w:val="20"/>
          <w:szCs w:val="20"/>
        </w:rPr>
      </w:pPr>
      <w:r>
        <w:rPr>
          <w:rFonts w:ascii="Verdana" w:hAnsi="Verdana"/>
          <w:sz w:val="16"/>
          <w:szCs w:val="16"/>
        </w:rPr>
        <w:t>Construction Dive</w:t>
      </w:r>
      <w:r w:rsidR="00B741C4" w:rsidRPr="00FA1897">
        <w:rPr>
          <w:rFonts w:ascii="Verdana" w:hAnsi="Verdana"/>
          <w:sz w:val="16"/>
          <w:szCs w:val="16"/>
        </w:rPr>
        <w:t xml:space="preserve">, </w:t>
      </w:r>
      <w:r>
        <w:rPr>
          <w:rFonts w:ascii="Verdana" w:hAnsi="Verdana"/>
          <w:sz w:val="16"/>
          <w:szCs w:val="16"/>
        </w:rPr>
        <w:t xml:space="preserve">January </w:t>
      </w:r>
      <w:r w:rsidR="00B741C4" w:rsidRPr="00FA1897">
        <w:rPr>
          <w:rFonts w:ascii="Verdana" w:hAnsi="Verdana"/>
          <w:sz w:val="16"/>
          <w:szCs w:val="16"/>
        </w:rPr>
        <w:t>202</w:t>
      </w:r>
      <w:r>
        <w:rPr>
          <w:rFonts w:ascii="Verdana" w:hAnsi="Verdana"/>
          <w:sz w:val="16"/>
          <w:szCs w:val="16"/>
        </w:rPr>
        <w:t>2</w:t>
      </w:r>
      <w:r w:rsidR="000D2765">
        <w:rPr>
          <w:rFonts w:ascii="Verdana" w:hAnsi="Verdana"/>
          <w:sz w:val="20"/>
          <w:szCs w:val="20"/>
        </w:rPr>
        <w:t xml:space="preserve"> </w:t>
      </w:r>
    </w:p>
    <w:p w14:paraId="0028B47A" w14:textId="77777777" w:rsidR="004B0652" w:rsidRDefault="004B0652" w:rsidP="004B0652">
      <w:pPr>
        <w:spacing w:after="0" w:line="240" w:lineRule="auto"/>
        <w:contextualSpacing/>
        <w:mirrorIndents/>
        <w:rPr>
          <w:rFonts w:ascii="Verdana" w:hAnsi="Verdana"/>
          <w:sz w:val="20"/>
          <w:szCs w:val="20"/>
        </w:rPr>
      </w:pPr>
    </w:p>
    <w:p w14:paraId="51DCADA3" w14:textId="528A09E1" w:rsidR="004B0652" w:rsidRPr="00EC1978" w:rsidRDefault="00EC1978" w:rsidP="00EC1978">
      <w:pPr>
        <w:spacing w:after="0" w:line="240" w:lineRule="auto"/>
        <w:contextualSpacing/>
        <w:mirrorIndents/>
        <w:jc w:val="center"/>
        <w:rPr>
          <w:rFonts w:ascii="Verdana" w:hAnsi="Verdana"/>
          <w:b/>
          <w:bCs/>
          <w:color w:val="0070C0"/>
          <w:sz w:val="20"/>
          <w:szCs w:val="20"/>
        </w:rPr>
      </w:pPr>
      <w:r w:rsidRPr="00EC1978">
        <w:rPr>
          <w:rFonts w:ascii="Verdana" w:hAnsi="Verdana"/>
          <w:b/>
          <w:bCs/>
          <w:color w:val="0070C0"/>
          <w:sz w:val="20"/>
          <w:szCs w:val="20"/>
        </w:rPr>
        <w:t xml:space="preserve">Labor and </w:t>
      </w:r>
      <w:r w:rsidR="004B0652" w:rsidRPr="00EC1978">
        <w:rPr>
          <w:rFonts w:ascii="Verdana" w:hAnsi="Verdana"/>
          <w:b/>
          <w:bCs/>
          <w:color w:val="0070C0"/>
          <w:sz w:val="20"/>
          <w:szCs w:val="20"/>
        </w:rPr>
        <w:t>Building Materials</w:t>
      </w:r>
      <w:r>
        <w:rPr>
          <w:rFonts w:ascii="Verdana" w:hAnsi="Verdana"/>
          <w:b/>
          <w:bCs/>
          <w:color w:val="0070C0"/>
          <w:sz w:val="20"/>
          <w:szCs w:val="20"/>
        </w:rPr>
        <w:t xml:space="preserve"> Issues</w:t>
      </w:r>
    </w:p>
    <w:p w14:paraId="19FE224E" w14:textId="77777777" w:rsidR="004B0652" w:rsidRPr="004B0652" w:rsidRDefault="004B0652" w:rsidP="004B0652">
      <w:pPr>
        <w:spacing w:after="0" w:line="240" w:lineRule="auto"/>
        <w:contextualSpacing/>
        <w:mirrorIndents/>
        <w:rPr>
          <w:rFonts w:ascii="Verdana" w:hAnsi="Verdana"/>
          <w:sz w:val="20"/>
          <w:szCs w:val="20"/>
        </w:rPr>
      </w:pPr>
    </w:p>
    <w:p w14:paraId="05B0C209" w14:textId="64FA225C" w:rsidR="00EC1978" w:rsidRDefault="00EC1978" w:rsidP="004B0652">
      <w:pPr>
        <w:spacing w:after="0" w:line="240" w:lineRule="auto"/>
        <w:contextualSpacing/>
        <w:mirrorIndents/>
        <w:rPr>
          <w:rFonts w:ascii="Verdana" w:hAnsi="Verdana"/>
          <w:sz w:val="20"/>
          <w:szCs w:val="20"/>
        </w:rPr>
      </w:pPr>
      <w:r>
        <w:rPr>
          <w:rFonts w:ascii="Verdana" w:hAnsi="Verdana"/>
          <w:sz w:val="20"/>
          <w:szCs w:val="20"/>
        </w:rPr>
        <w:t>According to the US Bureau</w:t>
      </w:r>
      <w:r w:rsidR="00BB2EF2">
        <w:rPr>
          <w:rFonts w:ascii="Verdana" w:hAnsi="Verdana"/>
          <w:sz w:val="20"/>
          <w:szCs w:val="20"/>
        </w:rPr>
        <w:t xml:space="preserve"> of Labor Statistics</w:t>
      </w:r>
      <w:r>
        <w:rPr>
          <w:rFonts w:ascii="Verdana" w:hAnsi="Verdana"/>
          <w:sz w:val="20"/>
          <w:szCs w:val="20"/>
        </w:rPr>
        <w:t xml:space="preserve">, </w:t>
      </w:r>
      <w:r w:rsidR="00775309">
        <w:rPr>
          <w:rFonts w:ascii="Verdana" w:hAnsi="Verdana"/>
          <w:sz w:val="20"/>
          <w:szCs w:val="20"/>
        </w:rPr>
        <w:t xml:space="preserve">February 2022 </w:t>
      </w:r>
      <w:r w:rsidR="00EF37F2">
        <w:rPr>
          <w:rFonts w:ascii="Verdana" w:hAnsi="Verdana"/>
          <w:sz w:val="20"/>
          <w:szCs w:val="20"/>
        </w:rPr>
        <w:t xml:space="preserve">construction </w:t>
      </w:r>
      <w:r>
        <w:rPr>
          <w:rFonts w:ascii="Verdana" w:hAnsi="Verdana"/>
          <w:sz w:val="20"/>
          <w:szCs w:val="20"/>
        </w:rPr>
        <w:t xml:space="preserve">jobs </w:t>
      </w:r>
      <w:r w:rsidR="00EF37F2">
        <w:rPr>
          <w:rFonts w:ascii="Verdana" w:hAnsi="Verdana"/>
          <w:sz w:val="20"/>
          <w:szCs w:val="20"/>
        </w:rPr>
        <w:t xml:space="preserve">increased </w:t>
      </w:r>
      <w:r w:rsidR="00775309">
        <w:rPr>
          <w:rFonts w:ascii="Verdana" w:hAnsi="Verdana"/>
          <w:sz w:val="20"/>
          <w:szCs w:val="20"/>
        </w:rPr>
        <w:t xml:space="preserve">by </w:t>
      </w:r>
      <w:r w:rsidR="00EF37F2">
        <w:rPr>
          <w:rFonts w:ascii="Verdana" w:hAnsi="Verdana"/>
          <w:sz w:val="20"/>
          <w:szCs w:val="20"/>
        </w:rPr>
        <w:t xml:space="preserve">19,000 </w:t>
      </w:r>
      <w:r>
        <w:rPr>
          <w:rFonts w:ascii="Verdana" w:hAnsi="Verdana"/>
          <w:sz w:val="20"/>
          <w:szCs w:val="20"/>
        </w:rPr>
        <w:t xml:space="preserve">and </w:t>
      </w:r>
      <w:r w:rsidR="00EF37F2">
        <w:rPr>
          <w:rFonts w:ascii="Verdana" w:hAnsi="Verdana"/>
          <w:sz w:val="20"/>
          <w:szCs w:val="20"/>
        </w:rPr>
        <w:t xml:space="preserve">the </w:t>
      </w:r>
      <w:r>
        <w:rPr>
          <w:rFonts w:ascii="Verdana" w:hAnsi="Verdana"/>
          <w:sz w:val="20"/>
          <w:szCs w:val="20"/>
        </w:rPr>
        <w:t xml:space="preserve">7.6 million total jobs exceeded the pre-pandemic total. </w:t>
      </w:r>
      <w:r w:rsidR="00EF37F2">
        <w:rPr>
          <w:rFonts w:ascii="Verdana" w:hAnsi="Verdana"/>
          <w:sz w:val="20"/>
          <w:szCs w:val="20"/>
        </w:rPr>
        <w:t>The AGC</w:t>
      </w:r>
      <w:r w:rsidR="00775309">
        <w:rPr>
          <w:rFonts w:ascii="Verdana" w:hAnsi="Verdana"/>
          <w:sz w:val="20"/>
          <w:szCs w:val="20"/>
        </w:rPr>
        <w:t xml:space="preserve"> </w:t>
      </w:r>
      <w:r w:rsidR="00EF37F2">
        <w:rPr>
          <w:rFonts w:ascii="Verdana" w:hAnsi="Verdana"/>
          <w:sz w:val="20"/>
          <w:szCs w:val="20"/>
        </w:rPr>
        <w:t>estimate</w:t>
      </w:r>
      <w:r w:rsidR="00775309">
        <w:rPr>
          <w:rFonts w:ascii="Verdana" w:hAnsi="Verdana"/>
          <w:sz w:val="20"/>
          <w:szCs w:val="20"/>
        </w:rPr>
        <w:t>d the</w:t>
      </w:r>
      <w:r w:rsidR="00EF37F2">
        <w:rPr>
          <w:rFonts w:ascii="Verdana" w:hAnsi="Verdana"/>
          <w:sz w:val="20"/>
          <w:szCs w:val="20"/>
        </w:rPr>
        <w:t xml:space="preserve"> 364,000 job openings at the end of February</w:t>
      </w:r>
      <w:r w:rsidR="00775309">
        <w:rPr>
          <w:rFonts w:ascii="Verdana" w:hAnsi="Verdana"/>
          <w:sz w:val="20"/>
          <w:szCs w:val="20"/>
        </w:rPr>
        <w:t xml:space="preserve"> were</w:t>
      </w:r>
      <w:r w:rsidR="00EF37F2">
        <w:rPr>
          <w:rFonts w:ascii="Verdana" w:hAnsi="Verdana"/>
          <w:sz w:val="20"/>
          <w:szCs w:val="20"/>
        </w:rPr>
        <w:t xml:space="preserve"> the most for any February. </w:t>
      </w:r>
    </w:p>
    <w:p w14:paraId="3AC336E9" w14:textId="77777777" w:rsidR="00EC1978" w:rsidRDefault="00EC1978" w:rsidP="004B0652">
      <w:pPr>
        <w:spacing w:after="0" w:line="240" w:lineRule="auto"/>
        <w:contextualSpacing/>
        <w:mirrorIndents/>
        <w:rPr>
          <w:rFonts w:ascii="Verdana" w:hAnsi="Verdana"/>
          <w:sz w:val="20"/>
          <w:szCs w:val="20"/>
        </w:rPr>
      </w:pPr>
    </w:p>
    <w:p w14:paraId="1FF9D21B" w14:textId="36FF0F80" w:rsidR="00EC1978" w:rsidRDefault="00EF37F2" w:rsidP="004B0652">
      <w:pPr>
        <w:spacing w:after="0" w:line="240" w:lineRule="auto"/>
        <w:contextualSpacing/>
        <w:mirrorIndents/>
        <w:rPr>
          <w:rFonts w:ascii="Verdana" w:hAnsi="Verdana"/>
          <w:sz w:val="20"/>
          <w:szCs w:val="20"/>
        </w:rPr>
      </w:pPr>
      <w:r>
        <w:rPr>
          <w:rFonts w:ascii="Verdana" w:hAnsi="Verdana"/>
          <w:sz w:val="20"/>
          <w:szCs w:val="20"/>
        </w:rPr>
        <w:t xml:space="preserve">The Farnsworth Group, in its 2022 Builder Products Customer Guide, reported </w:t>
      </w:r>
      <w:r w:rsidR="00AD2911">
        <w:rPr>
          <w:rFonts w:ascii="Verdana" w:hAnsi="Verdana"/>
          <w:sz w:val="20"/>
          <w:szCs w:val="20"/>
        </w:rPr>
        <w:t>30% of surveyed builders said product or materials costs were much more expensive and 43% stated they were somewhat more expensive.</w:t>
      </w:r>
    </w:p>
    <w:p w14:paraId="7202774A" w14:textId="63A75142" w:rsidR="00AD2911" w:rsidRDefault="00AD2911" w:rsidP="004B0652">
      <w:pPr>
        <w:spacing w:after="0" w:line="240" w:lineRule="auto"/>
        <w:contextualSpacing/>
        <w:mirrorIndents/>
        <w:rPr>
          <w:rFonts w:ascii="Verdana" w:hAnsi="Verdana"/>
          <w:sz w:val="20"/>
          <w:szCs w:val="20"/>
        </w:rPr>
      </w:pPr>
    </w:p>
    <w:p w14:paraId="24E54917" w14:textId="6F2AB5CE" w:rsidR="00AD2911" w:rsidRDefault="00AD2911" w:rsidP="004B0652">
      <w:pPr>
        <w:spacing w:after="0" w:line="240" w:lineRule="auto"/>
        <w:contextualSpacing/>
        <w:mirrorIndents/>
        <w:rPr>
          <w:rFonts w:ascii="Verdana" w:hAnsi="Verdana"/>
          <w:sz w:val="20"/>
          <w:szCs w:val="20"/>
        </w:rPr>
      </w:pPr>
      <w:r>
        <w:rPr>
          <w:rFonts w:ascii="Verdana" w:hAnsi="Verdana"/>
          <w:sz w:val="20"/>
          <w:szCs w:val="20"/>
        </w:rPr>
        <w:t>Not only are products and materials’ costs increasing, but also availability is a challenge. 11% of builders said this was a very frequent issue and 27% frequently. Most of the surveyed builders (38%) waited for deliveries, causing project delays.</w:t>
      </w:r>
    </w:p>
    <w:p w14:paraId="548D9912" w14:textId="57361D7B" w:rsidR="00AD2911" w:rsidRDefault="00AD2911" w:rsidP="004B0652">
      <w:pPr>
        <w:spacing w:after="0" w:line="240" w:lineRule="auto"/>
        <w:contextualSpacing/>
        <w:mirrorIndents/>
        <w:rPr>
          <w:rFonts w:ascii="Verdana" w:hAnsi="Verdana"/>
          <w:sz w:val="20"/>
          <w:szCs w:val="20"/>
        </w:rPr>
      </w:pPr>
    </w:p>
    <w:p w14:paraId="1661BCA4" w14:textId="33867500" w:rsidR="00910959" w:rsidRPr="00412C44" w:rsidRDefault="00910959" w:rsidP="00910959">
      <w:pPr>
        <w:pStyle w:val="Header"/>
        <w:jc w:val="center"/>
        <w:rPr>
          <w:b/>
          <w:sz w:val="20"/>
          <w:szCs w:val="20"/>
        </w:rPr>
      </w:pPr>
      <w:r>
        <w:rPr>
          <w:b/>
          <w:sz w:val="20"/>
          <w:szCs w:val="20"/>
        </w:rPr>
        <w:t>Retail Stores Where Builders Purchased Products or Materials, 2021</w:t>
      </w:r>
    </w:p>
    <w:tbl>
      <w:tblPr>
        <w:tblW w:w="11549"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4507"/>
        <w:gridCol w:w="1267"/>
        <w:gridCol w:w="4508"/>
        <w:gridCol w:w="1267"/>
      </w:tblGrid>
      <w:tr w:rsidR="00910959" w:rsidRPr="00FA1897" w14:paraId="5C1C7993" w14:textId="77777777" w:rsidTr="00BF6563">
        <w:trPr>
          <w:trHeight w:val="249"/>
          <w:jc w:val="center"/>
        </w:trPr>
        <w:tc>
          <w:tcPr>
            <w:tcW w:w="4507" w:type="dxa"/>
            <w:tcBorders>
              <w:top w:val="single" w:sz="12" w:space="0" w:color="000000"/>
              <w:left w:val="single" w:sz="12" w:space="0" w:color="000000"/>
              <w:bottom w:val="single" w:sz="18" w:space="0" w:color="C0504D" w:themeColor="accent2"/>
              <w:right w:val="single" w:sz="8" w:space="0" w:color="0070C0"/>
            </w:tcBorders>
            <w:vAlign w:val="center"/>
          </w:tcPr>
          <w:p w14:paraId="3E8E8EEF" w14:textId="15EBB05F" w:rsidR="00910959" w:rsidRPr="00FA1897" w:rsidRDefault="00910959" w:rsidP="00BF6563">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Pr>
                <w:rFonts w:ascii="Verdana" w:eastAsia="Times New Roman" w:hAnsi="Verdana"/>
                <w:sz w:val="20"/>
                <w:szCs w:val="20"/>
              </w:rPr>
              <w:t>Store</w:t>
            </w:r>
            <w:r w:rsidR="007901A3">
              <w:rPr>
                <w:rFonts w:ascii="Verdana" w:eastAsia="Times New Roman" w:hAnsi="Verdana"/>
                <w:sz w:val="20"/>
                <w:szCs w:val="20"/>
              </w:rPr>
              <w:t xml:space="preserve"> or Type</w:t>
            </w:r>
          </w:p>
        </w:tc>
        <w:tc>
          <w:tcPr>
            <w:tcW w:w="1267" w:type="dxa"/>
            <w:tcBorders>
              <w:top w:val="single" w:sz="12" w:space="0" w:color="000000"/>
              <w:left w:val="single" w:sz="8" w:space="0" w:color="0070C0"/>
              <w:bottom w:val="single" w:sz="18" w:space="0" w:color="C0504D" w:themeColor="accent2"/>
              <w:right w:val="single" w:sz="18" w:space="0" w:color="0070C0"/>
            </w:tcBorders>
            <w:vAlign w:val="center"/>
          </w:tcPr>
          <w:p w14:paraId="7E0E38DE" w14:textId="77777777" w:rsidR="00910959" w:rsidRPr="00FA1897" w:rsidRDefault="00910959" w:rsidP="00BF6563">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Pr>
                <w:rFonts w:ascii="Verdana" w:eastAsia="Times New Roman" w:hAnsi="Verdana"/>
                <w:sz w:val="20"/>
                <w:szCs w:val="20"/>
              </w:rPr>
              <w:t>Percent</w:t>
            </w:r>
          </w:p>
        </w:tc>
        <w:tc>
          <w:tcPr>
            <w:tcW w:w="4508" w:type="dxa"/>
            <w:tcBorders>
              <w:top w:val="single" w:sz="12" w:space="0" w:color="000000"/>
              <w:left w:val="single" w:sz="18" w:space="0" w:color="0070C0"/>
              <w:bottom w:val="single" w:sz="18" w:space="0" w:color="C0504D" w:themeColor="accent2"/>
              <w:right w:val="single" w:sz="8" w:space="0" w:color="0070C0"/>
            </w:tcBorders>
            <w:vAlign w:val="center"/>
          </w:tcPr>
          <w:p w14:paraId="02A898E2" w14:textId="6B78AB0A" w:rsidR="00910959" w:rsidRPr="00FA1897" w:rsidRDefault="007901A3" w:rsidP="00BF6563">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Pr>
                <w:rFonts w:ascii="Verdana" w:eastAsia="Times New Roman" w:hAnsi="Verdana"/>
                <w:sz w:val="20"/>
                <w:szCs w:val="20"/>
              </w:rPr>
              <w:t>Store or Type</w:t>
            </w:r>
          </w:p>
        </w:tc>
        <w:tc>
          <w:tcPr>
            <w:tcW w:w="1267" w:type="dxa"/>
            <w:tcBorders>
              <w:top w:val="single" w:sz="12" w:space="0" w:color="000000"/>
              <w:left w:val="single" w:sz="8" w:space="0" w:color="0070C0"/>
              <w:bottom w:val="single" w:sz="18" w:space="0" w:color="C0504D" w:themeColor="accent2"/>
              <w:right w:val="single" w:sz="12" w:space="0" w:color="auto"/>
            </w:tcBorders>
            <w:vAlign w:val="center"/>
          </w:tcPr>
          <w:p w14:paraId="18FDCFE0" w14:textId="77777777" w:rsidR="00910959" w:rsidRPr="00FA1897" w:rsidRDefault="00910959" w:rsidP="00BF6563">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Pr>
                <w:rFonts w:ascii="Verdana" w:eastAsia="Times New Roman" w:hAnsi="Verdana"/>
                <w:sz w:val="20"/>
                <w:szCs w:val="20"/>
              </w:rPr>
              <w:t>Percent</w:t>
            </w:r>
          </w:p>
        </w:tc>
      </w:tr>
      <w:tr w:rsidR="00910959" w:rsidRPr="00FA1897" w14:paraId="4FF94B07" w14:textId="77777777" w:rsidTr="007901A3">
        <w:tblPrEx>
          <w:tblBorders>
            <w:top w:val="none" w:sz="0" w:space="0" w:color="auto"/>
          </w:tblBorders>
        </w:tblPrEx>
        <w:trPr>
          <w:trHeight w:val="249"/>
          <w:jc w:val="center"/>
        </w:trPr>
        <w:tc>
          <w:tcPr>
            <w:tcW w:w="4507" w:type="dxa"/>
            <w:tcBorders>
              <w:top w:val="single" w:sz="18" w:space="0" w:color="C0504D" w:themeColor="accent2"/>
              <w:left w:val="single" w:sz="12" w:space="0" w:color="000000"/>
              <w:bottom w:val="single" w:sz="4" w:space="0" w:color="000000"/>
              <w:right w:val="single" w:sz="8" w:space="0" w:color="0070C0"/>
            </w:tcBorders>
            <w:shd w:val="clear" w:color="auto" w:fill="auto"/>
            <w:vAlign w:val="center"/>
          </w:tcPr>
          <w:p w14:paraId="4B70EBE5" w14:textId="536CF781" w:rsidR="00910959" w:rsidRPr="00FA1897" w:rsidRDefault="007901A3"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Hardware store</w:t>
            </w:r>
          </w:p>
        </w:tc>
        <w:tc>
          <w:tcPr>
            <w:tcW w:w="1267" w:type="dxa"/>
            <w:tcBorders>
              <w:top w:val="single" w:sz="18" w:space="0" w:color="C0504D" w:themeColor="accent2"/>
              <w:left w:val="single" w:sz="8" w:space="0" w:color="0070C0"/>
              <w:bottom w:val="single" w:sz="4" w:space="0" w:color="000000"/>
              <w:right w:val="single" w:sz="18" w:space="0" w:color="0070C0"/>
            </w:tcBorders>
            <w:shd w:val="clear" w:color="auto" w:fill="00B050"/>
            <w:vAlign w:val="center"/>
          </w:tcPr>
          <w:p w14:paraId="461694D2" w14:textId="15575C80" w:rsidR="00910959" w:rsidRPr="00FA1897" w:rsidRDefault="007901A3" w:rsidP="005B42D8">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60%</w:t>
            </w:r>
          </w:p>
        </w:tc>
        <w:tc>
          <w:tcPr>
            <w:tcW w:w="4508" w:type="dxa"/>
            <w:tcBorders>
              <w:top w:val="single" w:sz="18" w:space="0" w:color="C0504D" w:themeColor="accent2"/>
              <w:left w:val="single" w:sz="18" w:space="0" w:color="0070C0"/>
              <w:bottom w:val="single" w:sz="4" w:space="0" w:color="000000"/>
              <w:right w:val="single" w:sz="8" w:space="0" w:color="0070C0"/>
            </w:tcBorders>
            <w:shd w:val="clear" w:color="auto" w:fill="auto"/>
            <w:vAlign w:val="center"/>
          </w:tcPr>
          <w:p w14:paraId="6B5813F4" w14:textId="41562474" w:rsidR="00910959" w:rsidRPr="00FA1897" w:rsidRDefault="007901A3"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Mass retailer</w:t>
            </w:r>
          </w:p>
        </w:tc>
        <w:tc>
          <w:tcPr>
            <w:tcW w:w="1267" w:type="dxa"/>
            <w:tcBorders>
              <w:top w:val="single" w:sz="18" w:space="0" w:color="C0504D" w:themeColor="accent2"/>
              <w:left w:val="single" w:sz="8" w:space="0" w:color="0070C0"/>
              <w:bottom w:val="single" w:sz="4" w:space="0" w:color="000000"/>
              <w:right w:val="single" w:sz="12" w:space="0" w:color="auto"/>
            </w:tcBorders>
            <w:shd w:val="clear" w:color="auto" w:fill="C2D69B" w:themeFill="accent3" w:themeFillTint="99"/>
            <w:vAlign w:val="center"/>
          </w:tcPr>
          <w:p w14:paraId="2D026569" w14:textId="5D37E480" w:rsidR="00910959" w:rsidRPr="00FA1897" w:rsidRDefault="007901A3" w:rsidP="005B42D8">
            <w:pPr>
              <w:widowControl w:val="0"/>
              <w:tabs>
                <w:tab w:val="left" w:pos="220"/>
                <w:tab w:val="left" w:pos="720"/>
              </w:tabs>
              <w:autoSpaceDE w:val="0"/>
              <w:autoSpaceDN w:val="0"/>
              <w:adjustRightInd w:val="0"/>
              <w:spacing w:after="0" w:line="240" w:lineRule="auto"/>
              <w:ind w:left="-113"/>
              <w:jc w:val="right"/>
              <w:rPr>
                <w:rFonts w:ascii="Verdana" w:eastAsia="Times New Roman" w:hAnsi="Verdana"/>
                <w:sz w:val="20"/>
                <w:szCs w:val="20"/>
              </w:rPr>
            </w:pPr>
            <w:r>
              <w:rPr>
                <w:rFonts w:ascii="Verdana" w:eastAsia="Times New Roman" w:hAnsi="Verdana"/>
                <w:sz w:val="20"/>
                <w:szCs w:val="20"/>
              </w:rPr>
              <w:t>51%</w:t>
            </w:r>
          </w:p>
        </w:tc>
      </w:tr>
      <w:tr w:rsidR="007901A3" w:rsidRPr="00FA1897" w14:paraId="5A03B2BB" w14:textId="77777777" w:rsidTr="007901A3">
        <w:tblPrEx>
          <w:tblBorders>
            <w:top w:val="none" w:sz="0" w:space="0" w:color="auto"/>
          </w:tblBorders>
        </w:tblPrEx>
        <w:trPr>
          <w:trHeight w:val="249"/>
          <w:jc w:val="center"/>
        </w:trPr>
        <w:tc>
          <w:tcPr>
            <w:tcW w:w="4507" w:type="dxa"/>
            <w:tcBorders>
              <w:top w:val="single" w:sz="4" w:space="0" w:color="000000"/>
              <w:left w:val="single" w:sz="12" w:space="0" w:color="000000"/>
              <w:bottom w:val="single" w:sz="4" w:space="0" w:color="000000"/>
              <w:right w:val="single" w:sz="8" w:space="0" w:color="0070C0"/>
            </w:tcBorders>
            <w:shd w:val="clear" w:color="auto" w:fill="auto"/>
            <w:vAlign w:val="center"/>
          </w:tcPr>
          <w:p w14:paraId="2C243F32" w14:textId="79B3B511" w:rsidR="007901A3" w:rsidRPr="00FA1897" w:rsidRDefault="007901A3" w:rsidP="007901A3">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Lowes</w:t>
            </w:r>
          </w:p>
        </w:tc>
        <w:tc>
          <w:tcPr>
            <w:tcW w:w="1267" w:type="dxa"/>
            <w:tcBorders>
              <w:top w:val="single" w:sz="4" w:space="0" w:color="000000"/>
              <w:left w:val="single" w:sz="8" w:space="0" w:color="0070C0"/>
              <w:bottom w:val="single" w:sz="4" w:space="0" w:color="000000"/>
              <w:right w:val="single" w:sz="18" w:space="0" w:color="0070C0"/>
            </w:tcBorders>
            <w:shd w:val="clear" w:color="auto" w:fill="C2D69B" w:themeFill="accent3" w:themeFillTint="99"/>
            <w:vAlign w:val="center"/>
          </w:tcPr>
          <w:p w14:paraId="05993E01" w14:textId="7E36473B" w:rsidR="007901A3" w:rsidRPr="00FA1897" w:rsidRDefault="007901A3" w:rsidP="007901A3">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58%</w:t>
            </w:r>
          </w:p>
        </w:tc>
        <w:tc>
          <w:tcPr>
            <w:tcW w:w="4508"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62EC61DC" w14:textId="3763A016" w:rsidR="007901A3" w:rsidRPr="00FA1897" w:rsidRDefault="007901A3" w:rsidP="007901A3">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Building materials distributors/lumberyard</w:t>
            </w:r>
          </w:p>
        </w:tc>
        <w:tc>
          <w:tcPr>
            <w:tcW w:w="1267" w:type="dxa"/>
            <w:tcBorders>
              <w:top w:val="single" w:sz="4" w:space="0" w:color="000000"/>
              <w:left w:val="single" w:sz="8" w:space="0" w:color="0070C0"/>
              <w:bottom w:val="single" w:sz="4" w:space="0" w:color="000000"/>
              <w:right w:val="single" w:sz="12" w:space="0" w:color="auto"/>
            </w:tcBorders>
            <w:shd w:val="clear" w:color="auto" w:fill="C2D69B" w:themeFill="accent3" w:themeFillTint="99"/>
            <w:vAlign w:val="center"/>
          </w:tcPr>
          <w:p w14:paraId="2173294A" w14:textId="7B26E0F4" w:rsidR="007901A3" w:rsidRPr="00FA1897" w:rsidRDefault="007901A3" w:rsidP="007901A3">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50%</w:t>
            </w:r>
          </w:p>
        </w:tc>
      </w:tr>
      <w:tr w:rsidR="007901A3" w:rsidRPr="00FA1897" w14:paraId="2E0E9FF8" w14:textId="77777777" w:rsidTr="007901A3">
        <w:tblPrEx>
          <w:tblBorders>
            <w:top w:val="none" w:sz="0" w:space="0" w:color="auto"/>
          </w:tblBorders>
        </w:tblPrEx>
        <w:trPr>
          <w:trHeight w:val="249"/>
          <w:jc w:val="center"/>
        </w:trPr>
        <w:tc>
          <w:tcPr>
            <w:tcW w:w="4507" w:type="dxa"/>
            <w:tcBorders>
              <w:top w:val="single" w:sz="4" w:space="0" w:color="000000"/>
              <w:left w:val="single" w:sz="12" w:space="0" w:color="000000"/>
              <w:bottom w:val="single" w:sz="4" w:space="0" w:color="000000"/>
              <w:right w:val="single" w:sz="8" w:space="0" w:color="0070C0"/>
            </w:tcBorders>
            <w:shd w:val="clear" w:color="auto" w:fill="auto"/>
            <w:vAlign w:val="center"/>
          </w:tcPr>
          <w:p w14:paraId="5AEC8846" w14:textId="661F674F" w:rsidR="007901A3" w:rsidRPr="00FA1897" w:rsidRDefault="007901A3" w:rsidP="007901A3">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Home Depot</w:t>
            </w:r>
          </w:p>
        </w:tc>
        <w:tc>
          <w:tcPr>
            <w:tcW w:w="1267" w:type="dxa"/>
            <w:tcBorders>
              <w:top w:val="single" w:sz="4" w:space="0" w:color="000000"/>
              <w:left w:val="single" w:sz="8" w:space="0" w:color="0070C0"/>
              <w:bottom w:val="single" w:sz="4" w:space="0" w:color="000000"/>
              <w:right w:val="single" w:sz="18" w:space="0" w:color="0070C0"/>
            </w:tcBorders>
            <w:shd w:val="clear" w:color="auto" w:fill="C2D69B" w:themeFill="accent3" w:themeFillTint="99"/>
            <w:vAlign w:val="center"/>
          </w:tcPr>
          <w:p w14:paraId="3F34C530" w14:textId="5DCB34CA" w:rsidR="007901A3" w:rsidRPr="00FA1897" w:rsidRDefault="007901A3" w:rsidP="007901A3">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57%</w:t>
            </w:r>
          </w:p>
        </w:tc>
        <w:tc>
          <w:tcPr>
            <w:tcW w:w="4508"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667DA185" w14:textId="70EACDA5" w:rsidR="007901A3" w:rsidRPr="00FA1897" w:rsidRDefault="007901A3" w:rsidP="007901A3">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Menards</w:t>
            </w:r>
          </w:p>
        </w:tc>
        <w:tc>
          <w:tcPr>
            <w:tcW w:w="1267" w:type="dxa"/>
            <w:tcBorders>
              <w:top w:val="single" w:sz="4" w:space="0" w:color="000000"/>
              <w:left w:val="single" w:sz="8" w:space="0" w:color="0070C0"/>
              <w:bottom w:val="single" w:sz="4" w:space="0" w:color="000000"/>
              <w:right w:val="single" w:sz="12" w:space="0" w:color="auto"/>
            </w:tcBorders>
            <w:shd w:val="clear" w:color="auto" w:fill="D6E3BC" w:themeFill="accent3" w:themeFillTint="66"/>
            <w:vAlign w:val="center"/>
          </w:tcPr>
          <w:p w14:paraId="7CAA5869" w14:textId="723D717E" w:rsidR="007901A3" w:rsidRPr="00FA1897" w:rsidRDefault="007901A3" w:rsidP="007901A3">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45%</w:t>
            </w:r>
          </w:p>
        </w:tc>
      </w:tr>
      <w:tr w:rsidR="007901A3" w:rsidRPr="00FA1897" w14:paraId="18548097" w14:textId="77777777" w:rsidTr="007901A3">
        <w:tblPrEx>
          <w:tblBorders>
            <w:top w:val="none" w:sz="0" w:space="0" w:color="auto"/>
          </w:tblBorders>
        </w:tblPrEx>
        <w:trPr>
          <w:trHeight w:val="249"/>
          <w:jc w:val="center"/>
        </w:trPr>
        <w:tc>
          <w:tcPr>
            <w:tcW w:w="4507" w:type="dxa"/>
            <w:tcBorders>
              <w:top w:val="single" w:sz="4" w:space="0" w:color="000000"/>
              <w:left w:val="single" w:sz="12" w:space="0" w:color="000000"/>
              <w:bottom w:val="single" w:sz="12" w:space="0" w:color="000000"/>
              <w:right w:val="single" w:sz="8" w:space="0" w:color="0070C0"/>
            </w:tcBorders>
            <w:shd w:val="clear" w:color="auto" w:fill="auto"/>
            <w:vAlign w:val="center"/>
          </w:tcPr>
          <w:p w14:paraId="021BAF42" w14:textId="3DA8D701" w:rsidR="007901A3" w:rsidRPr="00FA1897" w:rsidRDefault="007901A3" w:rsidP="007901A3">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Farm and ranch</w:t>
            </w:r>
          </w:p>
        </w:tc>
        <w:tc>
          <w:tcPr>
            <w:tcW w:w="1267" w:type="dxa"/>
            <w:tcBorders>
              <w:top w:val="single" w:sz="4" w:space="0" w:color="000000"/>
              <w:left w:val="single" w:sz="8" w:space="0" w:color="0070C0"/>
              <w:bottom w:val="single" w:sz="12" w:space="0" w:color="000000"/>
              <w:right w:val="single" w:sz="18" w:space="0" w:color="0070C0"/>
            </w:tcBorders>
            <w:shd w:val="clear" w:color="auto" w:fill="C2D69B" w:themeFill="accent3" w:themeFillTint="99"/>
            <w:vAlign w:val="center"/>
          </w:tcPr>
          <w:p w14:paraId="7B1F395C" w14:textId="43DBB5F1" w:rsidR="007901A3" w:rsidRPr="00FA1897" w:rsidRDefault="007901A3" w:rsidP="007901A3">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53%</w:t>
            </w:r>
          </w:p>
        </w:tc>
        <w:tc>
          <w:tcPr>
            <w:tcW w:w="4508" w:type="dxa"/>
            <w:tcBorders>
              <w:top w:val="single" w:sz="4" w:space="0" w:color="000000"/>
              <w:left w:val="single" w:sz="18" w:space="0" w:color="0070C0"/>
              <w:bottom w:val="single" w:sz="12" w:space="0" w:color="000000"/>
              <w:right w:val="single" w:sz="8" w:space="0" w:color="0070C0"/>
            </w:tcBorders>
            <w:shd w:val="clear" w:color="auto" w:fill="auto"/>
            <w:vAlign w:val="center"/>
          </w:tcPr>
          <w:p w14:paraId="77E87C13" w14:textId="333E6F3B" w:rsidR="007901A3" w:rsidRPr="00FA1897" w:rsidRDefault="007901A3" w:rsidP="007901A3">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Product-specific supplier</w:t>
            </w:r>
          </w:p>
        </w:tc>
        <w:tc>
          <w:tcPr>
            <w:tcW w:w="1267" w:type="dxa"/>
            <w:tcBorders>
              <w:top w:val="single" w:sz="4" w:space="0" w:color="000000"/>
              <w:left w:val="single" w:sz="8" w:space="0" w:color="0070C0"/>
              <w:bottom w:val="single" w:sz="12" w:space="0" w:color="000000"/>
              <w:right w:val="single" w:sz="12" w:space="0" w:color="auto"/>
            </w:tcBorders>
            <w:shd w:val="clear" w:color="auto" w:fill="D6E3BC" w:themeFill="accent3" w:themeFillTint="66"/>
            <w:vAlign w:val="center"/>
          </w:tcPr>
          <w:p w14:paraId="2CECED33" w14:textId="186EF426" w:rsidR="007901A3" w:rsidRPr="00FA1897" w:rsidRDefault="007901A3" w:rsidP="007901A3">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42%</w:t>
            </w:r>
          </w:p>
        </w:tc>
      </w:tr>
    </w:tbl>
    <w:p w14:paraId="7CD5EA22" w14:textId="0C5DC449" w:rsidR="00910959" w:rsidRDefault="007901A3" w:rsidP="007901A3">
      <w:pPr>
        <w:spacing w:after="0" w:line="240" w:lineRule="auto"/>
        <w:ind w:hanging="1080"/>
        <w:contextualSpacing/>
        <w:mirrorIndents/>
        <w:rPr>
          <w:rFonts w:ascii="Verdana" w:hAnsi="Verdana"/>
          <w:sz w:val="20"/>
          <w:szCs w:val="20"/>
        </w:rPr>
      </w:pPr>
      <w:r>
        <w:rPr>
          <w:rFonts w:ascii="Verdana" w:hAnsi="Verdana"/>
          <w:sz w:val="16"/>
          <w:szCs w:val="16"/>
        </w:rPr>
        <w:t>The Farnsworth Group</w:t>
      </w:r>
      <w:r w:rsidR="00910959">
        <w:rPr>
          <w:rFonts w:ascii="Verdana" w:hAnsi="Verdana"/>
          <w:sz w:val="16"/>
          <w:szCs w:val="16"/>
        </w:rPr>
        <w:t>,</w:t>
      </w:r>
      <w:r w:rsidR="00910959" w:rsidRPr="00FA1897">
        <w:rPr>
          <w:rFonts w:ascii="Verdana" w:hAnsi="Verdana"/>
          <w:sz w:val="16"/>
          <w:szCs w:val="16"/>
        </w:rPr>
        <w:t xml:space="preserve"> </w:t>
      </w:r>
      <w:r>
        <w:rPr>
          <w:rFonts w:ascii="Verdana" w:hAnsi="Verdana"/>
          <w:sz w:val="16"/>
          <w:szCs w:val="16"/>
        </w:rPr>
        <w:t>December 2021</w:t>
      </w:r>
    </w:p>
    <w:p w14:paraId="5215DEA2" w14:textId="77777777" w:rsidR="00AD2911" w:rsidRDefault="00AD2911" w:rsidP="004B0652">
      <w:pPr>
        <w:spacing w:after="0" w:line="240" w:lineRule="auto"/>
        <w:contextualSpacing/>
        <w:mirrorIndents/>
        <w:rPr>
          <w:rFonts w:ascii="Verdana" w:hAnsi="Verdana"/>
          <w:sz w:val="20"/>
          <w:szCs w:val="20"/>
        </w:rPr>
      </w:pPr>
    </w:p>
    <w:p w14:paraId="2A9C4ECF" w14:textId="77777777" w:rsidR="00EC1978" w:rsidRDefault="00EC1978" w:rsidP="004B0652">
      <w:pPr>
        <w:spacing w:after="0" w:line="240" w:lineRule="auto"/>
        <w:contextualSpacing/>
        <w:mirrorIndents/>
        <w:rPr>
          <w:rFonts w:ascii="Verdana" w:hAnsi="Verdana"/>
          <w:sz w:val="20"/>
          <w:szCs w:val="20"/>
        </w:rPr>
      </w:pPr>
    </w:p>
    <w:p w14:paraId="1856A85F" w14:textId="77777777" w:rsidR="00BB2EF2" w:rsidRDefault="00BB2EF2" w:rsidP="004B0652">
      <w:pPr>
        <w:spacing w:after="0" w:line="240" w:lineRule="auto"/>
        <w:contextualSpacing/>
        <w:mirrorIndents/>
        <w:rPr>
          <w:rFonts w:ascii="Verdana" w:hAnsi="Verdana"/>
          <w:sz w:val="20"/>
          <w:szCs w:val="20"/>
        </w:rPr>
      </w:pPr>
    </w:p>
    <w:p w14:paraId="4576C6E1" w14:textId="2F056A4C" w:rsidR="004B0652" w:rsidRPr="00BB2EF2" w:rsidRDefault="004B0652" w:rsidP="00BB2EF2">
      <w:pPr>
        <w:spacing w:after="0" w:line="240" w:lineRule="auto"/>
        <w:contextualSpacing/>
        <w:mirrorIndents/>
        <w:jc w:val="center"/>
        <w:rPr>
          <w:rFonts w:ascii="Verdana" w:hAnsi="Verdana"/>
          <w:b/>
          <w:bCs/>
          <w:color w:val="0070C0"/>
          <w:sz w:val="20"/>
          <w:szCs w:val="20"/>
        </w:rPr>
      </w:pPr>
      <w:r w:rsidRPr="00BB2EF2">
        <w:rPr>
          <w:rFonts w:ascii="Verdana" w:hAnsi="Verdana"/>
          <w:b/>
          <w:bCs/>
          <w:color w:val="0070C0"/>
          <w:sz w:val="20"/>
          <w:szCs w:val="20"/>
        </w:rPr>
        <w:lastRenderedPageBreak/>
        <w:t xml:space="preserve">Housing Sector </w:t>
      </w:r>
      <w:r w:rsidR="00FA158E">
        <w:rPr>
          <w:rFonts w:ascii="Verdana" w:hAnsi="Verdana"/>
          <w:b/>
          <w:bCs/>
          <w:color w:val="0070C0"/>
          <w:sz w:val="20"/>
          <w:szCs w:val="20"/>
        </w:rPr>
        <w:t>Demand Will Drive More Construction</w:t>
      </w:r>
    </w:p>
    <w:p w14:paraId="78B87695" w14:textId="77777777" w:rsidR="004B0652" w:rsidRPr="004B0652" w:rsidRDefault="004B0652" w:rsidP="004B0652">
      <w:pPr>
        <w:spacing w:after="0" w:line="240" w:lineRule="auto"/>
        <w:contextualSpacing/>
        <w:mirrorIndents/>
        <w:rPr>
          <w:rFonts w:ascii="Verdana" w:hAnsi="Verdana"/>
          <w:sz w:val="20"/>
          <w:szCs w:val="20"/>
        </w:rPr>
      </w:pPr>
    </w:p>
    <w:p w14:paraId="20E1FA4E" w14:textId="06AC2676" w:rsidR="00FA158E" w:rsidRPr="00997401" w:rsidRDefault="00FA158E" w:rsidP="00FA158E">
      <w:pPr>
        <w:pStyle w:val="NoSpacing"/>
        <w:contextualSpacing/>
        <w:mirrorIndents/>
        <w:rPr>
          <w:rFonts w:ascii="Verdana" w:hAnsi="Verdana"/>
          <w:sz w:val="20"/>
          <w:szCs w:val="20"/>
        </w:rPr>
      </w:pPr>
      <w:r>
        <w:rPr>
          <w:rFonts w:ascii="Verdana" w:hAnsi="Verdana"/>
          <w:sz w:val="20"/>
          <w:szCs w:val="20"/>
        </w:rPr>
        <w:t xml:space="preserve">Housing starts started 2022 with a 12.2% increase during the first two months of 2022. February 2022 privately-owned housing completions decreased 2.8% YOY on a seasonally adjusted annual rate, but single-housing completions increased 12.1% from January. </w:t>
      </w:r>
    </w:p>
    <w:p w14:paraId="627EAB75" w14:textId="77777777" w:rsidR="00BB2EF2" w:rsidRDefault="00BB2EF2" w:rsidP="004B0652">
      <w:pPr>
        <w:spacing w:after="0" w:line="240" w:lineRule="auto"/>
        <w:contextualSpacing/>
        <w:mirrorIndents/>
        <w:rPr>
          <w:rFonts w:ascii="Verdana" w:hAnsi="Verdana"/>
          <w:sz w:val="20"/>
          <w:szCs w:val="20"/>
        </w:rPr>
      </w:pPr>
    </w:p>
    <w:p w14:paraId="6AB2ACFA" w14:textId="7FD0F759" w:rsidR="00BB2EF2" w:rsidRDefault="00FA158E" w:rsidP="004B0652">
      <w:pPr>
        <w:spacing w:after="0" w:line="240" w:lineRule="auto"/>
        <w:contextualSpacing/>
        <w:mirrorIndents/>
        <w:rPr>
          <w:rFonts w:ascii="Verdana" w:hAnsi="Verdana"/>
          <w:sz w:val="20"/>
          <w:szCs w:val="20"/>
        </w:rPr>
      </w:pPr>
      <w:r>
        <w:rPr>
          <w:rFonts w:ascii="Verdana" w:hAnsi="Verdana"/>
          <w:sz w:val="20"/>
          <w:szCs w:val="20"/>
        </w:rPr>
        <w:t>FMI expects single-family residential construction spending to moderate during 2023 and 2024 with a 3% increase for both years, but spending will increase by 5% during 2025.</w:t>
      </w:r>
    </w:p>
    <w:p w14:paraId="643A727B" w14:textId="3146C7BB" w:rsidR="0012786F" w:rsidRDefault="0012786F" w:rsidP="004B0652">
      <w:pPr>
        <w:spacing w:after="0" w:line="240" w:lineRule="auto"/>
        <w:contextualSpacing/>
        <w:mirrorIndents/>
        <w:rPr>
          <w:rFonts w:ascii="Verdana" w:hAnsi="Verdana"/>
          <w:sz w:val="20"/>
          <w:szCs w:val="20"/>
        </w:rPr>
      </w:pPr>
    </w:p>
    <w:p w14:paraId="03690BC2" w14:textId="01CF2B6B" w:rsidR="0012786F" w:rsidRDefault="0012786F" w:rsidP="004B0652">
      <w:pPr>
        <w:spacing w:after="0" w:line="240" w:lineRule="auto"/>
        <w:contextualSpacing/>
        <w:mirrorIndents/>
        <w:rPr>
          <w:rFonts w:ascii="Verdana" w:hAnsi="Verdana"/>
          <w:sz w:val="20"/>
          <w:szCs w:val="20"/>
        </w:rPr>
      </w:pPr>
      <w:r>
        <w:rPr>
          <w:rFonts w:ascii="Verdana" w:hAnsi="Verdana"/>
          <w:sz w:val="20"/>
          <w:szCs w:val="20"/>
        </w:rPr>
        <w:t xml:space="preserve">Multifamily and home improvements will follow a similar pattern with good increases of 7% and 6%, respectively, for 2022, but less of an increase for 2023 and 2024 in the 3%–4% range, respectively, while 2025 will rebound with 6% and 5% increases, respectively. </w:t>
      </w:r>
    </w:p>
    <w:p w14:paraId="7BD0D02E" w14:textId="7CEA1251" w:rsidR="00BB2EF2" w:rsidRDefault="00BB2EF2" w:rsidP="004B0652">
      <w:pPr>
        <w:spacing w:after="0" w:line="240" w:lineRule="auto"/>
        <w:contextualSpacing/>
        <w:mirrorIndents/>
        <w:rPr>
          <w:rFonts w:ascii="Verdana" w:hAnsi="Verdana"/>
          <w:sz w:val="20"/>
          <w:szCs w:val="20"/>
        </w:rPr>
      </w:pPr>
    </w:p>
    <w:p w14:paraId="7F76AC10" w14:textId="4353A416" w:rsidR="00A96AE2" w:rsidRPr="00412C44" w:rsidRDefault="00A96AE2" w:rsidP="00A96AE2">
      <w:pPr>
        <w:pStyle w:val="Header"/>
        <w:jc w:val="center"/>
        <w:rPr>
          <w:b/>
          <w:sz w:val="20"/>
          <w:szCs w:val="20"/>
        </w:rPr>
      </w:pPr>
      <w:r>
        <w:rPr>
          <w:b/>
          <w:sz w:val="20"/>
          <w:szCs w:val="20"/>
        </w:rPr>
        <w:t>Housing Sectors Forecasts, 2022</w:t>
      </w:r>
      <w:r>
        <w:rPr>
          <w:rFonts w:ascii="Verdana" w:hAnsi="Verdana"/>
          <w:b/>
          <w:sz w:val="20"/>
          <w:szCs w:val="20"/>
        </w:rPr>
        <w:t>–</w:t>
      </w:r>
      <w:r>
        <w:rPr>
          <w:b/>
          <w:sz w:val="20"/>
          <w:szCs w:val="20"/>
        </w:rPr>
        <w:t>2025</w:t>
      </w:r>
    </w:p>
    <w:tbl>
      <w:tblPr>
        <w:tblW w:w="8265"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990"/>
        <w:gridCol w:w="1170"/>
        <w:gridCol w:w="1245"/>
        <w:gridCol w:w="1155"/>
        <w:gridCol w:w="1290"/>
        <w:gridCol w:w="1155"/>
        <w:gridCol w:w="1260"/>
      </w:tblGrid>
      <w:tr w:rsidR="00A96AE2" w:rsidRPr="00FA1897" w14:paraId="30A82C4B" w14:textId="77777777" w:rsidTr="00EA0874">
        <w:trPr>
          <w:trHeight w:val="249"/>
          <w:jc w:val="center"/>
        </w:trPr>
        <w:tc>
          <w:tcPr>
            <w:tcW w:w="990" w:type="dxa"/>
            <w:tcBorders>
              <w:top w:val="single" w:sz="12" w:space="0" w:color="000000"/>
              <w:left w:val="single" w:sz="12" w:space="0" w:color="000000"/>
              <w:bottom w:val="single" w:sz="12" w:space="0" w:color="C0504D" w:themeColor="accent2"/>
              <w:right w:val="single" w:sz="18" w:space="0" w:color="0070C0"/>
            </w:tcBorders>
            <w:vAlign w:val="center"/>
          </w:tcPr>
          <w:p w14:paraId="06B3D80E" w14:textId="2EEC491B" w:rsidR="00A96AE2" w:rsidRPr="00FA1897" w:rsidRDefault="00A96AE2" w:rsidP="00EA0874">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Pr>
                <w:rFonts w:ascii="Verdana" w:eastAsia="Times New Roman" w:hAnsi="Verdana"/>
                <w:sz w:val="20"/>
                <w:szCs w:val="20"/>
              </w:rPr>
              <w:t>Year</w:t>
            </w:r>
          </w:p>
        </w:tc>
        <w:tc>
          <w:tcPr>
            <w:tcW w:w="2415" w:type="dxa"/>
            <w:gridSpan w:val="2"/>
            <w:tcBorders>
              <w:top w:val="single" w:sz="12" w:space="0" w:color="000000"/>
              <w:left w:val="single" w:sz="18" w:space="0" w:color="0070C0"/>
              <w:bottom w:val="single" w:sz="12" w:space="0" w:color="C0504D" w:themeColor="accent2"/>
              <w:right w:val="single" w:sz="18" w:space="0" w:color="0070C0"/>
            </w:tcBorders>
            <w:vAlign w:val="center"/>
          </w:tcPr>
          <w:p w14:paraId="3C74367A" w14:textId="17D0E437" w:rsidR="00A96AE2" w:rsidRPr="00FA1897" w:rsidRDefault="00A96AE2" w:rsidP="00EA0874">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Pr>
                <w:rFonts w:ascii="Verdana" w:eastAsia="Times New Roman" w:hAnsi="Verdana"/>
                <w:sz w:val="20"/>
                <w:szCs w:val="20"/>
              </w:rPr>
              <w:t>Single-Family Residential</w:t>
            </w:r>
          </w:p>
        </w:tc>
        <w:tc>
          <w:tcPr>
            <w:tcW w:w="2445" w:type="dxa"/>
            <w:gridSpan w:val="2"/>
            <w:tcBorders>
              <w:top w:val="single" w:sz="12" w:space="0" w:color="000000"/>
              <w:left w:val="single" w:sz="18" w:space="0" w:color="0070C0"/>
              <w:bottom w:val="single" w:sz="12" w:space="0" w:color="C0504D" w:themeColor="accent2"/>
              <w:right w:val="single" w:sz="18" w:space="0" w:color="0070C0"/>
            </w:tcBorders>
            <w:vAlign w:val="center"/>
          </w:tcPr>
          <w:p w14:paraId="515AB24C" w14:textId="78BD5CF7" w:rsidR="00A96AE2" w:rsidRPr="00FA1897" w:rsidRDefault="00A96AE2" w:rsidP="00EA0874">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Pr>
                <w:rFonts w:ascii="Verdana" w:eastAsia="Times New Roman" w:hAnsi="Verdana"/>
                <w:sz w:val="20"/>
                <w:szCs w:val="20"/>
              </w:rPr>
              <w:t>Multifamily Residential</w:t>
            </w:r>
          </w:p>
        </w:tc>
        <w:tc>
          <w:tcPr>
            <w:tcW w:w="2415" w:type="dxa"/>
            <w:gridSpan w:val="2"/>
            <w:tcBorders>
              <w:top w:val="single" w:sz="12" w:space="0" w:color="000000"/>
              <w:left w:val="single" w:sz="18" w:space="0" w:color="0070C0"/>
              <w:bottom w:val="single" w:sz="12" w:space="0" w:color="C0504D" w:themeColor="accent2"/>
              <w:right w:val="single" w:sz="12" w:space="0" w:color="auto"/>
            </w:tcBorders>
            <w:vAlign w:val="center"/>
          </w:tcPr>
          <w:p w14:paraId="1F76EE7E" w14:textId="3EE6D322" w:rsidR="00A96AE2" w:rsidRPr="00FA1897" w:rsidRDefault="0060537E" w:rsidP="00EA0874">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Pr>
                <w:rFonts w:ascii="Verdana" w:eastAsia="Times New Roman" w:hAnsi="Verdana"/>
                <w:sz w:val="20"/>
                <w:szCs w:val="20"/>
              </w:rPr>
              <w:t>Home Improvements</w:t>
            </w:r>
          </w:p>
        </w:tc>
      </w:tr>
      <w:tr w:rsidR="0060537E" w:rsidRPr="00FA1897" w14:paraId="6EDAA0FE" w14:textId="4BF37E05" w:rsidTr="0060537E">
        <w:tblPrEx>
          <w:tblBorders>
            <w:top w:val="none" w:sz="0" w:space="0" w:color="auto"/>
          </w:tblBorders>
        </w:tblPrEx>
        <w:trPr>
          <w:trHeight w:val="249"/>
          <w:jc w:val="center"/>
        </w:trPr>
        <w:tc>
          <w:tcPr>
            <w:tcW w:w="990" w:type="dxa"/>
            <w:tcBorders>
              <w:top w:val="single" w:sz="12" w:space="0" w:color="C0504D" w:themeColor="accent2"/>
              <w:left w:val="single" w:sz="12" w:space="0" w:color="000000"/>
              <w:bottom w:val="single" w:sz="18" w:space="0" w:color="C0504D" w:themeColor="accent2"/>
              <w:right w:val="single" w:sz="18" w:space="0" w:color="0070C0"/>
            </w:tcBorders>
            <w:shd w:val="clear" w:color="auto" w:fill="auto"/>
            <w:vAlign w:val="center"/>
          </w:tcPr>
          <w:p w14:paraId="3EB80EE4" w14:textId="3CEAFE29" w:rsidR="0060537E" w:rsidRPr="00FA1897" w:rsidRDefault="0060537E" w:rsidP="0060537E">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p>
        </w:tc>
        <w:tc>
          <w:tcPr>
            <w:tcW w:w="1170" w:type="dxa"/>
            <w:tcBorders>
              <w:top w:val="single" w:sz="12" w:space="0" w:color="C0504D" w:themeColor="accent2"/>
              <w:left w:val="single" w:sz="18" w:space="0" w:color="0070C0"/>
              <w:bottom w:val="single" w:sz="18" w:space="0" w:color="C0504D" w:themeColor="accent2"/>
              <w:right w:val="single" w:sz="8" w:space="0" w:color="0070C0"/>
            </w:tcBorders>
            <w:shd w:val="clear" w:color="auto" w:fill="auto"/>
            <w:vAlign w:val="center"/>
          </w:tcPr>
          <w:p w14:paraId="36200BE8" w14:textId="1454B4D6" w:rsidR="0060537E" w:rsidRPr="00FA1897" w:rsidRDefault="0060537E" w:rsidP="0060537E">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Pr>
                <w:rFonts w:ascii="Verdana" w:eastAsia="Times New Roman" w:hAnsi="Verdana"/>
                <w:sz w:val="20"/>
                <w:szCs w:val="20"/>
              </w:rPr>
              <w:t>YOY Change</w:t>
            </w:r>
          </w:p>
        </w:tc>
        <w:tc>
          <w:tcPr>
            <w:tcW w:w="1245" w:type="dxa"/>
            <w:tcBorders>
              <w:top w:val="single" w:sz="12" w:space="0" w:color="C0504D" w:themeColor="accent2"/>
              <w:left w:val="single" w:sz="8" w:space="0" w:color="0070C0"/>
              <w:bottom w:val="single" w:sz="18" w:space="0" w:color="C0504D" w:themeColor="accent2"/>
              <w:right w:val="single" w:sz="18" w:space="0" w:color="0070C0"/>
            </w:tcBorders>
            <w:shd w:val="clear" w:color="auto" w:fill="auto"/>
            <w:vAlign w:val="center"/>
          </w:tcPr>
          <w:p w14:paraId="6AFFCE1D" w14:textId="6DE19DD1" w:rsidR="0060537E" w:rsidRPr="00FA1897" w:rsidRDefault="0060537E" w:rsidP="0060537E">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Pr>
                <w:rFonts w:ascii="Verdana" w:eastAsia="Times New Roman" w:hAnsi="Verdana"/>
                <w:sz w:val="20"/>
                <w:szCs w:val="20"/>
              </w:rPr>
              <w:t>Total Spending</w:t>
            </w:r>
          </w:p>
        </w:tc>
        <w:tc>
          <w:tcPr>
            <w:tcW w:w="1155" w:type="dxa"/>
            <w:tcBorders>
              <w:top w:val="single" w:sz="12" w:space="0" w:color="C0504D" w:themeColor="accent2"/>
              <w:left w:val="single" w:sz="18" w:space="0" w:color="0070C0"/>
              <w:bottom w:val="single" w:sz="18" w:space="0" w:color="C0504D" w:themeColor="accent2"/>
              <w:right w:val="single" w:sz="8" w:space="0" w:color="0070C0"/>
            </w:tcBorders>
            <w:shd w:val="clear" w:color="auto" w:fill="auto"/>
            <w:vAlign w:val="center"/>
          </w:tcPr>
          <w:p w14:paraId="06759D46" w14:textId="103126B0" w:rsidR="0060537E" w:rsidRPr="00FA1897" w:rsidRDefault="0060537E" w:rsidP="0060537E">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Pr>
                <w:rFonts w:ascii="Verdana" w:eastAsia="Times New Roman" w:hAnsi="Verdana"/>
                <w:sz w:val="20"/>
                <w:szCs w:val="20"/>
              </w:rPr>
              <w:t>YOY Change</w:t>
            </w:r>
          </w:p>
        </w:tc>
        <w:tc>
          <w:tcPr>
            <w:tcW w:w="1290" w:type="dxa"/>
            <w:tcBorders>
              <w:top w:val="single" w:sz="12" w:space="0" w:color="C0504D" w:themeColor="accent2"/>
              <w:left w:val="single" w:sz="8" w:space="0" w:color="0070C0"/>
              <w:bottom w:val="single" w:sz="18" w:space="0" w:color="C0504D" w:themeColor="accent2"/>
              <w:right w:val="single" w:sz="18" w:space="0" w:color="0070C0"/>
            </w:tcBorders>
            <w:shd w:val="clear" w:color="auto" w:fill="auto"/>
            <w:vAlign w:val="center"/>
          </w:tcPr>
          <w:p w14:paraId="484FE059" w14:textId="48A5F053" w:rsidR="0060537E" w:rsidRPr="00FA1897" w:rsidRDefault="0060537E" w:rsidP="0060537E">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Pr>
                <w:rFonts w:ascii="Verdana" w:eastAsia="Times New Roman" w:hAnsi="Verdana"/>
                <w:sz w:val="20"/>
                <w:szCs w:val="20"/>
              </w:rPr>
              <w:t>Total Spending</w:t>
            </w:r>
          </w:p>
        </w:tc>
        <w:tc>
          <w:tcPr>
            <w:tcW w:w="1155" w:type="dxa"/>
            <w:tcBorders>
              <w:top w:val="single" w:sz="12" w:space="0" w:color="C0504D" w:themeColor="accent2"/>
              <w:left w:val="single" w:sz="18" w:space="0" w:color="0070C0"/>
              <w:bottom w:val="single" w:sz="18" w:space="0" w:color="C0504D" w:themeColor="accent2"/>
              <w:right w:val="single" w:sz="8" w:space="0" w:color="0070C0"/>
            </w:tcBorders>
            <w:shd w:val="clear" w:color="auto" w:fill="auto"/>
            <w:vAlign w:val="center"/>
          </w:tcPr>
          <w:p w14:paraId="691F3FAC" w14:textId="7CE2C6B5" w:rsidR="0060537E" w:rsidRPr="00FA1897" w:rsidRDefault="0060537E" w:rsidP="0060537E">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Pr>
                <w:rFonts w:ascii="Verdana" w:eastAsia="Times New Roman" w:hAnsi="Verdana"/>
                <w:sz w:val="20"/>
                <w:szCs w:val="20"/>
              </w:rPr>
              <w:t>YOY Change</w:t>
            </w:r>
          </w:p>
        </w:tc>
        <w:tc>
          <w:tcPr>
            <w:tcW w:w="1260" w:type="dxa"/>
            <w:tcBorders>
              <w:top w:val="single" w:sz="12" w:space="0" w:color="C0504D" w:themeColor="accent2"/>
              <w:left w:val="single" w:sz="8" w:space="0" w:color="0070C0"/>
              <w:bottom w:val="single" w:sz="18" w:space="0" w:color="C0504D" w:themeColor="accent2"/>
              <w:right w:val="single" w:sz="12" w:space="0" w:color="auto"/>
            </w:tcBorders>
            <w:shd w:val="clear" w:color="auto" w:fill="auto"/>
            <w:vAlign w:val="center"/>
          </w:tcPr>
          <w:p w14:paraId="57366DAA" w14:textId="22EE00C5" w:rsidR="0060537E" w:rsidRPr="00FA1897" w:rsidRDefault="0060537E" w:rsidP="0060537E">
            <w:pPr>
              <w:widowControl w:val="0"/>
              <w:tabs>
                <w:tab w:val="left" w:pos="220"/>
                <w:tab w:val="left" w:pos="720"/>
              </w:tabs>
              <w:autoSpaceDE w:val="0"/>
              <w:autoSpaceDN w:val="0"/>
              <w:adjustRightInd w:val="0"/>
              <w:spacing w:after="0" w:line="240" w:lineRule="auto"/>
              <w:ind w:hanging="17"/>
              <w:jc w:val="center"/>
              <w:rPr>
                <w:rFonts w:ascii="Verdana" w:eastAsia="Times New Roman" w:hAnsi="Verdana"/>
                <w:sz w:val="20"/>
                <w:szCs w:val="20"/>
              </w:rPr>
            </w:pPr>
            <w:r>
              <w:rPr>
                <w:rFonts w:ascii="Verdana" w:eastAsia="Times New Roman" w:hAnsi="Verdana"/>
                <w:sz w:val="20"/>
                <w:szCs w:val="20"/>
              </w:rPr>
              <w:t>Total Spending</w:t>
            </w:r>
          </w:p>
        </w:tc>
      </w:tr>
      <w:tr w:rsidR="0060537E" w:rsidRPr="00FA1897" w14:paraId="504A9C46" w14:textId="17D4C30B" w:rsidTr="0060537E">
        <w:tblPrEx>
          <w:tblBorders>
            <w:top w:val="none" w:sz="0" w:space="0" w:color="auto"/>
          </w:tblBorders>
        </w:tblPrEx>
        <w:trPr>
          <w:trHeight w:val="249"/>
          <w:jc w:val="center"/>
        </w:trPr>
        <w:tc>
          <w:tcPr>
            <w:tcW w:w="990"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545F259C" w14:textId="31B2835F" w:rsidR="0060537E" w:rsidRPr="00FA1897" w:rsidRDefault="0060537E" w:rsidP="0060537E">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2022</w:t>
            </w:r>
          </w:p>
        </w:tc>
        <w:tc>
          <w:tcPr>
            <w:tcW w:w="1170" w:type="dxa"/>
            <w:tcBorders>
              <w:top w:val="single" w:sz="18" w:space="0" w:color="C0504D" w:themeColor="accent2"/>
              <w:left w:val="single" w:sz="18" w:space="0" w:color="0070C0"/>
              <w:bottom w:val="single" w:sz="4" w:space="0" w:color="000000"/>
              <w:right w:val="single" w:sz="8" w:space="0" w:color="0070C0"/>
            </w:tcBorders>
            <w:shd w:val="clear" w:color="auto" w:fill="D6E3BC" w:themeFill="accent3" w:themeFillTint="66"/>
            <w:vAlign w:val="center"/>
          </w:tcPr>
          <w:p w14:paraId="6132BCE4" w14:textId="78A3E1F5" w:rsidR="0060537E" w:rsidRPr="00FA1897" w:rsidRDefault="0060537E" w:rsidP="0060537E">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+6%</w:t>
            </w:r>
          </w:p>
        </w:tc>
        <w:tc>
          <w:tcPr>
            <w:tcW w:w="1245" w:type="dxa"/>
            <w:tcBorders>
              <w:top w:val="single" w:sz="18" w:space="0" w:color="C0504D" w:themeColor="accent2"/>
              <w:left w:val="single" w:sz="8" w:space="0" w:color="0070C0"/>
              <w:bottom w:val="single" w:sz="4" w:space="0" w:color="000000"/>
              <w:right w:val="single" w:sz="18" w:space="0" w:color="0070C0"/>
            </w:tcBorders>
            <w:shd w:val="clear" w:color="auto" w:fill="auto"/>
            <w:vAlign w:val="center"/>
          </w:tcPr>
          <w:p w14:paraId="662A9BE9" w14:textId="16BD6FD9" w:rsidR="0060537E" w:rsidRPr="00FA1897" w:rsidRDefault="0060537E" w:rsidP="0060537E">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$404 B</w:t>
            </w:r>
          </w:p>
        </w:tc>
        <w:tc>
          <w:tcPr>
            <w:tcW w:w="1155" w:type="dxa"/>
            <w:tcBorders>
              <w:top w:val="single" w:sz="18" w:space="0" w:color="C0504D" w:themeColor="accent2"/>
              <w:left w:val="single" w:sz="18" w:space="0" w:color="0070C0"/>
              <w:bottom w:val="single" w:sz="4" w:space="0" w:color="000000"/>
              <w:right w:val="single" w:sz="8" w:space="0" w:color="0070C0"/>
            </w:tcBorders>
            <w:shd w:val="clear" w:color="auto" w:fill="D6E3BC" w:themeFill="accent3" w:themeFillTint="66"/>
            <w:vAlign w:val="center"/>
          </w:tcPr>
          <w:p w14:paraId="72857441" w14:textId="2C35CB06" w:rsidR="0060537E" w:rsidRPr="00FA1897" w:rsidRDefault="0060537E" w:rsidP="0060537E">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+7%</w:t>
            </w:r>
          </w:p>
        </w:tc>
        <w:tc>
          <w:tcPr>
            <w:tcW w:w="1290" w:type="dxa"/>
            <w:tcBorders>
              <w:top w:val="single" w:sz="18" w:space="0" w:color="C0504D" w:themeColor="accent2"/>
              <w:left w:val="single" w:sz="8" w:space="0" w:color="0070C0"/>
              <w:bottom w:val="single" w:sz="4" w:space="0" w:color="000000"/>
              <w:right w:val="single" w:sz="18" w:space="0" w:color="0070C0"/>
            </w:tcBorders>
            <w:shd w:val="clear" w:color="auto" w:fill="auto"/>
            <w:vAlign w:val="center"/>
          </w:tcPr>
          <w:p w14:paraId="3AEA269B" w14:textId="19089BCF" w:rsidR="0060537E" w:rsidRPr="00FA1897" w:rsidRDefault="0060537E" w:rsidP="0060537E">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$119 B</w:t>
            </w:r>
          </w:p>
        </w:tc>
        <w:tc>
          <w:tcPr>
            <w:tcW w:w="1155" w:type="dxa"/>
            <w:tcBorders>
              <w:top w:val="single" w:sz="18" w:space="0" w:color="C0504D" w:themeColor="accent2"/>
              <w:left w:val="single" w:sz="18" w:space="0" w:color="0070C0"/>
              <w:bottom w:val="single" w:sz="4" w:space="0" w:color="000000"/>
              <w:right w:val="single" w:sz="8" w:space="0" w:color="0070C0"/>
            </w:tcBorders>
            <w:shd w:val="clear" w:color="auto" w:fill="D6E3BC" w:themeFill="accent3" w:themeFillTint="66"/>
            <w:vAlign w:val="center"/>
          </w:tcPr>
          <w:p w14:paraId="04C9E45E" w14:textId="3DB53730" w:rsidR="0060537E" w:rsidRPr="00FA1897" w:rsidRDefault="0060537E" w:rsidP="0060537E">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+6%</w:t>
            </w:r>
          </w:p>
        </w:tc>
        <w:tc>
          <w:tcPr>
            <w:tcW w:w="1260" w:type="dxa"/>
            <w:tcBorders>
              <w:top w:val="single" w:sz="18" w:space="0" w:color="C0504D" w:themeColor="accent2"/>
              <w:left w:val="single" w:sz="8" w:space="0" w:color="0070C0"/>
              <w:bottom w:val="single" w:sz="4" w:space="0" w:color="000000"/>
              <w:right w:val="single" w:sz="12" w:space="0" w:color="auto"/>
            </w:tcBorders>
            <w:shd w:val="clear" w:color="auto" w:fill="auto"/>
            <w:vAlign w:val="center"/>
          </w:tcPr>
          <w:p w14:paraId="584B3C89" w14:textId="2DAAEFF2" w:rsidR="0060537E" w:rsidRPr="00FA1897" w:rsidRDefault="0060537E" w:rsidP="0060537E">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$296 B</w:t>
            </w:r>
          </w:p>
        </w:tc>
      </w:tr>
      <w:tr w:rsidR="0060537E" w:rsidRPr="00FA1897" w14:paraId="3EA680C5" w14:textId="061EC4F7" w:rsidTr="0060537E">
        <w:tblPrEx>
          <w:tblBorders>
            <w:top w:val="none" w:sz="0" w:space="0" w:color="auto"/>
          </w:tblBorders>
        </w:tblPrEx>
        <w:trPr>
          <w:trHeight w:val="249"/>
          <w:jc w:val="center"/>
        </w:trPr>
        <w:tc>
          <w:tcPr>
            <w:tcW w:w="990"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070F7B44" w14:textId="42F4FCD9" w:rsidR="0060537E" w:rsidRPr="00FA1897" w:rsidRDefault="0060537E" w:rsidP="0060537E">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2023</w:t>
            </w:r>
          </w:p>
        </w:tc>
        <w:tc>
          <w:tcPr>
            <w:tcW w:w="1170" w:type="dxa"/>
            <w:tcBorders>
              <w:top w:val="single" w:sz="4" w:space="0" w:color="000000"/>
              <w:left w:val="single" w:sz="18" w:space="0" w:color="0070C0"/>
              <w:bottom w:val="single" w:sz="4" w:space="0" w:color="000000"/>
              <w:right w:val="single" w:sz="8" w:space="0" w:color="0070C0"/>
            </w:tcBorders>
            <w:shd w:val="clear" w:color="auto" w:fill="EAF1DD" w:themeFill="accent3" w:themeFillTint="33"/>
            <w:vAlign w:val="center"/>
          </w:tcPr>
          <w:p w14:paraId="77F8A6F5" w14:textId="52950920" w:rsidR="0060537E" w:rsidRPr="00FA1897" w:rsidRDefault="0060537E" w:rsidP="0060537E">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+3%</w:t>
            </w:r>
          </w:p>
        </w:tc>
        <w:tc>
          <w:tcPr>
            <w:tcW w:w="1245" w:type="dxa"/>
            <w:tcBorders>
              <w:top w:val="single" w:sz="4" w:space="0" w:color="000000"/>
              <w:left w:val="single" w:sz="8" w:space="0" w:color="0070C0"/>
              <w:bottom w:val="single" w:sz="4" w:space="0" w:color="000000"/>
              <w:right w:val="single" w:sz="18" w:space="0" w:color="0070C0"/>
            </w:tcBorders>
            <w:shd w:val="clear" w:color="auto" w:fill="auto"/>
            <w:vAlign w:val="center"/>
          </w:tcPr>
          <w:p w14:paraId="55C28943" w14:textId="70D00CD4" w:rsidR="0060537E" w:rsidRPr="00FA1897" w:rsidRDefault="0060537E" w:rsidP="0060537E">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$415 B</w:t>
            </w:r>
          </w:p>
        </w:tc>
        <w:tc>
          <w:tcPr>
            <w:tcW w:w="1155" w:type="dxa"/>
            <w:tcBorders>
              <w:top w:val="single" w:sz="4" w:space="0" w:color="000000"/>
              <w:left w:val="single" w:sz="18" w:space="0" w:color="0070C0"/>
              <w:bottom w:val="single" w:sz="4" w:space="0" w:color="000000"/>
              <w:right w:val="single" w:sz="8" w:space="0" w:color="0070C0"/>
            </w:tcBorders>
            <w:shd w:val="clear" w:color="auto" w:fill="EAF1DD" w:themeFill="accent3" w:themeFillTint="33"/>
            <w:vAlign w:val="center"/>
          </w:tcPr>
          <w:p w14:paraId="1929FB3E" w14:textId="7F7B23F6" w:rsidR="0060537E" w:rsidRPr="00FA1897" w:rsidRDefault="0060537E" w:rsidP="0060537E">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+4%</w:t>
            </w:r>
          </w:p>
        </w:tc>
        <w:tc>
          <w:tcPr>
            <w:tcW w:w="1290" w:type="dxa"/>
            <w:tcBorders>
              <w:top w:val="single" w:sz="4" w:space="0" w:color="000000"/>
              <w:left w:val="single" w:sz="8" w:space="0" w:color="0070C0"/>
              <w:bottom w:val="single" w:sz="4" w:space="0" w:color="000000"/>
              <w:right w:val="single" w:sz="18" w:space="0" w:color="0070C0"/>
            </w:tcBorders>
            <w:shd w:val="clear" w:color="auto" w:fill="auto"/>
            <w:vAlign w:val="center"/>
          </w:tcPr>
          <w:p w14:paraId="196CA937" w14:textId="151672E9" w:rsidR="0060537E" w:rsidRPr="00FA1897" w:rsidRDefault="0060537E" w:rsidP="0060537E">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$123 B</w:t>
            </w:r>
          </w:p>
        </w:tc>
        <w:tc>
          <w:tcPr>
            <w:tcW w:w="1155" w:type="dxa"/>
            <w:tcBorders>
              <w:top w:val="single" w:sz="4" w:space="0" w:color="000000"/>
              <w:left w:val="single" w:sz="18" w:space="0" w:color="0070C0"/>
              <w:bottom w:val="single" w:sz="4" w:space="0" w:color="000000"/>
              <w:right w:val="single" w:sz="8" w:space="0" w:color="0070C0"/>
            </w:tcBorders>
            <w:shd w:val="clear" w:color="auto" w:fill="EAF1DD" w:themeFill="accent3" w:themeFillTint="33"/>
            <w:vAlign w:val="center"/>
          </w:tcPr>
          <w:p w14:paraId="7A984546" w14:textId="4EB781C6" w:rsidR="0060537E" w:rsidRPr="00FA1897" w:rsidRDefault="0060537E" w:rsidP="0060537E">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+3%</w:t>
            </w:r>
          </w:p>
        </w:tc>
        <w:tc>
          <w:tcPr>
            <w:tcW w:w="1260" w:type="dxa"/>
            <w:tcBorders>
              <w:top w:val="single" w:sz="4" w:space="0" w:color="000000"/>
              <w:left w:val="single" w:sz="8" w:space="0" w:color="0070C0"/>
              <w:bottom w:val="single" w:sz="4" w:space="0" w:color="000000"/>
              <w:right w:val="single" w:sz="12" w:space="0" w:color="auto"/>
            </w:tcBorders>
            <w:shd w:val="clear" w:color="auto" w:fill="auto"/>
            <w:vAlign w:val="center"/>
          </w:tcPr>
          <w:p w14:paraId="6576FB50" w14:textId="3209A621" w:rsidR="0060537E" w:rsidRPr="00FA1897" w:rsidRDefault="0060537E" w:rsidP="0060537E">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$305 B</w:t>
            </w:r>
          </w:p>
        </w:tc>
      </w:tr>
      <w:tr w:rsidR="0060537E" w:rsidRPr="00FA1897" w14:paraId="29C66D8F" w14:textId="4219B1D4" w:rsidTr="0060537E">
        <w:tblPrEx>
          <w:tblBorders>
            <w:top w:val="none" w:sz="0" w:space="0" w:color="auto"/>
          </w:tblBorders>
        </w:tblPrEx>
        <w:trPr>
          <w:trHeight w:val="249"/>
          <w:jc w:val="center"/>
        </w:trPr>
        <w:tc>
          <w:tcPr>
            <w:tcW w:w="990"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595A1720" w14:textId="0AD98FBA" w:rsidR="0060537E" w:rsidRPr="00FA1897" w:rsidRDefault="0060537E" w:rsidP="0060537E">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2024</w:t>
            </w:r>
          </w:p>
        </w:tc>
        <w:tc>
          <w:tcPr>
            <w:tcW w:w="1170" w:type="dxa"/>
            <w:tcBorders>
              <w:top w:val="single" w:sz="4" w:space="0" w:color="000000"/>
              <w:left w:val="single" w:sz="18" w:space="0" w:color="0070C0"/>
              <w:bottom w:val="single" w:sz="4" w:space="0" w:color="000000"/>
              <w:right w:val="single" w:sz="8" w:space="0" w:color="0070C0"/>
            </w:tcBorders>
            <w:shd w:val="clear" w:color="auto" w:fill="EAF1DD" w:themeFill="accent3" w:themeFillTint="33"/>
            <w:vAlign w:val="center"/>
          </w:tcPr>
          <w:p w14:paraId="7035FD77" w14:textId="1009118E" w:rsidR="0060537E" w:rsidRPr="00FA1897" w:rsidRDefault="0060537E" w:rsidP="0060537E">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+3%</w:t>
            </w:r>
          </w:p>
        </w:tc>
        <w:tc>
          <w:tcPr>
            <w:tcW w:w="1245" w:type="dxa"/>
            <w:tcBorders>
              <w:top w:val="single" w:sz="4" w:space="0" w:color="000000"/>
              <w:left w:val="single" w:sz="8" w:space="0" w:color="0070C0"/>
              <w:bottom w:val="single" w:sz="4" w:space="0" w:color="000000"/>
              <w:right w:val="single" w:sz="18" w:space="0" w:color="0070C0"/>
            </w:tcBorders>
            <w:shd w:val="clear" w:color="auto" w:fill="auto"/>
            <w:vAlign w:val="center"/>
          </w:tcPr>
          <w:p w14:paraId="2F7AC510" w14:textId="0442DFEE" w:rsidR="0060537E" w:rsidRPr="00FA1897" w:rsidRDefault="0060537E" w:rsidP="0060537E">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$429 B</w:t>
            </w:r>
          </w:p>
        </w:tc>
        <w:tc>
          <w:tcPr>
            <w:tcW w:w="1155" w:type="dxa"/>
            <w:tcBorders>
              <w:top w:val="single" w:sz="4" w:space="0" w:color="000000"/>
              <w:left w:val="single" w:sz="18" w:space="0" w:color="0070C0"/>
              <w:bottom w:val="single" w:sz="4" w:space="0" w:color="000000"/>
              <w:right w:val="single" w:sz="8" w:space="0" w:color="0070C0"/>
            </w:tcBorders>
            <w:shd w:val="clear" w:color="auto" w:fill="EAF1DD" w:themeFill="accent3" w:themeFillTint="33"/>
            <w:vAlign w:val="center"/>
          </w:tcPr>
          <w:p w14:paraId="6249AC13" w14:textId="39218CBE" w:rsidR="0060537E" w:rsidRPr="00FA1897" w:rsidRDefault="0060537E" w:rsidP="0060537E">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+4%</w:t>
            </w:r>
          </w:p>
        </w:tc>
        <w:tc>
          <w:tcPr>
            <w:tcW w:w="1290" w:type="dxa"/>
            <w:tcBorders>
              <w:top w:val="single" w:sz="4" w:space="0" w:color="000000"/>
              <w:left w:val="single" w:sz="8" w:space="0" w:color="0070C0"/>
              <w:bottom w:val="single" w:sz="4" w:space="0" w:color="000000"/>
              <w:right w:val="single" w:sz="18" w:space="0" w:color="0070C0"/>
            </w:tcBorders>
            <w:shd w:val="clear" w:color="auto" w:fill="auto"/>
            <w:vAlign w:val="center"/>
          </w:tcPr>
          <w:p w14:paraId="38D44582" w14:textId="6399EE12" w:rsidR="0060537E" w:rsidRPr="00FA1897" w:rsidRDefault="0060537E" w:rsidP="0060537E">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$129 B</w:t>
            </w:r>
          </w:p>
        </w:tc>
        <w:tc>
          <w:tcPr>
            <w:tcW w:w="1155" w:type="dxa"/>
            <w:tcBorders>
              <w:top w:val="single" w:sz="4" w:space="0" w:color="000000"/>
              <w:left w:val="single" w:sz="18" w:space="0" w:color="0070C0"/>
              <w:bottom w:val="single" w:sz="4" w:space="0" w:color="000000"/>
              <w:right w:val="single" w:sz="8" w:space="0" w:color="0070C0"/>
            </w:tcBorders>
            <w:shd w:val="clear" w:color="auto" w:fill="EAF1DD" w:themeFill="accent3" w:themeFillTint="33"/>
            <w:vAlign w:val="center"/>
          </w:tcPr>
          <w:p w14:paraId="3F5B39D5" w14:textId="6FF47FE4" w:rsidR="0060537E" w:rsidRPr="00FA1897" w:rsidRDefault="0060537E" w:rsidP="0060537E">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+4%</w:t>
            </w:r>
          </w:p>
        </w:tc>
        <w:tc>
          <w:tcPr>
            <w:tcW w:w="1260" w:type="dxa"/>
            <w:tcBorders>
              <w:top w:val="single" w:sz="4" w:space="0" w:color="000000"/>
              <w:left w:val="single" w:sz="8" w:space="0" w:color="0070C0"/>
              <w:bottom w:val="single" w:sz="4" w:space="0" w:color="000000"/>
              <w:right w:val="single" w:sz="12" w:space="0" w:color="auto"/>
            </w:tcBorders>
            <w:shd w:val="clear" w:color="auto" w:fill="auto"/>
            <w:vAlign w:val="center"/>
          </w:tcPr>
          <w:p w14:paraId="6EC7DB85" w14:textId="4EDC418E" w:rsidR="0060537E" w:rsidRPr="00FA1897" w:rsidRDefault="0060537E" w:rsidP="0060537E">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$318 B</w:t>
            </w:r>
          </w:p>
        </w:tc>
      </w:tr>
      <w:tr w:rsidR="0060537E" w:rsidRPr="00FA1897" w14:paraId="4A6A0FA9" w14:textId="006B2927" w:rsidTr="0060537E">
        <w:tblPrEx>
          <w:tblBorders>
            <w:top w:val="none" w:sz="0" w:space="0" w:color="auto"/>
          </w:tblBorders>
        </w:tblPrEx>
        <w:trPr>
          <w:trHeight w:val="249"/>
          <w:jc w:val="center"/>
        </w:trPr>
        <w:tc>
          <w:tcPr>
            <w:tcW w:w="990" w:type="dxa"/>
            <w:tcBorders>
              <w:top w:val="single" w:sz="4" w:space="0" w:color="000000"/>
              <w:left w:val="single" w:sz="12" w:space="0" w:color="000000"/>
              <w:bottom w:val="single" w:sz="12" w:space="0" w:color="000000"/>
              <w:right w:val="single" w:sz="18" w:space="0" w:color="0070C0"/>
            </w:tcBorders>
            <w:shd w:val="clear" w:color="auto" w:fill="auto"/>
            <w:vAlign w:val="center"/>
          </w:tcPr>
          <w:p w14:paraId="3C65BDDF" w14:textId="7AAA6740" w:rsidR="0060537E" w:rsidRPr="00FA1897" w:rsidRDefault="0060537E" w:rsidP="0060537E">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2025</w:t>
            </w:r>
          </w:p>
        </w:tc>
        <w:tc>
          <w:tcPr>
            <w:tcW w:w="1170" w:type="dxa"/>
            <w:tcBorders>
              <w:top w:val="single" w:sz="4" w:space="0" w:color="000000"/>
              <w:left w:val="single" w:sz="18" w:space="0" w:color="0070C0"/>
              <w:bottom w:val="single" w:sz="12" w:space="0" w:color="000000"/>
              <w:right w:val="single" w:sz="8" w:space="0" w:color="0070C0"/>
            </w:tcBorders>
            <w:shd w:val="clear" w:color="auto" w:fill="D6E3BC" w:themeFill="accent3" w:themeFillTint="66"/>
            <w:vAlign w:val="center"/>
          </w:tcPr>
          <w:p w14:paraId="2631F353" w14:textId="7C5C0DB9" w:rsidR="0060537E" w:rsidRPr="00FA1897" w:rsidRDefault="0060537E" w:rsidP="0060537E">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+5%</w:t>
            </w:r>
          </w:p>
        </w:tc>
        <w:tc>
          <w:tcPr>
            <w:tcW w:w="1245" w:type="dxa"/>
            <w:tcBorders>
              <w:top w:val="single" w:sz="4" w:space="0" w:color="000000"/>
              <w:left w:val="single" w:sz="8" w:space="0" w:color="0070C0"/>
              <w:bottom w:val="single" w:sz="12" w:space="0" w:color="000000"/>
              <w:right w:val="single" w:sz="18" w:space="0" w:color="0070C0"/>
            </w:tcBorders>
            <w:shd w:val="clear" w:color="auto" w:fill="auto"/>
            <w:vAlign w:val="center"/>
          </w:tcPr>
          <w:p w14:paraId="7D1BD2C8" w14:textId="34C61E1F" w:rsidR="0060537E" w:rsidRPr="00FA1897" w:rsidRDefault="0060537E" w:rsidP="0060537E">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$449 B</w:t>
            </w:r>
          </w:p>
        </w:tc>
        <w:tc>
          <w:tcPr>
            <w:tcW w:w="1155" w:type="dxa"/>
            <w:tcBorders>
              <w:top w:val="single" w:sz="4" w:space="0" w:color="000000"/>
              <w:left w:val="single" w:sz="18" w:space="0" w:color="0070C0"/>
              <w:bottom w:val="single" w:sz="12" w:space="0" w:color="000000"/>
              <w:right w:val="single" w:sz="8" w:space="0" w:color="0070C0"/>
            </w:tcBorders>
            <w:shd w:val="clear" w:color="auto" w:fill="D6E3BC" w:themeFill="accent3" w:themeFillTint="66"/>
            <w:vAlign w:val="center"/>
          </w:tcPr>
          <w:p w14:paraId="65506C6D" w14:textId="5954D147" w:rsidR="0060537E" w:rsidRPr="00FA1897" w:rsidRDefault="0060537E" w:rsidP="0060537E">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+6%</w:t>
            </w:r>
          </w:p>
        </w:tc>
        <w:tc>
          <w:tcPr>
            <w:tcW w:w="1290" w:type="dxa"/>
            <w:tcBorders>
              <w:top w:val="single" w:sz="4" w:space="0" w:color="000000"/>
              <w:left w:val="single" w:sz="8" w:space="0" w:color="0070C0"/>
              <w:bottom w:val="single" w:sz="12" w:space="0" w:color="000000"/>
              <w:right w:val="single" w:sz="18" w:space="0" w:color="0070C0"/>
            </w:tcBorders>
            <w:shd w:val="clear" w:color="auto" w:fill="auto"/>
            <w:vAlign w:val="center"/>
          </w:tcPr>
          <w:p w14:paraId="02DE9271" w14:textId="5E2ED6D6" w:rsidR="0060537E" w:rsidRPr="00FA1897" w:rsidRDefault="0060537E" w:rsidP="0060537E">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$136 B</w:t>
            </w:r>
          </w:p>
        </w:tc>
        <w:tc>
          <w:tcPr>
            <w:tcW w:w="1155" w:type="dxa"/>
            <w:tcBorders>
              <w:top w:val="single" w:sz="4" w:space="0" w:color="000000"/>
              <w:left w:val="single" w:sz="18" w:space="0" w:color="0070C0"/>
              <w:bottom w:val="single" w:sz="12" w:space="0" w:color="000000"/>
              <w:right w:val="single" w:sz="8" w:space="0" w:color="0070C0"/>
            </w:tcBorders>
            <w:shd w:val="clear" w:color="auto" w:fill="D6E3BC" w:themeFill="accent3" w:themeFillTint="66"/>
            <w:vAlign w:val="center"/>
          </w:tcPr>
          <w:p w14:paraId="595C710E" w14:textId="01B2B6DF" w:rsidR="0060537E" w:rsidRPr="00FA1897" w:rsidRDefault="0060537E" w:rsidP="0060537E">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+5%</w:t>
            </w:r>
          </w:p>
        </w:tc>
        <w:tc>
          <w:tcPr>
            <w:tcW w:w="1260" w:type="dxa"/>
            <w:tcBorders>
              <w:top w:val="single" w:sz="4" w:space="0" w:color="000000"/>
              <w:left w:val="single" w:sz="8" w:space="0" w:color="0070C0"/>
              <w:bottom w:val="single" w:sz="12" w:space="0" w:color="000000"/>
              <w:right w:val="single" w:sz="12" w:space="0" w:color="auto"/>
            </w:tcBorders>
            <w:shd w:val="clear" w:color="auto" w:fill="auto"/>
            <w:vAlign w:val="center"/>
          </w:tcPr>
          <w:p w14:paraId="2A165EF6" w14:textId="5BED152B" w:rsidR="0060537E" w:rsidRPr="00FA1897" w:rsidRDefault="0060537E" w:rsidP="0060537E">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$333 B</w:t>
            </w:r>
          </w:p>
        </w:tc>
      </w:tr>
    </w:tbl>
    <w:p w14:paraId="61E79D9C" w14:textId="1BC04A54" w:rsidR="00A96AE2" w:rsidRDefault="0060537E" w:rsidP="0060537E">
      <w:pPr>
        <w:tabs>
          <w:tab w:val="left" w:pos="540"/>
        </w:tabs>
        <w:spacing w:after="0" w:line="240" w:lineRule="auto"/>
        <w:contextualSpacing/>
        <w:mirrorIndents/>
        <w:rPr>
          <w:rFonts w:ascii="Verdana" w:hAnsi="Verdana"/>
          <w:sz w:val="20"/>
          <w:szCs w:val="20"/>
        </w:rPr>
      </w:pPr>
      <w:r>
        <w:rPr>
          <w:rFonts w:ascii="Verdana" w:hAnsi="Verdana"/>
          <w:sz w:val="16"/>
          <w:szCs w:val="16"/>
        </w:rPr>
        <w:tab/>
        <w:t>FMI</w:t>
      </w:r>
      <w:r w:rsidR="00A96AE2">
        <w:rPr>
          <w:rFonts w:ascii="Verdana" w:hAnsi="Verdana"/>
          <w:sz w:val="16"/>
          <w:szCs w:val="16"/>
        </w:rPr>
        <w:t>,</w:t>
      </w:r>
      <w:r w:rsidR="00A96AE2" w:rsidRPr="00FA1897">
        <w:rPr>
          <w:rFonts w:ascii="Verdana" w:hAnsi="Verdana"/>
          <w:sz w:val="16"/>
          <w:szCs w:val="16"/>
        </w:rPr>
        <w:t xml:space="preserve"> </w:t>
      </w:r>
      <w:r>
        <w:rPr>
          <w:rFonts w:ascii="Verdana" w:hAnsi="Verdana"/>
          <w:sz w:val="16"/>
          <w:szCs w:val="16"/>
        </w:rPr>
        <w:t>January 2022</w:t>
      </w:r>
    </w:p>
    <w:p w14:paraId="3ACDAD1B" w14:textId="77777777" w:rsidR="00A96AE2" w:rsidRDefault="00A96AE2" w:rsidP="004B0652">
      <w:pPr>
        <w:spacing w:after="0" w:line="240" w:lineRule="auto"/>
        <w:contextualSpacing/>
        <w:mirrorIndents/>
        <w:rPr>
          <w:rFonts w:ascii="Verdana" w:hAnsi="Verdana"/>
          <w:sz w:val="20"/>
          <w:szCs w:val="20"/>
        </w:rPr>
      </w:pPr>
    </w:p>
    <w:p w14:paraId="57AA31F5" w14:textId="14CF5D3D" w:rsidR="004B0652" w:rsidRPr="00BB2165" w:rsidRDefault="004B0652" w:rsidP="00BB2165">
      <w:pPr>
        <w:spacing w:after="0" w:line="240" w:lineRule="auto"/>
        <w:contextualSpacing/>
        <w:mirrorIndents/>
        <w:jc w:val="center"/>
        <w:rPr>
          <w:rFonts w:ascii="Verdana" w:hAnsi="Verdana"/>
          <w:b/>
          <w:bCs/>
          <w:color w:val="0070C0"/>
          <w:sz w:val="20"/>
          <w:szCs w:val="20"/>
        </w:rPr>
      </w:pPr>
      <w:r w:rsidRPr="00BB2165">
        <w:rPr>
          <w:rFonts w:ascii="Verdana" w:hAnsi="Verdana"/>
          <w:b/>
          <w:bCs/>
          <w:color w:val="0070C0"/>
          <w:sz w:val="20"/>
          <w:szCs w:val="20"/>
        </w:rPr>
        <w:t>Nonresidential Sector Still Affected by Pandemic</w:t>
      </w:r>
    </w:p>
    <w:p w14:paraId="374B5959" w14:textId="77777777" w:rsidR="004B0652" w:rsidRPr="004B0652" w:rsidRDefault="004B0652" w:rsidP="004B0652">
      <w:pPr>
        <w:spacing w:after="0" w:line="240" w:lineRule="auto"/>
        <w:contextualSpacing/>
        <w:mirrorIndents/>
        <w:rPr>
          <w:rFonts w:ascii="Verdana" w:hAnsi="Verdana"/>
          <w:sz w:val="20"/>
          <w:szCs w:val="20"/>
        </w:rPr>
      </w:pPr>
    </w:p>
    <w:p w14:paraId="4AF8D402" w14:textId="421D5957" w:rsidR="00BB2165" w:rsidRDefault="00BB2165" w:rsidP="004B0652">
      <w:pPr>
        <w:spacing w:after="0" w:line="240" w:lineRule="auto"/>
        <w:contextualSpacing/>
        <w:mirrorIndents/>
        <w:rPr>
          <w:rFonts w:ascii="Verdana" w:hAnsi="Verdana"/>
          <w:sz w:val="20"/>
          <w:szCs w:val="20"/>
        </w:rPr>
      </w:pPr>
      <w:r>
        <w:rPr>
          <w:rFonts w:ascii="Verdana" w:hAnsi="Verdana"/>
          <w:sz w:val="20"/>
          <w:szCs w:val="20"/>
        </w:rPr>
        <w:t xml:space="preserve">FMI’s Q1 2022 Nonresidential Construction Index (NRCI) increased one point from December to 54.8, which is still </w:t>
      </w:r>
      <w:r w:rsidR="00A54CAF">
        <w:rPr>
          <w:rFonts w:ascii="Verdana" w:hAnsi="Verdana"/>
          <w:sz w:val="20"/>
          <w:szCs w:val="20"/>
        </w:rPr>
        <w:t xml:space="preserve">in </w:t>
      </w:r>
      <w:r>
        <w:rPr>
          <w:rFonts w:ascii="Verdana" w:hAnsi="Verdana"/>
          <w:sz w:val="20"/>
          <w:szCs w:val="20"/>
        </w:rPr>
        <w:t>positive territory, however, the Q3 2021 index was 60. The Q1 2022 index was significantly better than Q1 2021, which was approximately 48.</w:t>
      </w:r>
    </w:p>
    <w:p w14:paraId="1E1149A3" w14:textId="3CA45C80" w:rsidR="00BB2165" w:rsidRDefault="00BB2165" w:rsidP="004B0652">
      <w:pPr>
        <w:spacing w:after="0" w:line="240" w:lineRule="auto"/>
        <w:contextualSpacing/>
        <w:mirrorIndents/>
        <w:rPr>
          <w:rFonts w:ascii="Verdana" w:hAnsi="Verdana"/>
          <w:sz w:val="20"/>
          <w:szCs w:val="20"/>
        </w:rPr>
      </w:pPr>
    </w:p>
    <w:p w14:paraId="087D7FA8" w14:textId="11F472BE" w:rsidR="00BB2165" w:rsidRDefault="00BB2165" w:rsidP="004B0652">
      <w:pPr>
        <w:spacing w:after="0" w:line="240" w:lineRule="auto"/>
        <w:contextualSpacing/>
        <w:mirrorIndents/>
        <w:rPr>
          <w:rFonts w:ascii="Verdana" w:hAnsi="Verdana"/>
          <w:sz w:val="20"/>
          <w:szCs w:val="20"/>
        </w:rPr>
      </w:pPr>
      <w:r>
        <w:rPr>
          <w:rFonts w:ascii="Verdana" w:hAnsi="Verdana"/>
          <w:sz w:val="20"/>
          <w:szCs w:val="20"/>
        </w:rPr>
        <w:t xml:space="preserve">Although many of the 11 nonresidential subsectors </w:t>
      </w:r>
      <w:r w:rsidR="00576127">
        <w:rPr>
          <w:rFonts w:ascii="Verdana" w:hAnsi="Verdana"/>
          <w:sz w:val="20"/>
          <w:szCs w:val="20"/>
        </w:rPr>
        <w:t>are forecast to increase significantly by 2025, lodging, because of the pandemic’s disastrous effect on leisure &amp; hospitality, and religious, because of declining church membership, will decrease during 2022.</w:t>
      </w:r>
    </w:p>
    <w:p w14:paraId="50100985" w14:textId="124A1447" w:rsidR="001F7B27" w:rsidRDefault="001F7B27" w:rsidP="004B0652">
      <w:pPr>
        <w:spacing w:after="0" w:line="240" w:lineRule="auto"/>
        <w:contextualSpacing/>
        <w:mirrorIndents/>
        <w:rPr>
          <w:rFonts w:ascii="Verdana" w:hAnsi="Verdana"/>
          <w:sz w:val="20"/>
          <w:szCs w:val="20"/>
        </w:rPr>
      </w:pPr>
    </w:p>
    <w:p w14:paraId="3EF89CEB" w14:textId="097D5983" w:rsidR="001F7B27" w:rsidRDefault="001F7B27" w:rsidP="004B0652">
      <w:pPr>
        <w:spacing w:after="0" w:line="240" w:lineRule="auto"/>
        <w:contextualSpacing/>
        <w:mirrorIndents/>
        <w:rPr>
          <w:rFonts w:ascii="Verdana" w:hAnsi="Verdana"/>
          <w:sz w:val="20"/>
          <w:szCs w:val="20"/>
        </w:rPr>
      </w:pPr>
      <w:r>
        <w:rPr>
          <w:rFonts w:ascii="Verdana" w:hAnsi="Verdana"/>
          <w:sz w:val="20"/>
          <w:szCs w:val="20"/>
        </w:rPr>
        <w:t>Manufacturing will be the big winner during 2022 with a 12% increase</w:t>
      </w:r>
      <w:r w:rsidR="00EA0874">
        <w:rPr>
          <w:rFonts w:ascii="Verdana" w:hAnsi="Verdana"/>
          <w:sz w:val="20"/>
          <w:szCs w:val="20"/>
        </w:rPr>
        <w:t>. L</w:t>
      </w:r>
      <w:r w:rsidR="00235A73">
        <w:rPr>
          <w:rFonts w:ascii="Verdana" w:hAnsi="Verdana"/>
          <w:sz w:val="20"/>
          <w:szCs w:val="20"/>
        </w:rPr>
        <w:t>odging will rebound by 2025 by 11% and infrastructure spending is likely the driver of transportation’s 13% increase for 2025.</w:t>
      </w:r>
    </w:p>
    <w:p w14:paraId="0821774E" w14:textId="1587FDB2" w:rsidR="00576127" w:rsidRDefault="00576127" w:rsidP="004B0652">
      <w:pPr>
        <w:spacing w:after="0" w:line="240" w:lineRule="auto"/>
        <w:contextualSpacing/>
        <w:mirrorIndents/>
        <w:rPr>
          <w:rFonts w:ascii="Verdana" w:hAnsi="Verdana"/>
          <w:sz w:val="20"/>
          <w:szCs w:val="20"/>
        </w:rPr>
      </w:pPr>
    </w:p>
    <w:p w14:paraId="5FC76BEA" w14:textId="0C5D59C1" w:rsidR="003176E8" w:rsidRPr="00412C44" w:rsidRDefault="003176E8" w:rsidP="003176E8">
      <w:pPr>
        <w:pStyle w:val="Header"/>
        <w:jc w:val="center"/>
        <w:rPr>
          <w:b/>
          <w:sz w:val="20"/>
          <w:szCs w:val="20"/>
        </w:rPr>
      </w:pPr>
      <w:r>
        <w:rPr>
          <w:b/>
          <w:sz w:val="20"/>
          <w:szCs w:val="20"/>
        </w:rPr>
        <w:t>Nonresidential Sectors Forecast, 2022 and 2025</w:t>
      </w:r>
    </w:p>
    <w:tbl>
      <w:tblPr>
        <w:tblW w:w="11094"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3010"/>
        <w:gridCol w:w="1267"/>
        <w:gridCol w:w="1267"/>
        <w:gridCol w:w="3016"/>
        <w:gridCol w:w="1267"/>
        <w:gridCol w:w="1267"/>
      </w:tblGrid>
      <w:tr w:rsidR="003176E8" w:rsidRPr="00FA1897" w14:paraId="174D65AC" w14:textId="77777777" w:rsidTr="00EA0874">
        <w:trPr>
          <w:trHeight w:val="249"/>
          <w:jc w:val="center"/>
        </w:trPr>
        <w:tc>
          <w:tcPr>
            <w:tcW w:w="3010" w:type="dxa"/>
            <w:tcBorders>
              <w:top w:val="single" w:sz="12" w:space="0" w:color="000000"/>
              <w:left w:val="single" w:sz="12" w:space="0" w:color="000000"/>
              <w:bottom w:val="single" w:sz="18" w:space="0" w:color="C0504D" w:themeColor="accent2"/>
              <w:right w:val="single" w:sz="12" w:space="0" w:color="0070C0"/>
            </w:tcBorders>
            <w:vAlign w:val="center"/>
          </w:tcPr>
          <w:p w14:paraId="0083D9D0" w14:textId="53014D39" w:rsidR="003176E8" w:rsidRPr="00FA1897" w:rsidRDefault="003176E8" w:rsidP="00EA0874">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Pr>
                <w:rFonts w:ascii="Verdana" w:eastAsia="Times New Roman" w:hAnsi="Verdana"/>
                <w:sz w:val="20"/>
                <w:szCs w:val="20"/>
              </w:rPr>
              <w:t>Sector</w:t>
            </w:r>
          </w:p>
        </w:tc>
        <w:tc>
          <w:tcPr>
            <w:tcW w:w="1267" w:type="dxa"/>
            <w:tcBorders>
              <w:top w:val="single" w:sz="12" w:space="0" w:color="000000"/>
              <w:left w:val="single" w:sz="12" w:space="0" w:color="0070C0"/>
              <w:bottom w:val="single" w:sz="18" w:space="0" w:color="C0504D" w:themeColor="accent2"/>
              <w:right w:val="single" w:sz="8" w:space="0" w:color="0070C0"/>
            </w:tcBorders>
            <w:vAlign w:val="center"/>
          </w:tcPr>
          <w:p w14:paraId="6B04BC2F" w14:textId="5AD4A588" w:rsidR="003176E8" w:rsidRPr="00FA1897" w:rsidRDefault="003176E8" w:rsidP="00EA0874">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Pr>
                <w:rFonts w:ascii="Verdana" w:eastAsia="Times New Roman" w:hAnsi="Verdana"/>
                <w:sz w:val="20"/>
                <w:szCs w:val="20"/>
              </w:rPr>
              <w:t>2022</w:t>
            </w:r>
          </w:p>
        </w:tc>
        <w:tc>
          <w:tcPr>
            <w:tcW w:w="1267" w:type="dxa"/>
            <w:tcBorders>
              <w:top w:val="single" w:sz="12" w:space="0" w:color="000000"/>
              <w:left w:val="single" w:sz="8" w:space="0" w:color="0070C0"/>
              <w:bottom w:val="single" w:sz="18" w:space="0" w:color="C0504D" w:themeColor="accent2"/>
              <w:right w:val="single" w:sz="18" w:space="0" w:color="0070C0"/>
            </w:tcBorders>
            <w:vAlign w:val="center"/>
          </w:tcPr>
          <w:p w14:paraId="5D479FF5" w14:textId="5D318F3A" w:rsidR="003176E8" w:rsidRPr="00FA1897" w:rsidRDefault="003176E8" w:rsidP="00EA0874">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Pr>
                <w:rFonts w:ascii="Verdana" w:eastAsia="Times New Roman" w:hAnsi="Verdana"/>
                <w:sz w:val="20"/>
                <w:szCs w:val="20"/>
              </w:rPr>
              <w:t>2025</w:t>
            </w:r>
          </w:p>
        </w:tc>
        <w:tc>
          <w:tcPr>
            <w:tcW w:w="3016" w:type="dxa"/>
            <w:tcBorders>
              <w:top w:val="single" w:sz="12" w:space="0" w:color="000000"/>
              <w:left w:val="single" w:sz="18" w:space="0" w:color="0070C0"/>
              <w:bottom w:val="single" w:sz="18" w:space="0" w:color="C0504D" w:themeColor="accent2"/>
              <w:right w:val="single" w:sz="12" w:space="0" w:color="0070C0"/>
            </w:tcBorders>
            <w:vAlign w:val="center"/>
          </w:tcPr>
          <w:p w14:paraId="1FD057F8" w14:textId="2E472432" w:rsidR="003176E8" w:rsidRPr="00FA1897" w:rsidRDefault="003176E8" w:rsidP="00EA0874">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Pr>
                <w:rFonts w:ascii="Verdana" w:eastAsia="Times New Roman" w:hAnsi="Verdana"/>
                <w:sz w:val="20"/>
                <w:szCs w:val="20"/>
              </w:rPr>
              <w:t>Sector</w:t>
            </w:r>
          </w:p>
        </w:tc>
        <w:tc>
          <w:tcPr>
            <w:tcW w:w="1267" w:type="dxa"/>
            <w:tcBorders>
              <w:top w:val="single" w:sz="12" w:space="0" w:color="000000"/>
              <w:left w:val="single" w:sz="12" w:space="0" w:color="0070C0"/>
              <w:bottom w:val="single" w:sz="18" w:space="0" w:color="C0504D" w:themeColor="accent2"/>
              <w:right w:val="single" w:sz="8" w:space="0" w:color="0070C0"/>
            </w:tcBorders>
            <w:vAlign w:val="center"/>
          </w:tcPr>
          <w:p w14:paraId="1B244E92" w14:textId="29356AA6" w:rsidR="003176E8" w:rsidRPr="00FA1897" w:rsidRDefault="003176E8" w:rsidP="00EA0874">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Pr>
                <w:rFonts w:ascii="Verdana" w:eastAsia="Times New Roman" w:hAnsi="Verdana"/>
                <w:sz w:val="20"/>
                <w:szCs w:val="20"/>
              </w:rPr>
              <w:t>2022</w:t>
            </w:r>
          </w:p>
        </w:tc>
        <w:tc>
          <w:tcPr>
            <w:tcW w:w="1267" w:type="dxa"/>
            <w:tcBorders>
              <w:top w:val="single" w:sz="12" w:space="0" w:color="000000"/>
              <w:left w:val="single" w:sz="8" w:space="0" w:color="0070C0"/>
              <w:bottom w:val="single" w:sz="18" w:space="0" w:color="C0504D" w:themeColor="accent2"/>
              <w:right w:val="single" w:sz="12" w:space="0" w:color="auto"/>
            </w:tcBorders>
            <w:vAlign w:val="center"/>
          </w:tcPr>
          <w:p w14:paraId="16CB7B7F" w14:textId="014938C7" w:rsidR="003176E8" w:rsidRPr="00FA1897" w:rsidRDefault="003176E8" w:rsidP="00EA0874">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Pr>
                <w:rFonts w:ascii="Verdana" w:eastAsia="Times New Roman" w:hAnsi="Verdana"/>
                <w:sz w:val="20"/>
                <w:szCs w:val="20"/>
              </w:rPr>
              <w:t>2025</w:t>
            </w:r>
          </w:p>
        </w:tc>
      </w:tr>
      <w:tr w:rsidR="003176E8" w:rsidRPr="00FA1897" w14:paraId="73B17444" w14:textId="77777777" w:rsidTr="00EA0874">
        <w:tblPrEx>
          <w:tblBorders>
            <w:top w:val="none" w:sz="0" w:space="0" w:color="auto"/>
          </w:tblBorders>
        </w:tblPrEx>
        <w:trPr>
          <w:trHeight w:val="249"/>
          <w:jc w:val="center"/>
        </w:trPr>
        <w:tc>
          <w:tcPr>
            <w:tcW w:w="3010" w:type="dxa"/>
            <w:tcBorders>
              <w:top w:val="single" w:sz="18" w:space="0" w:color="C0504D" w:themeColor="accent2"/>
              <w:left w:val="single" w:sz="12" w:space="0" w:color="000000"/>
              <w:bottom w:val="single" w:sz="4" w:space="0" w:color="000000"/>
              <w:right w:val="single" w:sz="12" w:space="0" w:color="0070C0"/>
            </w:tcBorders>
            <w:shd w:val="clear" w:color="auto" w:fill="auto"/>
            <w:vAlign w:val="center"/>
          </w:tcPr>
          <w:p w14:paraId="0F42233F" w14:textId="660FC8F3" w:rsidR="003176E8" w:rsidRPr="00FA1897" w:rsidRDefault="001F7B27" w:rsidP="003176E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Lodging</w:t>
            </w:r>
          </w:p>
        </w:tc>
        <w:tc>
          <w:tcPr>
            <w:tcW w:w="1267" w:type="dxa"/>
            <w:tcBorders>
              <w:top w:val="single" w:sz="18" w:space="0" w:color="C0504D" w:themeColor="accent2"/>
              <w:left w:val="single" w:sz="12" w:space="0" w:color="0070C0"/>
              <w:bottom w:val="single" w:sz="4" w:space="0" w:color="000000"/>
              <w:right w:val="single" w:sz="8" w:space="0" w:color="0070C0"/>
            </w:tcBorders>
            <w:shd w:val="clear" w:color="auto" w:fill="FF0000"/>
            <w:vAlign w:val="center"/>
          </w:tcPr>
          <w:p w14:paraId="3320A094" w14:textId="11C32FE5" w:rsidR="003176E8" w:rsidRPr="00FA1897" w:rsidRDefault="001F7B27" w:rsidP="00EA0874">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-10%</w:t>
            </w:r>
          </w:p>
        </w:tc>
        <w:tc>
          <w:tcPr>
            <w:tcW w:w="1267" w:type="dxa"/>
            <w:tcBorders>
              <w:top w:val="single" w:sz="18" w:space="0" w:color="C0504D" w:themeColor="accent2"/>
              <w:left w:val="single" w:sz="8" w:space="0" w:color="0070C0"/>
              <w:bottom w:val="single" w:sz="4" w:space="0" w:color="000000"/>
              <w:right w:val="single" w:sz="18" w:space="0" w:color="0070C0"/>
            </w:tcBorders>
            <w:shd w:val="clear" w:color="auto" w:fill="00B050"/>
            <w:vAlign w:val="center"/>
          </w:tcPr>
          <w:p w14:paraId="774EDE5B" w14:textId="6C3E497A" w:rsidR="003176E8" w:rsidRPr="00FA1897" w:rsidRDefault="001F7B27" w:rsidP="00EA0874">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+11%</w:t>
            </w:r>
          </w:p>
        </w:tc>
        <w:tc>
          <w:tcPr>
            <w:tcW w:w="3016" w:type="dxa"/>
            <w:tcBorders>
              <w:top w:val="single" w:sz="18" w:space="0" w:color="C0504D" w:themeColor="accent2"/>
              <w:left w:val="single" w:sz="18" w:space="0" w:color="0070C0"/>
              <w:bottom w:val="single" w:sz="4" w:space="0" w:color="000000"/>
              <w:right w:val="single" w:sz="12" w:space="0" w:color="0070C0"/>
            </w:tcBorders>
            <w:shd w:val="clear" w:color="auto" w:fill="auto"/>
            <w:vAlign w:val="center"/>
          </w:tcPr>
          <w:p w14:paraId="27B54B49" w14:textId="4C7BCDBC" w:rsidR="003176E8" w:rsidRPr="00FA1897" w:rsidRDefault="001F7B27" w:rsidP="003176E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Public Safety</w:t>
            </w:r>
          </w:p>
        </w:tc>
        <w:tc>
          <w:tcPr>
            <w:tcW w:w="1267" w:type="dxa"/>
            <w:tcBorders>
              <w:top w:val="single" w:sz="18" w:space="0" w:color="C0504D" w:themeColor="accent2"/>
              <w:left w:val="single" w:sz="12" w:space="0" w:color="0070C0"/>
              <w:bottom w:val="single" w:sz="4" w:space="0" w:color="000000"/>
              <w:right w:val="single" w:sz="8" w:space="0" w:color="0070C0"/>
            </w:tcBorders>
            <w:shd w:val="clear" w:color="auto" w:fill="E5B8B7" w:themeFill="accent2" w:themeFillTint="66"/>
            <w:vAlign w:val="center"/>
          </w:tcPr>
          <w:p w14:paraId="6BCA6D11" w14:textId="360E5B9A" w:rsidR="003176E8" w:rsidRPr="00FA1897" w:rsidRDefault="001F7B27" w:rsidP="00EA0874">
            <w:pPr>
              <w:widowControl w:val="0"/>
              <w:tabs>
                <w:tab w:val="left" w:pos="220"/>
                <w:tab w:val="left" w:pos="720"/>
              </w:tabs>
              <w:autoSpaceDE w:val="0"/>
              <w:autoSpaceDN w:val="0"/>
              <w:adjustRightInd w:val="0"/>
              <w:spacing w:after="0" w:line="240" w:lineRule="auto"/>
              <w:ind w:left="-113"/>
              <w:jc w:val="right"/>
              <w:rPr>
                <w:rFonts w:ascii="Verdana" w:eastAsia="Times New Roman" w:hAnsi="Verdana"/>
                <w:sz w:val="20"/>
                <w:szCs w:val="20"/>
              </w:rPr>
            </w:pPr>
            <w:r>
              <w:rPr>
                <w:rFonts w:ascii="Verdana" w:eastAsia="Times New Roman" w:hAnsi="Verdana"/>
                <w:sz w:val="20"/>
                <w:szCs w:val="20"/>
              </w:rPr>
              <w:t>-5%</w:t>
            </w:r>
          </w:p>
        </w:tc>
        <w:tc>
          <w:tcPr>
            <w:tcW w:w="1267" w:type="dxa"/>
            <w:tcBorders>
              <w:top w:val="single" w:sz="18" w:space="0" w:color="C0504D" w:themeColor="accent2"/>
              <w:left w:val="single" w:sz="8" w:space="0" w:color="0070C0"/>
              <w:bottom w:val="single" w:sz="4" w:space="0" w:color="000000"/>
              <w:right w:val="single" w:sz="12" w:space="0" w:color="auto"/>
            </w:tcBorders>
            <w:shd w:val="clear" w:color="auto" w:fill="C2D69B" w:themeFill="accent3" w:themeFillTint="99"/>
            <w:vAlign w:val="center"/>
          </w:tcPr>
          <w:p w14:paraId="7115FDAB" w14:textId="1C633ACA" w:rsidR="003176E8" w:rsidRPr="00FA1897" w:rsidRDefault="001F7B27" w:rsidP="00EA0874">
            <w:pPr>
              <w:widowControl w:val="0"/>
              <w:tabs>
                <w:tab w:val="left" w:pos="220"/>
                <w:tab w:val="left" w:pos="720"/>
              </w:tabs>
              <w:autoSpaceDE w:val="0"/>
              <w:autoSpaceDN w:val="0"/>
              <w:adjustRightInd w:val="0"/>
              <w:spacing w:after="0" w:line="240" w:lineRule="auto"/>
              <w:ind w:left="-113"/>
              <w:jc w:val="right"/>
              <w:rPr>
                <w:rFonts w:ascii="Verdana" w:eastAsia="Times New Roman" w:hAnsi="Verdana"/>
                <w:sz w:val="20"/>
                <w:szCs w:val="20"/>
              </w:rPr>
            </w:pPr>
            <w:r>
              <w:rPr>
                <w:rFonts w:ascii="Verdana" w:eastAsia="Times New Roman" w:hAnsi="Verdana"/>
                <w:sz w:val="20"/>
                <w:szCs w:val="20"/>
              </w:rPr>
              <w:t>+7%</w:t>
            </w:r>
          </w:p>
        </w:tc>
      </w:tr>
      <w:tr w:rsidR="003176E8" w:rsidRPr="00FA1897" w14:paraId="499002F7" w14:textId="77777777" w:rsidTr="00EA0874">
        <w:tblPrEx>
          <w:tblBorders>
            <w:top w:val="none" w:sz="0" w:space="0" w:color="auto"/>
          </w:tblBorders>
        </w:tblPrEx>
        <w:trPr>
          <w:trHeight w:val="249"/>
          <w:jc w:val="center"/>
        </w:trPr>
        <w:tc>
          <w:tcPr>
            <w:tcW w:w="3010" w:type="dxa"/>
            <w:tcBorders>
              <w:top w:val="single" w:sz="4" w:space="0" w:color="000000"/>
              <w:left w:val="single" w:sz="12" w:space="0" w:color="000000"/>
              <w:bottom w:val="single" w:sz="4" w:space="0" w:color="000000"/>
              <w:right w:val="single" w:sz="12" w:space="0" w:color="0070C0"/>
            </w:tcBorders>
            <w:shd w:val="clear" w:color="auto" w:fill="auto"/>
            <w:vAlign w:val="center"/>
          </w:tcPr>
          <w:p w14:paraId="79C64B50" w14:textId="4B5536D0" w:rsidR="003176E8" w:rsidRPr="00FA1897" w:rsidRDefault="001F7B27" w:rsidP="003176E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Office</w:t>
            </w:r>
          </w:p>
        </w:tc>
        <w:tc>
          <w:tcPr>
            <w:tcW w:w="1267" w:type="dxa"/>
            <w:tcBorders>
              <w:top w:val="single" w:sz="4" w:space="0" w:color="000000"/>
              <w:left w:val="single" w:sz="12" w:space="0" w:color="0070C0"/>
              <w:bottom w:val="single" w:sz="4" w:space="0" w:color="000000"/>
              <w:right w:val="single" w:sz="8" w:space="0" w:color="0070C0"/>
            </w:tcBorders>
            <w:shd w:val="clear" w:color="auto" w:fill="F2F2F2" w:themeFill="background1" w:themeFillShade="F2"/>
            <w:vAlign w:val="center"/>
          </w:tcPr>
          <w:p w14:paraId="41B6F8BC" w14:textId="5BA62EB4" w:rsidR="003176E8" w:rsidRPr="00FA1897" w:rsidRDefault="001F7B27" w:rsidP="00EA0874">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0%</w:t>
            </w:r>
          </w:p>
        </w:tc>
        <w:tc>
          <w:tcPr>
            <w:tcW w:w="1267" w:type="dxa"/>
            <w:tcBorders>
              <w:top w:val="single" w:sz="4" w:space="0" w:color="000000"/>
              <w:left w:val="single" w:sz="8" w:space="0" w:color="0070C0"/>
              <w:bottom w:val="single" w:sz="4" w:space="0" w:color="000000"/>
              <w:right w:val="single" w:sz="18" w:space="0" w:color="0070C0"/>
            </w:tcBorders>
            <w:shd w:val="clear" w:color="auto" w:fill="D6E3BC" w:themeFill="accent3" w:themeFillTint="66"/>
            <w:vAlign w:val="center"/>
          </w:tcPr>
          <w:p w14:paraId="47442A95" w14:textId="1BC2DB25" w:rsidR="003176E8" w:rsidRPr="00FA1897" w:rsidRDefault="001F7B27" w:rsidP="00EA0874">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+6%</w:t>
            </w:r>
          </w:p>
        </w:tc>
        <w:tc>
          <w:tcPr>
            <w:tcW w:w="3016"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1D226CF9" w14:textId="1C081E3E" w:rsidR="003176E8" w:rsidRPr="00FA1897" w:rsidRDefault="001F7B27" w:rsidP="003176E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Amusement and Recreation</w:t>
            </w:r>
          </w:p>
        </w:tc>
        <w:tc>
          <w:tcPr>
            <w:tcW w:w="1267" w:type="dxa"/>
            <w:tcBorders>
              <w:top w:val="single" w:sz="4" w:space="0" w:color="000000"/>
              <w:left w:val="single" w:sz="12" w:space="0" w:color="0070C0"/>
              <w:bottom w:val="single" w:sz="4" w:space="0" w:color="000000"/>
              <w:right w:val="single" w:sz="8" w:space="0" w:color="0070C0"/>
            </w:tcBorders>
            <w:shd w:val="clear" w:color="auto" w:fill="F2F2F2" w:themeFill="background1" w:themeFillShade="F2"/>
            <w:vAlign w:val="center"/>
          </w:tcPr>
          <w:p w14:paraId="2203B940" w14:textId="17778EDB" w:rsidR="003176E8" w:rsidRPr="00FA1897" w:rsidRDefault="001F7B27" w:rsidP="00EA0874">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0%</w:t>
            </w:r>
          </w:p>
        </w:tc>
        <w:tc>
          <w:tcPr>
            <w:tcW w:w="1267" w:type="dxa"/>
            <w:tcBorders>
              <w:top w:val="single" w:sz="4" w:space="0" w:color="000000"/>
              <w:left w:val="single" w:sz="8" w:space="0" w:color="0070C0"/>
              <w:bottom w:val="single" w:sz="4" w:space="0" w:color="000000"/>
              <w:right w:val="single" w:sz="12" w:space="0" w:color="auto"/>
            </w:tcBorders>
            <w:shd w:val="clear" w:color="auto" w:fill="D6E3BC" w:themeFill="accent3" w:themeFillTint="66"/>
            <w:vAlign w:val="center"/>
          </w:tcPr>
          <w:p w14:paraId="4CBB53F0" w14:textId="3BB12164" w:rsidR="003176E8" w:rsidRPr="00FA1897" w:rsidRDefault="001F7B27" w:rsidP="00EA0874">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+5%</w:t>
            </w:r>
          </w:p>
        </w:tc>
      </w:tr>
      <w:tr w:rsidR="003176E8" w:rsidRPr="00FA1897" w14:paraId="6A763EB8" w14:textId="77777777" w:rsidTr="00EA0874">
        <w:tblPrEx>
          <w:tblBorders>
            <w:top w:val="none" w:sz="0" w:space="0" w:color="auto"/>
          </w:tblBorders>
        </w:tblPrEx>
        <w:trPr>
          <w:trHeight w:val="249"/>
          <w:jc w:val="center"/>
        </w:trPr>
        <w:tc>
          <w:tcPr>
            <w:tcW w:w="3010" w:type="dxa"/>
            <w:tcBorders>
              <w:top w:val="single" w:sz="4" w:space="0" w:color="000000"/>
              <w:left w:val="single" w:sz="12" w:space="0" w:color="000000"/>
              <w:bottom w:val="single" w:sz="4" w:space="0" w:color="000000"/>
              <w:right w:val="single" w:sz="12" w:space="0" w:color="0070C0"/>
            </w:tcBorders>
            <w:shd w:val="clear" w:color="auto" w:fill="auto"/>
            <w:vAlign w:val="center"/>
          </w:tcPr>
          <w:p w14:paraId="5530EE14" w14:textId="6ED17085" w:rsidR="003176E8" w:rsidRPr="00FA1897" w:rsidRDefault="001F7B27" w:rsidP="003176E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Commercial</w:t>
            </w:r>
          </w:p>
        </w:tc>
        <w:tc>
          <w:tcPr>
            <w:tcW w:w="1267" w:type="dxa"/>
            <w:tcBorders>
              <w:top w:val="single" w:sz="4" w:space="0" w:color="000000"/>
              <w:left w:val="single" w:sz="12" w:space="0" w:color="0070C0"/>
              <w:bottom w:val="single" w:sz="4" w:space="0" w:color="000000"/>
              <w:right w:val="single" w:sz="8" w:space="0" w:color="0070C0"/>
            </w:tcBorders>
            <w:shd w:val="clear" w:color="auto" w:fill="D6E3BC" w:themeFill="accent3" w:themeFillTint="66"/>
            <w:vAlign w:val="center"/>
          </w:tcPr>
          <w:p w14:paraId="45C354B5" w14:textId="4FAAB977" w:rsidR="003176E8" w:rsidRPr="00FA1897" w:rsidRDefault="001F7B27" w:rsidP="00EA0874">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+5%</w:t>
            </w:r>
          </w:p>
        </w:tc>
        <w:tc>
          <w:tcPr>
            <w:tcW w:w="1267" w:type="dxa"/>
            <w:tcBorders>
              <w:top w:val="single" w:sz="4" w:space="0" w:color="000000"/>
              <w:left w:val="single" w:sz="8" w:space="0" w:color="0070C0"/>
              <w:bottom w:val="single" w:sz="4" w:space="0" w:color="000000"/>
              <w:right w:val="single" w:sz="18" w:space="0" w:color="0070C0"/>
            </w:tcBorders>
            <w:shd w:val="clear" w:color="auto" w:fill="D6E3BC" w:themeFill="accent3" w:themeFillTint="66"/>
            <w:vAlign w:val="center"/>
          </w:tcPr>
          <w:p w14:paraId="512A4EF4" w14:textId="4D8DBDE7" w:rsidR="003176E8" w:rsidRPr="00FA1897" w:rsidRDefault="001F7B27" w:rsidP="00EA0874">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+6%</w:t>
            </w:r>
          </w:p>
        </w:tc>
        <w:tc>
          <w:tcPr>
            <w:tcW w:w="3016"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5F23D0BD" w14:textId="314A6EB8" w:rsidR="003176E8" w:rsidRPr="00FA1897" w:rsidRDefault="001F7B27" w:rsidP="003176E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Transportation</w:t>
            </w:r>
          </w:p>
        </w:tc>
        <w:tc>
          <w:tcPr>
            <w:tcW w:w="1267" w:type="dxa"/>
            <w:tcBorders>
              <w:top w:val="single" w:sz="4" w:space="0" w:color="000000"/>
              <w:left w:val="single" w:sz="12" w:space="0" w:color="0070C0"/>
              <w:bottom w:val="single" w:sz="4" w:space="0" w:color="000000"/>
              <w:right w:val="single" w:sz="8" w:space="0" w:color="0070C0"/>
            </w:tcBorders>
            <w:shd w:val="clear" w:color="auto" w:fill="EAF1DD" w:themeFill="accent3" w:themeFillTint="33"/>
            <w:vAlign w:val="center"/>
          </w:tcPr>
          <w:p w14:paraId="4128816B" w14:textId="218346EF" w:rsidR="003176E8" w:rsidRPr="00FA1897" w:rsidRDefault="001F7B27" w:rsidP="00EA0874">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+2%</w:t>
            </w:r>
          </w:p>
        </w:tc>
        <w:tc>
          <w:tcPr>
            <w:tcW w:w="1267" w:type="dxa"/>
            <w:tcBorders>
              <w:top w:val="single" w:sz="4" w:space="0" w:color="000000"/>
              <w:left w:val="single" w:sz="8" w:space="0" w:color="0070C0"/>
              <w:bottom w:val="single" w:sz="4" w:space="0" w:color="000000"/>
              <w:right w:val="single" w:sz="12" w:space="0" w:color="auto"/>
            </w:tcBorders>
            <w:shd w:val="clear" w:color="auto" w:fill="00B050"/>
            <w:vAlign w:val="center"/>
          </w:tcPr>
          <w:p w14:paraId="7C0BC44A" w14:textId="715F5085" w:rsidR="003176E8" w:rsidRPr="00FA1897" w:rsidRDefault="001F7B27" w:rsidP="00EA0874">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+13%</w:t>
            </w:r>
          </w:p>
        </w:tc>
      </w:tr>
      <w:tr w:rsidR="003176E8" w:rsidRPr="00FA1897" w14:paraId="6AF9EF70" w14:textId="77777777" w:rsidTr="00EA0874">
        <w:tblPrEx>
          <w:tblBorders>
            <w:top w:val="none" w:sz="0" w:space="0" w:color="auto"/>
          </w:tblBorders>
        </w:tblPrEx>
        <w:trPr>
          <w:trHeight w:val="249"/>
          <w:jc w:val="center"/>
        </w:trPr>
        <w:tc>
          <w:tcPr>
            <w:tcW w:w="3010" w:type="dxa"/>
            <w:tcBorders>
              <w:top w:val="single" w:sz="4" w:space="0" w:color="000000"/>
              <w:left w:val="single" w:sz="12" w:space="0" w:color="000000"/>
              <w:bottom w:val="single" w:sz="4" w:space="0" w:color="000000"/>
              <w:right w:val="single" w:sz="12" w:space="0" w:color="0070C0"/>
            </w:tcBorders>
            <w:shd w:val="clear" w:color="auto" w:fill="auto"/>
            <w:vAlign w:val="center"/>
          </w:tcPr>
          <w:p w14:paraId="4E502F8C" w14:textId="53263179" w:rsidR="003176E8" w:rsidRPr="00FA1897" w:rsidRDefault="001F7B27" w:rsidP="003176E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Health Care</w:t>
            </w:r>
          </w:p>
        </w:tc>
        <w:tc>
          <w:tcPr>
            <w:tcW w:w="1267" w:type="dxa"/>
            <w:tcBorders>
              <w:top w:val="single" w:sz="4" w:space="0" w:color="000000"/>
              <w:left w:val="single" w:sz="12" w:space="0" w:color="0070C0"/>
              <w:bottom w:val="single" w:sz="4" w:space="0" w:color="000000"/>
              <w:right w:val="single" w:sz="8" w:space="0" w:color="0070C0"/>
            </w:tcBorders>
            <w:shd w:val="clear" w:color="auto" w:fill="D6E3BC" w:themeFill="accent3" w:themeFillTint="66"/>
            <w:vAlign w:val="center"/>
          </w:tcPr>
          <w:p w14:paraId="0CA73CEC" w14:textId="703040E2" w:rsidR="003176E8" w:rsidRPr="00FA1897" w:rsidRDefault="001F7B27" w:rsidP="00EA0874">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+6%</w:t>
            </w:r>
          </w:p>
        </w:tc>
        <w:tc>
          <w:tcPr>
            <w:tcW w:w="1267" w:type="dxa"/>
            <w:tcBorders>
              <w:top w:val="single" w:sz="4" w:space="0" w:color="000000"/>
              <w:left w:val="single" w:sz="8" w:space="0" w:color="0070C0"/>
              <w:bottom w:val="single" w:sz="4" w:space="0" w:color="000000"/>
              <w:right w:val="single" w:sz="18" w:space="0" w:color="0070C0"/>
            </w:tcBorders>
            <w:shd w:val="clear" w:color="auto" w:fill="EAF1DD" w:themeFill="accent3" w:themeFillTint="33"/>
            <w:vAlign w:val="center"/>
          </w:tcPr>
          <w:p w14:paraId="753CE9B8" w14:textId="22981684" w:rsidR="003176E8" w:rsidRPr="00FA1897" w:rsidRDefault="001F7B27" w:rsidP="00EA0874">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+3%</w:t>
            </w:r>
          </w:p>
        </w:tc>
        <w:tc>
          <w:tcPr>
            <w:tcW w:w="3016"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3CDF2C35" w14:textId="2FAD6900" w:rsidR="003176E8" w:rsidRPr="00FA1897" w:rsidRDefault="001F7B27" w:rsidP="003176E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Communication</w:t>
            </w:r>
          </w:p>
        </w:tc>
        <w:tc>
          <w:tcPr>
            <w:tcW w:w="1267" w:type="dxa"/>
            <w:tcBorders>
              <w:top w:val="single" w:sz="4" w:space="0" w:color="000000"/>
              <w:left w:val="single" w:sz="12" w:space="0" w:color="0070C0"/>
              <w:bottom w:val="single" w:sz="4" w:space="0" w:color="000000"/>
              <w:right w:val="single" w:sz="8" w:space="0" w:color="0070C0"/>
            </w:tcBorders>
            <w:shd w:val="clear" w:color="auto" w:fill="EAF1DD" w:themeFill="accent3" w:themeFillTint="33"/>
            <w:vAlign w:val="center"/>
          </w:tcPr>
          <w:p w14:paraId="0BEC29EC" w14:textId="5F0089BB" w:rsidR="003176E8" w:rsidRPr="00FA1897" w:rsidRDefault="001F7B27" w:rsidP="00EA0874">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+4%</w:t>
            </w:r>
          </w:p>
        </w:tc>
        <w:tc>
          <w:tcPr>
            <w:tcW w:w="1267" w:type="dxa"/>
            <w:tcBorders>
              <w:top w:val="single" w:sz="4" w:space="0" w:color="000000"/>
              <w:left w:val="single" w:sz="8" w:space="0" w:color="0070C0"/>
              <w:bottom w:val="single" w:sz="4" w:space="0" w:color="000000"/>
              <w:right w:val="single" w:sz="12" w:space="0" w:color="auto"/>
            </w:tcBorders>
            <w:shd w:val="clear" w:color="auto" w:fill="C2D69B" w:themeFill="accent3" w:themeFillTint="99"/>
            <w:vAlign w:val="center"/>
          </w:tcPr>
          <w:p w14:paraId="58AFCA8A" w14:textId="3C65D486" w:rsidR="003176E8" w:rsidRPr="00FA1897" w:rsidRDefault="001F7B27" w:rsidP="00EA0874">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+9%</w:t>
            </w:r>
          </w:p>
        </w:tc>
      </w:tr>
      <w:tr w:rsidR="003176E8" w:rsidRPr="00FA1897" w14:paraId="57E39F91" w14:textId="77777777" w:rsidTr="00EA0874">
        <w:tblPrEx>
          <w:tblBorders>
            <w:top w:val="none" w:sz="0" w:space="0" w:color="auto"/>
          </w:tblBorders>
        </w:tblPrEx>
        <w:trPr>
          <w:trHeight w:val="249"/>
          <w:jc w:val="center"/>
        </w:trPr>
        <w:tc>
          <w:tcPr>
            <w:tcW w:w="3010" w:type="dxa"/>
            <w:tcBorders>
              <w:top w:val="single" w:sz="4" w:space="0" w:color="000000"/>
              <w:left w:val="single" w:sz="12" w:space="0" w:color="000000"/>
              <w:bottom w:val="single" w:sz="4" w:space="0" w:color="000000"/>
              <w:right w:val="single" w:sz="12" w:space="0" w:color="0070C0"/>
            </w:tcBorders>
            <w:shd w:val="clear" w:color="auto" w:fill="auto"/>
            <w:vAlign w:val="center"/>
          </w:tcPr>
          <w:p w14:paraId="34CEA356" w14:textId="3A47F012" w:rsidR="003176E8" w:rsidRPr="00FA1897" w:rsidRDefault="001F7B27" w:rsidP="003176E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Educational</w:t>
            </w:r>
          </w:p>
        </w:tc>
        <w:tc>
          <w:tcPr>
            <w:tcW w:w="1267" w:type="dxa"/>
            <w:tcBorders>
              <w:top w:val="single" w:sz="4" w:space="0" w:color="000000"/>
              <w:left w:val="single" w:sz="12" w:space="0" w:color="0070C0"/>
              <w:bottom w:val="single" w:sz="4" w:space="0" w:color="000000"/>
              <w:right w:val="single" w:sz="8" w:space="0" w:color="0070C0"/>
            </w:tcBorders>
            <w:shd w:val="clear" w:color="auto" w:fill="EAF1DD" w:themeFill="accent3" w:themeFillTint="33"/>
            <w:vAlign w:val="center"/>
          </w:tcPr>
          <w:p w14:paraId="4B34D510" w14:textId="3A359202" w:rsidR="003176E8" w:rsidRPr="00FA1897" w:rsidRDefault="001F7B27" w:rsidP="00EA0874">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+1%</w:t>
            </w:r>
          </w:p>
        </w:tc>
        <w:tc>
          <w:tcPr>
            <w:tcW w:w="1267" w:type="dxa"/>
            <w:tcBorders>
              <w:top w:val="single" w:sz="4" w:space="0" w:color="000000"/>
              <w:left w:val="single" w:sz="8" w:space="0" w:color="0070C0"/>
              <w:bottom w:val="single" w:sz="4" w:space="0" w:color="000000"/>
              <w:right w:val="single" w:sz="18" w:space="0" w:color="0070C0"/>
            </w:tcBorders>
            <w:shd w:val="clear" w:color="auto" w:fill="D6E3BC" w:themeFill="accent3" w:themeFillTint="66"/>
            <w:vAlign w:val="center"/>
          </w:tcPr>
          <w:p w14:paraId="765CD967" w14:textId="50BD5683" w:rsidR="003176E8" w:rsidRPr="00FA1897" w:rsidRDefault="001F7B27" w:rsidP="00EA0874">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+6%</w:t>
            </w:r>
          </w:p>
        </w:tc>
        <w:tc>
          <w:tcPr>
            <w:tcW w:w="3016"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630D4957" w14:textId="08C9EAB8" w:rsidR="003176E8" w:rsidRPr="00FA1897" w:rsidRDefault="001F7B27" w:rsidP="003176E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Manufacturing</w:t>
            </w:r>
          </w:p>
        </w:tc>
        <w:tc>
          <w:tcPr>
            <w:tcW w:w="1267" w:type="dxa"/>
            <w:tcBorders>
              <w:top w:val="single" w:sz="4" w:space="0" w:color="000000"/>
              <w:left w:val="single" w:sz="12" w:space="0" w:color="0070C0"/>
              <w:bottom w:val="single" w:sz="4" w:space="0" w:color="000000"/>
              <w:right w:val="single" w:sz="8" w:space="0" w:color="0070C0"/>
            </w:tcBorders>
            <w:shd w:val="clear" w:color="auto" w:fill="00B050"/>
            <w:vAlign w:val="center"/>
          </w:tcPr>
          <w:p w14:paraId="6EF5826E" w14:textId="53748494" w:rsidR="003176E8" w:rsidRPr="00FA1897" w:rsidRDefault="001F7B27" w:rsidP="00EA0874">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+12%</w:t>
            </w:r>
          </w:p>
        </w:tc>
        <w:tc>
          <w:tcPr>
            <w:tcW w:w="1267" w:type="dxa"/>
            <w:tcBorders>
              <w:top w:val="single" w:sz="4" w:space="0" w:color="000000"/>
              <w:left w:val="single" w:sz="8" w:space="0" w:color="0070C0"/>
              <w:bottom w:val="single" w:sz="4" w:space="0" w:color="000000"/>
              <w:right w:val="single" w:sz="12" w:space="0" w:color="auto"/>
            </w:tcBorders>
            <w:shd w:val="clear" w:color="auto" w:fill="EAF1DD" w:themeFill="accent3" w:themeFillTint="33"/>
            <w:vAlign w:val="center"/>
          </w:tcPr>
          <w:p w14:paraId="0FC37170" w14:textId="5A002B74" w:rsidR="003176E8" w:rsidRPr="00FA1897" w:rsidRDefault="001F7B27" w:rsidP="00EA0874">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+1%</w:t>
            </w:r>
          </w:p>
        </w:tc>
      </w:tr>
      <w:tr w:rsidR="003176E8" w:rsidRPr="00FA1897" w14:paraId="47B8EDEA" w14:textId="77777777" w:rsidTr="00EA0874">
        <w:tblPrEx>
          <w:tblBorders>
            <w:top w:val="none" w:sz="0" w:space="0" w:color="auto"/>
          </w:tblBorders>
        </w:tblPrEx>
        <w:trPr>
          <w:trHeight w:val="249"/>
          <w:jc w:val="center"/>
        </w:trPr>
        <w:tc>
          <w:tcPr>
            <w:tcW w:w="3010" w:type="dxa"/>
            <w:tcBorders>
              <w:top w:val="single" w:sz="4" w:space="0" w:color="000000"/>
              <w:left w:val="single" w:sz="12" w:space="0" w:color="000000"/>
              <w:bottom w:val="single" w:sz="12" w:space="0" w:color="000000"/>
              <w:right w:val="single" w:sz="12" w:space="0" w:color="0070C0"/>
            </w:tcBorders>
            <w:shd w:val="clear" w:color="auto" w:fill="auto"/>
            <w:vAlign w:val="center"/>
          </w:tcPr>
          <w:p w14:paraId="526D5B43" w14:textId="316D2130" w:rsidR="003176E8" w:rsidRPr="00FA1897" w:rsidRDefault="001F7B27" w:rsidP="003176E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Religious</w:t>
            </w:r>
          </w:p>
        </w:tc>
        <w:tc>
          <w:tcPr>
            <w:tcW w:w="1267" w:type="dxa"/>
            <w:tcBorders>
              <w:top w:val="single" w:sz="4" w:space="0" w:color="000000"/>
              <w:left w:val="single" w:sz="12" w:space="0" w:color="0070C0"/>
              <w:bottom w:val="single" w:sz="12" w:space="0" w:color="000000"/>
              <w:right w:val="single" w:sz="8" w:space="0" w:color="0070C0"/>
            </w:tcBorders>
            <w:shd w:val="clear" w:color="auto" w:fill="D99594" w:themeFill="accent2" w:themeFillTint="99"/>
            <w:vAlign w:val="center"/>
          </w:tcPr>
          <w:p w14:paraId="2A1C8B7B" w14:textId="58E7205A" w:rsidR="003176E8" w:rsidRPr="00FA1897" w:rsidRDefault="001F7B27" w:rsidP="00EA0874">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-8%</w:t>
            </w:r>
          </w:p>
        </w:tc>
        <w:tc>
          <w:tcPr>
            <w:tcW w:w="1267" w:type="dxa"/>
            <w:tcBorders>
              <w:top w:val="single" w:sz="4" w:space="0" w:color="000000"/>
              <w:left w:val="single" w:sz="8" w:space="0" w:color="0070C0"/>
              <w:bottom w:val="single" w:sz="12" w:space="0" w:color="000000"/>
              <w:right w:val="single" w:sz="18" w:space="0" w:color="0070C0"/>
            </w:tcBorders>
            <w:shd w:val="clear" w:color="auto" w:fill="D6E3BC" w:themeFill="accent3" w:themeFillTint="66"/>
            <w:vAlign w:val="center"/>
          </w:tcPr>
          <w:p w14:paraId="4852EE29" w14:textId="69F03A12" w:rsidR="003176E8" w:rsidRPr="00FA1897" w:rsidRDefault="001F7B27" w:rsidP="00EA0874">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+5%</w:t>
            </w:r>
          </w:p>
        </w:tc>
        <w:tc>
          <w:tcPr>
            <w:tcW w:w="3016" w:type="dxa"/>
            <w:tcBorders>
              <w:top w:val="single" w:sz="4" w:space="0" w:color="000000"/>
              <w:left w:val="single" w:sz="18" w:space="0" w:color="0070C0"/>
              <w:bottom w:val="single" w:sz="12" w:space="0" w:color="000000"/>
              <w:right w:val="single" w:sz="12" w:space="0" w:color="0070C0"/>
            </w:tcBorders>
            <w:shd w:val="clear" w:color="auto" w:fill="D9D9D9" w:themeFill="background1" w:themeFillShade="D9"/>
            <w:vAlign w:val="center"/>
          </w:tcPr>
          <w:p w14:paraId="3087660D" w14:textId="1D14F85A" w:rsidR="003176E8" w:rsidRPr="00FA1897" w:rsidRDefault="003176E8" w:rsidP="003176E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p>
        </w:tc>
        <w:tc>
          <w:tcPr>
            <w:tcW w:w="1267" w:type="dxa"/>
            <w:tcBorders>
              <w:top w:val="single" w:sz="4" w:space="0" w:color="000000"/>
              <w:left w:val="single" w:sz="12" w:space="0" w:color="0070C0"/>
              <w:bottom w:val="single" w:sz="12" w:space="0" w:color="000000"/>
              <w:right w:val="single" w:sz="8" w:space="0" w:color="0070C0"/>
            </w:tcBorders>
            <w:shd w:val="clear" w:color="auto" w:fill="D9D9D9" w:themeFill="background1" w:themeFillShade="D9"/>
          </w:tcPr>
          <w:p w14:paraId="2F566464" w14:textId="77777777" w:rsidR="003176E8" w:rsidRPr="00FA1897" w:rsidRDefault="003176E8" w:rsidP="003176E8">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p>
        </w:tc>
        <w:tc>
          <w:tcPr>
            <w:tcW w:w="1267" w:type="dxa"/>
            <w:tcBorders>
              <w:top w:val="single" w:sz="4" w:space="0" w:color="000000"/>
              <w:left w:val="single" w:sz="8" w:space="0" w:color="0070C0"/>
              <w:bottom w:val="single" w:sz="12" w:space="0" w:color="000000"/>
              <w:right w:val="single" w:sz="12" w:space="0" w:color="auto"/>
            </w:tcBorders>
            <w:shd w:val="clear" w:color="auto" w:fill="D9D9D9" w:themeFill="background1" w:themeFillShade="D9"/>
            <w:vAlign w:val="center"/>
          </w:tcPr>
          <w:p w14:paraId="5562BB51" w14:textId="5B999E2F" w:rsidR="003176E8" w:rsidRPr="00FA1897" w:rsidRDefault="003176E8" w:rsidP="003176E8">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p>
        </w:tc>
      </w:tr>
    </w:tbl>
    <w:p w14:paraId="1D1C3FC7" w14:textId="78079AAD" w:rsidR="003176E8" w:rsidRDefault="00235A73" w:rsidP="00235A73">
      <w:pPr>
        <w:spacing w:after="0" w:line="240" w:lineRule="auto"/>
        <w:contextualSpacing/>
        <w:mirrorIndents/>
        <w:rPr>
          <w:rFonts w:ascii="Verdana" w:hAnsi="Verdana"/>
          <w:sz w:val="20"/>
          <w:szCs w:val="20"/>
        </w:rPr>
      </w:pPr>
      <w:r>
        <w:rPr>
          <w:rFonts w:ascii="Verdana" w:hAnsi="Verdana"/>
          <w:sz w:val="16"/>
          <w:szCs w:val="16"/>
        </w:rPr>
        <w:t>FMI,</w:t>
      </w:r>
      <w:r w:rsidRPr="00FA1897">
        <w:rPr>
          <w:rFonts w:ascii="Verdana" w:hAnsi="Verdana"/>
          <w:sz w:val="16"/>
          <w:szCs w:val="16"/>
        </w:rPr>
        <w:t xml:space="preserve"> </w:t>
      </w:r>
      <w:r>
        <w:rPr>
          <w:rFonts w:ascii="Verdana" w:hAnsi="Verdana"/>
          <w:sz w:val="16"/>
          <w:szCs w:val="16"/>
        </w:rPr>
        <w:t>January 2022</w:t>
      </w:r>
    </w:p>
    <w:p w14:paraId="72E6B734" w14:textId="0EADFC8F" w:rsidR="00576127" w:rsidRDefault="00576127" w:rsidP="004B0652">
      <w:pPr>
        <w:spacing w:after="0" w:line="240" w:lineRule="auto"/>
        <w:contextualSpacing/>
        <w:mirrorIndents/>
        <w:rPr>
          <w:rFonts w:ascii="Verdana" w:hAnsi="Verdana"/>
          <w:sz w:val="20"/>
          <w:szCs w:val="20"/>
        </w:rPr>
      </w:pPr>
    </w:p>
    <w:p w14:paraId="43BEAABA" w14:textId="77777777" w:rsidR="00EA0874" w:rsidRDefault="00EA0874" w:rsidP="004B0652">
      <w:pPr>
        <w:spacing w:after="0" w:line="240" w:lineRule="auto"/>
        <w:contextualSpacing/>
        <w:mirrorIndents/>
        <w:rPr>
          <w:rFonts w:ascii="Verdana" w:hAnsi="Verdana"/>
          <w:sz w:val="20"/>
          <w:szCs w:val="20"/>
        </w:rPr>
      </w:pPr>
    </w:p>
    <w:p w14:paraId="60AF80E6" w14:textId="3155BA76" w:rsidR="004B0652" w:rsidRPr="00235A73" w:rsidRDefault="004B0652" w:rsidP="00235A73">
      <w:pPr>
        <w:spacing w:after="0" w:line="240" w:lineRule="auto"/>
        <w:contextualSpacing/>
        <w:mirrorIndents/>
        <w:jc w:val="center"/>
        <w:rPr>
          <w:rFonts w:ascii="Verdana" w:hAnsi="Verdana"/>
          <w:b/>
          <w:bCs/>
          <w:color w:val="0070C0"/>
          <w:sz w:val="20"/>
          <w:szCs w:val="20"/>
        </w:rPr>
      </w:pPr>
      <w:r w:rsidRPr="00235A73">
        <w:rPr>
          <w:rFonts w:ascii="Verdana" w:hAnsi="Verdana"/>
          <w:b/>
          <w:bCs/>
          <w:color w:val="0070C0"/>
          <w:sz w:val="20"/>
          <w:szCs w:val="20"/>
        </w:rPr>
        <w:lastRenderedPageBreak/>
        <w:t xml:space="preserve">Nonbuilding Sector Will Improve with Infrastructure </w:t>
      </w:r>
      <w:r w:rsidR="00EA0874">
        <w:rPr>
          <w:rFonts w:ascii="Verdana" w:hAnsi="Verdana"/>
          <w:b/>
          <w:bCs/>
          <w:color w:val="0070C0"/>
          <w:sz w:val="20"/>
          <w:szCs w:val="20"/>
        </w:rPr>
        <w:t>Spending</w:t>
      </w:r>
    </w:p>
    <w:p w14:paraId="47F0E207" w14:textId="77777777" w:rsidR="004B0652" w:rsidRPr="004B0652" w:rsidRDefault="004B0652" w:rsidP="004B0652">
      <w:pPr>
        <w:spacing w:after="0" w:line="240" w:lineRule="auto"/>
        <w:contextualSpacing/>
        <w:mirrorIndents/>
        <w:rPr>
          <w:rFonts w:ascii="Verdana" w:hAnsi="Verdana"/>
          <w:sz w:val="20"/>
          <w:szCs w:val="20"/>
        </w:rPr>
      </w:pPr>
    </w:p>
    <w:p w14:paraId="01275ABF" w14:textId="257CAE45" w:rsidR="00235A73" w:rsidRDefault="00D2124B" w:rsidP="004B0652">
      <w:pPr>
        <w:spacing w:after="0" w:line="240" w:lineRule="auto"/>
        <w:contextualSpacing/>
        <w:mirrorIndents/>
        <w:rPr>
          <w:rFonts w:ascii="Verdana" w:hAnsi="Verdana"/>
          <w:sz w:val="20"/>
          <w:szCs w:val="20"/>
        </w:rPr>
      </w:pPr>
      <w:r>
        <w:rPr>
          <w:rFonts w:ascii="Verdana" w:hAnsi="Verdana"/>
          <w:sz w:val="20"/>
          <w:szCs w:val="20"/>
        </w:rPr>
        <w:t xml:space="preserve">The FMI overview forecasts significant 2022 increases </w:t>
      </w:r>
      <w:r w:rsidR="00A90E57">
        <w:rPr>
          <w:rFonts w:ascii="Verdana" w:hAnsi="Verdana"/>
          <w:sz w:val="20"/>
          <w:szCs w:val="20"/>
        </w:rPr>
        <w:t xml:space="preserve">for all five of the nonbuilding </w:t>
      </w:r>
      <w:r w:rsidR="00480F76">
        <w:rPr>
          <w:rFonts w:ascii="Verdana" w:hAnsi="Verdana"/>
          <w:sz w:val="20"/>
          <w:szCs w:val="20"/>
        </w:rPr>
        <w:t xml:space="preserve">structures </w:t>
      </w:r>
      <w:r w:rsidR="00A90E57">
        <w:rPr>
          <w:rFonts w:ascii="Verdana" w:hAnsi="Verdana"/>
          <w:sz w:val="20"/>
          <w:szCs w:val="20"/>
        </w:rPr>
        <w:t>sectors</w:t>
      </w:r>
      <w:r>
        <w:rPr>
          <w:rFonts w:ascii="Verdana" w:hAnsi="Verdana"/>
          <w:sz w:val="20"/>
          <w:szCs w:val="20"/>
        </w:rPr>
        <w:t>: power +6%, highway and street +7%, sewage and waste disposal +8%, water supply +7% and conservation and development +7%.</w:t>
      </w:r>
    </w:p>
    <w:p w14:paraId="321DECD1" w14:textId="4112D0FD" w:rsidR="00D2124B" w:rsidRDefault="00D2124B" w:rsidP="004B0652">
      <w:pPr>
        <w:spacing w:after="0" w:line="240" w:lineRule="auto"/>
        <w:contextualSpacing/>
        <w:mirrorIndents/>
        <w:rPr>
          <w:rFonts w:ascii="Verdana" w:hAnsi="Verdana"/>
          <w:sz w:val="20"/>
          <w:szCs w:val="20"/>
        </w:rPr>
      </w:pPr>
    </w:p>
    <w:p w14:paraId="09E84332" w14:textId="54D26949" w:rsidR="00D2124B" w:rsidRDefault="00D2124B" w:rsidP="004B0652">
      <w:pPr>
        <w:spacing w:after="0" w:line="240" w:lineRule="auto"/>
        <w:contextualSpacing/>
        <w:mirrorIndents/>
        <w:rPr>
          <w:rFonts w:ascii="Verdana" w:hAnsi="Verdana"/>
          <w:sz w:val="20"/>
          <w:szCs w:val="20"/>
        </w:rPr>
      </w:pPr>
      <w:r>
        <w:rPr>
          <w:rFonts w:ascii="Verdana" w:hAnsi="Verdana"/>
          <w:sz w:val="20"/>
          <w:szCs w:val="20"/>
        </w:rPr>
        <w:t>2023 and 2024 estimates for four of the sectors are double-digit increases: highway and street by 12%, both years; sewage and waste disposal by 10%, both years; water supply by 10% and 12%, respectively; and conservation and development by 11%, both years.</w:t>
      </w:r>
    </w:p>
    <w:p w14:paraId="271E09A9" w14:textId="466560B3" w:rsidR="00480F76" w:rsidRDefault="00480F76" w:rsidP="004B0652">
      <w:pPr>
        <w:spacing w:after="0" w:line="240" w:lineRule="auto"/>
        <w:contextualSpacing/>
        <w:mirrorIndents/>
        <w:rPr>
          <w:rFonts w:ascii="Verdana" w:hAnsi="Verdana"/>
          <w:sz w:val="20"/>
          <w:szCs w:val="20"/>
        </w:rPr>
      </w:pPr>
    </w:p>
    <w:p w14:paraId="3A3B97BB" w14:textId="6304A1E3" w:rsidR="00480F76" w:rsidRDefault="008D1056" w:rsidP="004B0652">
      <w:pPr>
        <w:spacing w:after="0" w:line="240" w:lineRule="auto"/>
        <w:contextualSpacing/>
        <w:mirrorIndents/>
        <w:rPr>
          <w:rFonts w:ascii="Verdana" w:hAnsi="Verdana"/>
          <w:sz w:val="20"/>
          <w:szCs w:val="20"/>
        </w:rPr>
      </w:pPr>
      <w:r>
        <w:rPr>
          <w:rFonts w:ascii="Verdana" w:hAnsi="Verdana"/>
          <w:sz w:val="20"/>
          <w:szCs w:val="20"/>
        </w:rPr>
        <w:t>The s</w:t>
      </w:r>
      <w:r w:rsidR="00480F76">
        <w:rPr>
          <w:rFonts w:ascii="Verdana" w:hAnsi="Verdana"/>
          <w:sz w:val="20"/>
          <w:szCs w:val="20"/>
        </w:rPr>
        <w:t>ewage and waste disposal</w:t>
      </w:r>
      <w:r>
        <w:rPr>
          <w:rFonts w:ascii="Verdana" w:hAnsi="Verdana"/>
          <w:sz w:val="20"/>
          <w:szCs w:val="20"/>
        </w:rPr>
        <w:t xml:space="preserve"> sector</w:t>
      </w:r>
      <w:r w:rsidR="00480F76">
        <w:rPr>
          <w:rFonts w:ascii="Verdana" w:hAnsi="Verdana"/>
          <w:sz w:val="20"/>
          <w:szCs w:val="20"/>
        </w:rPr>
        <w:t xml:space="preserve"> is forecast to increase </w:t>
      </w:r>
      <w:r>
        <w:rPr>
          <w:rFonts w:ascii="Verdana" w:hAnsi="Verdana"/>
          <w:sz w:val="20"/>
          <w:szCs w:val="20"/>
        </w:rPr>
        <w:t xml:space="preserve">by </w:t>
      </w:r>
      <w:r w:rsidR="00480F76">
        <w:rPr>
          <w:rFonts w:ascii="Verdana" w:hAnsi="Verdana"/>
          <w:sz w:val="20"/>
          <w:szCs w:val="20"/>
        </w:rPr>
        <w:t>10% for 2025, water supply by 11% and conservation and development by 10%. Highway and street’s 2025 increase of 9% is still significant, however, the power subsector’s increase will be less at 5%.</w:t>
      </w:r>
    </w:p>
    <w:p w14:paraId="351396B6" w14:textId="38483DD4" w:rsidR="00235A73" w:rsidRDefault="00235A73" w:rsidP="000324FF">
      <w:pPr>
        <w:spacing w:after="0" w:line="240" w:lineRule="auto"/>
        <w:contextualSpacing/>
        <w:mirrorIndents/>
        <w:rPr>
          <w:rFonts w:ascii="Verdana" w:hAnsi="Verdana"/>
          <w:sz w:val="20"/>
          <w:szCs w:val="20"/>
        </w:rPr>
      </w:pPr>
    </w:p>
    <w:p w14:paraId="1BA777EB" w14:textId="0BF2F702" w:rsidR="00480F76" w:rsidRPr="00412C44" w:rsidRDefault="00480F76" w:rsidP="005030B3">
      <w:pPr>
        <w:pStyle w:val="Header"/>
        <w:jc w:val="center"/>
        <w:rPr>
          <w:b/>
          <w:sz w:val="20"/>
          <w:szCs w:val="20"/>
        </w:rPr>
      </w:pPr>
      <w:r>
        <w:rPr>
          <w:b/>
          <w:sz w:val="20"/>
          <w:szCs w:val="20"/>
        </w:rPr>
        <w:t xml:space="preserve">2022 </w:t>
      </w:r>
      <w:r w:rsidR="005030B3">
        <w:rPr>
          <w:b/>
          <w:sz w:val="20"/>
          <w:szCs w:val="20"/>
        </w:rPr>
        <w:t xml:space="preserve">Forecast for Total </w:t>
      </w:r>
      <w:r>
        <w:rPr>
          <w:b/>
          <w:sz w:val="20"/>
          <w:szCs w:val="20"/>
        </w:rPr>
        <w:t>Nonbuilding Structures</w:t>
      </w:r>
      <w:r w:rsidR="00525C61">
        <w:rPr>
          <w:b/>
          <w:sz w:val="20"/>
          <w:szCs w:val="20"/>
        </w:rPr>
        <w:t xml:space="preserve"> Spending</w:t>
      </w:r>
      <w:r w:rsidR="005030B3">
        <w:rPr>
          <w:b/>
          <w:sz w:val="20"/>
          <w:szCs w:val="20"/>
        </w:rPr>
        <w:t xml:space="preserve">*, </w:t>
      </w:r>
      <w:r>
        <w:rPr>
          <w:b/>
          <w:sz w:val="20"/>
          <w:szCs w:val="20"/>
        </w:rPr>
        <w:t>by Region</w:t>
      </w:r>
    </w:p>
    <w:tbl>
      <w:tblPr>
        <w:tblW w:w="6911"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189"/>
        <w:gridCol w:w="1267"/>
        <w:gridCol w:w="2188"/>
        <w:gridCol w:w="1267"/>
      </w:tblGrid>
      <w:tr w:rsidR="00480F76" w:rsidRPr="00FA1897" w14:paraId="7137CE00" w14:textId="77777777" w:rsidTr="006B750A">
        <w:trPr>
          <w:trHeight w:val="249"/>
          <w:jc w:val="center"/>
        </w:trPr>
        <w:tc>
          <w:tcPr>
            <w:tcW w:w="2189" w:type="dxa"/>
            <w:tcBorders>
              <w:top w:val="single" w:sz="12" w:space="0" w:color="000000"/>
              <w:left w:val="single" w:sz="12" w:space="0" w:color="000000"/>
              <w:bottom w:val="single" w:sz="18" w:space="0" w:color="C0504D" w:themeColor="accent2"/>
              <w:right w:val="single" w:sz="8" w:space="0" w:color="0070C0"/>
            </w:tcBorders>
            <w:vAlign w:val="center"/>
          </w:tcPr>
          <w:p w14:paraId="02B03031" w14:textId="5FC6F519" w:rsidR="00480F76" w:rsidRPr="00FA1897" w:rsidRDefault="00480F76" w:rsidP="006B750A">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Pr>
                <w:rFonts w:ascii="Verdana" w:eastAsia="Times New Roman" w:hAnsi="Verdana"/>
                <w:sz w:val="20"/>
                <w:szCs w:val="20"/>
              </w:rPr>
              <w:t>Region</w:t>
            </w:r>
          </w:p>
        </w:tc>
        <w:tc>
          <w:tcPr>
            <w:tcW w:w="1267" w:type="dxa"/>
            <w:tcBorders>
              <w:top w:val="single" w:sz="12" w:space="0" w:color="000000"/>
              <w:left w:val="single" w:sz="8" w:space="0" w:color="0070C0"/>
              <w:bottom w:val="single" w:sz="18" w:space="0" w:color="C0504D" w:themeColor="accent2"/>
              <w:right w:val="single" w:sz="18" w:space="0" w:color="0070C0"/>
            </w:tcBorders>
            <w:vAlign w:val="center"/>
          </w:tcPr>
          <w:p w14:paraId="69EF8E2A" w14:textId="3324CA12" w:rsidR="00480F76" w:rsidRPr="00FA1897" w:rsidRDefault="00525C61" w:rsidP="006B750A">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Pr>
                <w:rFonts w:ascii="Verdana" w:eastAsia="Times New Roman" w:hAnsi="Verdana"/>
                <w:sz w:val="20"/>
                <w:szCs w:val="20"/>
              </w:rPr>
              <w:t>Change</w:t>
            </w:r>
          </w:p>
        </w:tc>
        <w:tc>
          <w:tcPr>
            <w:tcW w:w="2188" w:type="dxa"/>
            <w:tcBorders>
              <w:top w:val="single" w:sz="12" w:space="0" w:color="000000"/>
              <w:left w:val="single" w:sz="18" w:space="0" w:color="0070C0"/>
              <w:bottom w:val="single" w:sz="18" w:space="0" w:color="C0504D" w:themeColor="accent2"/>
              <w:right w:val="single" w:sz="8" w:space="0" w:color="0070C0"/>
            </w:tcBorders>
            <w:vAlign w:val="center"/>
          </w:tcPr>
          <w:p w14:paraId="262DD3D3" w14:textId="5161513E" w:rsidR="00480F76" w:rsidRPr="00FA1897" w:rsidRDefault="00480F76" w:rsidP="006B750A">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Pr>
                <w:rFonts w:ascii="Verdana" w:eastAsia="Times New Roman" w:hAnsi="Verdana"/>
                <w:sz w:val="20"/>
                <w:szCs w:val="20"/>
              </w:rPr>
              <w:t>Region</w:t>
            </w:r>
          </w:p>
        </w:tc>
        <w:tc>
          <w:tcPr>
            <w:tcW w:w="1267" w:type="dxa"/>
            <w:tcBorders>
              <w:top w:val="single" w:sz="12" w:space="0" w:color="000000"/>
              <w:left w:val="single" w:sz="8" w:space="0" w:color="0070C0"/>
              <w:bottom w:val="single" w:sz="18" w:space="0" w:color="C0504D" w:themeColor="accent2"/>
              <w:right w:val="single" w:sz="12" w:space="0" w:color="auto"/>
            </w:tcBorders>
            <w:vAlign w:val="center"/>
          </w:tcPr>
          <w:p w14:paraId="4E49686C" w14:textId="475E4B2D" w:rsidR="00480F76" w:rsidRPr="00FA1897" w:rsidRDefault="00525C61" w:rsidP="006B750A">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Pr>
                <w:rFonts w:ascii="Verdana" w:eastAsia="Times New Roman" w:hAnsi="Verdana"/>
                <w:sz w:val="20"/>
                <w:szCs w:val="20"/>
              </w:rPr>
              <w:t>Change</w:t>
            </w:r>
          </w:p>
        </w:tc>
      </w:tr>
      <w:tr w:rsidR="00480F76" w:rsidRPr="00FA1897" w14:paraId="346CC206" w14:textId="77777777" w:rsidTr="003138B0">
        <w:tblPrEx>
          <w:tblBorders>
            <w:top w:val="none" w:sz="0" w:space="0" w:color="auto"/>
          </w:tblBorders>
        </w:tblPrEx>
        <w:trPr>
          <w:trHeight w:val="249"/>
          <w:jc w:val="center"/>
        </w:trPr>
        <w:tc>
          <w:tcPr>
            <w:tcW w:w="2189" w:type="dxa"/>
            <w:tcBorders>
              <w:top w:val="single" w:sz="18" w:space="0" w:color="C0504D" w:themeColor="accent2"/>
              <w:left w:val="single" w:sz="12" w:space="0" w:color="000000"/>
              <w:bottom w:val="single" w:sz="4" w:space="0" w:color="000000"/>
              <w:right w:val="single" w:sz="8" w:space="0" w:color="0070C0"/>
            </w:tcBorders>
            <w:shd w:val="clear" w:color="auto" w:fill="auto"/>
            <w:vAlign w:val="center"/>
          </w:tcPr>
          <w:p w14:paraId="04E6BCE1" w14:textId="2ED9840B" w:rsidR="00480F76" w:rsidRPr="00FA1897" w:rsidRDefault="00525C61"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New England</w:t>
            </w:r>
          </w:p>
        </w:tc>
        <w:tc>
          <w:tcPr>
            <w:tcW w:w="1267" w:type="dxa"/>
            <w:tcBorders>
              <w:top w:val="single" w:sz="18" w:space="0" w:color="C0504D" w:themeColor="accent2"/>
              <w:left w:val="single" w:sz="8" w:space="0" w:color="0070C0"/>
              <w:bottom w:val="single" w:sz="4" w:space="0" w:color="000000"/>
              <w:right w:val="single" w:sz="18" w:space="0" w:color="0070C0"/>
            </w:tcBorders>
            <w:shd w:val="clear" w:color="auto" w:fill="00B050"/>
            <w:vAlign w:val="center"/>
          </w:tcPr>
          <w:p w14:paraId="570E3087" w14:textId="713C21A8" w:rsidR="00480F76" w:rsidRPr="00FA1897" w:rsidRDefault="00525C61" w:rsidP="005B42D8">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+14.5%</w:t>
            </w:r>
          </w:p>
        </w:tc>
        <w:tc>
          <w:tcPr>
            <w:tcW w:w="2188" w:type="dxa"/>
            <w:tcBorders>
              <w:top w:val="single" w:sz="18" w:space="0" w:color="C0504D" w:themeColor="accent2"/>
              <w:left w:val="single" w:sz="18" w:space="0" w:color="0070C0"/>
              <w:bottom w:val="single" w:sz="4" w:space="0" w:color="000000"/>
              <w:right w:val="single" w:sz="8" w:space="0" w:color="0070C0"/>
            </w:tcBorders>
            <w:shd w:val="clear" w:color="auto" w:fill="auto"/>
            <w:vAlign w:val="center"/>
          </w:tcPr>
          <w:p w14:paraId="56688FF8" w14:textId="5E295E97" w:rsidR="00480F76" w:rsidRPr="00FA1897" w:rsidRDefault="00525C61"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East South Central</w:t>
            </w:r>
          </w:p>
        </w:tc>
        <w:tc>
          <w:tcPr>
            <w:tcW w:w="1267" w:type="dxa"/>
            <w:tcBorders>
              <w:top w:val="single" w:sz="18" w:space="0" w:color="C0504D" w:themeColor="accent2"/>
              <w:left w:val="single" w:sz="8" w:space="0" w:color="0070C0"/>
              <w:bottom w:val="single" w:sz="4" w:space="0" w:color="000000"/>
              <w:right w:val="single" w:sz="12" w:space="0" w:color="auto"/>
            </w:tcBorders>
            <w:shd w:val="clear" w:color="auto" w:fill="C2D69B" w:themeFill="accent3" w:themeFillTint="99"/>
            <w:vAlign w:val="center"/>
          </w:tcPr>
          <w:p w14:paraId="2752F424" w14:textId="699DD1FD" w:rsidR="00480F76" w:rsidRPr="00FA1897" w:rsidRDefault="00525C61" w:rsidP="005B42D8">
            <w:pPr>
              <w:widowControl w:val="0"/>
              <w:tabs>
                <w:tab w:val="left" w:pos="220"/>
                <w:tab w:val="left" w:pos="720"/>
              </w:tabs>
              <w:autoSpaceDE w:val="0"/>
              <w:autoSpaceDN w:val="0"/>
              <w:adjustRightInd w:val="0"/>
              <w:spacing w:after="0" w:line="240" w:lineRule="auto"/>
              <w:ind w:left="-113"/>
              <w:jc w:val="right"/>
              <w:rPr>
                <w:rFonts w:ascii="Verdana" w:eastAsia="Times New Roman" w:hAnsi="Verdana"/>
                <w:sz w:val="20"/>
                <w:szCs w:val="20"/>
              </w:rPr>
            </w:pPr>
            <w:r>
              <w:rPr>
                <w:rFonts w:ascii="Verdana" w:eastAsia="Times New Roman" w:hAnsi="Verdana"/>
                <w:sz w:val="20"/>
                <w:szCs w:val="20"/>
              </w:rPr>
              <w:t>+7.6%</w:t>
            </w:r>
          </w:p>
        </w:tc>
      </w:tr>
      <w:tr w:rsidR="00480F76" w:rsidRPr="00FA1897" w14:paraId="01EAEF50" w14:textId="77777777" w:rsidTr="003138B0">
        <w:tblPrEx>
          <w:tblBorders>
            <w:top w:val="none" w:sz="0" w:space="0" w:color="auto"/>
          </w:tblBorders>
        </w:tblPrEx>
        <w:trPr>
          <w:trHeight w:val="249"/>
          <w:jc w:val="center"/>
        </w:trPr>
        <w:tc>
          <w:tcPr>
            <w:tcW w:w="2189" w:type="dxa"/>
            <w:tcBorders>
              <w:top w:val="single" w:sz="4" w:space="0" w:color="000000"/>
              <w:left w:val="single" w:sz="12" w:space="0" w:color="000000"/>
              <w:bottom w:val="single" w:sz="4" w:space="0" w:color="000000"/>
              <w:right w:val="single" w:sz="8" w:space="0" w:color="0070C0"/>
            </w:tcBorders>
            <w:shd w:val="clear" w:color="auto" w:fill="auto"/>
            <w:vAlign w:val="center"/>
          </w:tcPr>
          <w:p w14:paraId="5760B0F8" w14:textId="4A102A9E" w:rsidR="00480F76" w:rsidRPr="00FA1897" w:rsidRDefault="00525C61"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Mid-Atlantic</w:t>
            </w:r>
          </w:p>
        </w:tc>
        <w:tc>
          <w:tcPr>
            <w:tcW w:w="1267" w:type="dxa"/>
            <w:tcBorders>
              <w:top w:val="single" w:sz="4" w:space="0" w:color="000000"/>
              <w:left w:val="single" w:sz="8" w:space="0" w:color="0070C0"/>
              <w:bottom w:val="single" w:sz="4" w:space="0" w:color="000000"/>
              <w:right w:val="single" w:sz="18" w:space="0" w:color="0070C0"/>
            </w:tcBorders>
            <w:shd w:val="clear" w:color="auto" w:fill="D6E3BC" w:themeFill="accent3" w:themeFillTint="66"/>
            <w:vAlign w:val="center"/>
          </w:tcPr>
          <w:p w14:paraId="382BCC87" w14:textId="1B6C926D" w:rsidR="00480F76" w:rsidRPr="00FA1897" w:rsidRDefault="00525C61" w:rsidP="005B42D8">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+6.9%</w:t>
            </w:r>
          </w:p>
        </w:tc>
        <w:tc>
          <w:tcPr>
            <w:tcW w:w="2188"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03522E0A" w14:textId="65950D0F" w:rsidR="00480F76" w:rsidRPr="00FA1897" w:rsidRDefault="00525C61"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West South Central</w:t>
            </w:r>
          </w:p>
        </w:tc>
        <w:tc>
          <w:tcPr>
            <w:tcW w:w="1267" w:type="dxa"/>
            <w:tcBorders>
              <w:top w:val="single" w:sz="4" w:space="0" w:color="000000"/>
              <w:left w:val="single" w:sz="8" w:space="0" w:color="0070C0"/>
              <w:bottom w:val="single" w:sz="4" w:space="0" w:color="000000"/>
              <w:right w:val="single" w:sz="12" w:space="0" w:color="auto"/>
            </w:tcBorders>
            <w:shd w:val="clear" w:color="auto" w:fill="D6E3BC" w:themeFill="accent3" w:themeFillTint="66"/>
            <w:vAlign w:val="center"/>
          </w:tcPr>
          <w:p w14:paraId="239E107A" w14:textId="6D743245" w:rsidR="00480F76" w:rsidRPr="00FA1897" w:rsidRDefault="00525C61" w:rsidP="005B42D8">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+5.4%</w:t>
            </w:r>
          </w:p>
        </w:tc>
      </w:tr>
      <w:tr w:rsidR="00480F76" w:rsidRPr="00FA1897" w14:paraId="1FC741EB" w14:textId="77777777" w:rsidTr="003138B0">
        <w:tblPrEx>
          <w:tblBorders>
            <w:top w:val="none" w:sz="0" w:space="0" w:color="auto"/>
          </w:tblBorders>
        </w:tblPrEx>
        <w:trPr>
          <w:trHeight w:val="249"/>
          <w:jc w:val="center"/>
        </w:trPr>
        <w:tc>
          <w:tcPr>
            <w:tcW w:w="2189" w:type="dxa"/>
            <w:tcBorders>
              <w:top w:val="single" w:sz="4" w:space="0" w:color="000000"/>
              <w:left w:val="single" w:sz="12" w:space="0" w:color="000000"/>
              <w:bottom w:val="single" w:sz="4" w:space="0" w:color="000000"/>
              <w:right w:val="single" w:sz="8" w:space="0" w:color="0070C0"/>
            </w:tcBorders>
            <w:shd w:val="clear" w:color="auto" w:fill="auto"/>
            <w:vAlign w:val="center"/>
          </w:tcPr>
          <w:p w14:paraId="2CEB777A" w14:textId="1A451E45" w:rsidR="00480F76" w:rsidRPr="00FA1897" w:rsidRDefault="00525C61"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East North Central</w:t>
            </w:r>
          </w:p>
        </w:tc>
        <w:tc>
          <w:tcPr>
            <w:tcW w:w="1267" w:type="dxa"/>
            <w:tcBorders>
              <w:top w:val="single" w:sz="4" w:space="0" w:color="000000"/>
              <w:left w:val="single" w:sz="8" w:space="0" w:color="0070C0"/>
              <w:bottom w:val="single" w:sz="4" w:space="0" w:color="000000"/>
              <w:right w:val="single" w:sz="18" w:space="0" w:color="0070C0"/>
            </w:tcBorders>
            <w:shd w:val="clear" w:color="auto" w:fill="C2D69B" w:themeFill="accent3" w:themeFillTint="99"/>
            <w:vAlign w:val="center"/>
          </w:tcPr>
          <w:p w14:paraId="768934D4" w14:textId="4605C966" w:rsidR="00480F76" w:rsidRPr="00FA1897" w:rsidRDefault="00525C61" w:rsidP="005B42D8">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+8.1%</w:t>
            </w:r>
          </w:p>
        </w:tc>
        <w:tc>
          <w:tcPr>
            <w:tcW w:w="2188"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08BCA4F3" w14:textId="7B818BAA" w:rsidR="00480F76" w:rsidRPr="00FA1897" w:rsidRDefault="00525C61"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Mountain</w:t>
            </w:r>
          </w:p>
        </w:tc>
        <w:tc>
          <w:tcPr>
            <w:tcW w:w="1267" w:type="dxa"/>
            <w:tcBorders>
              <w:top w:val="single" w:sz="4" w:space="0" w:color="000000"/>
              <w:left w:val="single" w:sz="8" w:space="0" w:color="0070C0"/>
              <w:bottom w:val="single" w:sz="4" w:space="0" w:color="000000"/>
              <w:right w:val="single" w:sz="12" w:space="0" w:color="auto"/>
            </w:tcBorders>
            <w:shd w:val="clear" w:color="auto" w:fill="C2D69B" w:themeFill="accent3" w:themeFillTint="99"/>
            <w:vAlign w:val="center"/>
          </w:tcPr>
          <w:p w14:paraId="4603EDD1" w14:textId="71F62453" w:rsidR="00480F76" w:rsidRPr="00FA1897" w:rsidRDefault="003138B0" w:rsidP="005B42D8">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+7.3%</w:t>
            </w:r>
          </w:p>
        </w:tc>
      </w:tr>
      <w:tr w:rsidR="00480F76" w:rsidRPr="00FA1897" w14:paraId="18A01AB5" w14:textId="77777777" w:rsidTr="003138B0">
        <w:tblPrEx>
          <w:tblBorders>
            <w:top w:val="none" w:sz="0" w:space="0" w:color="auto"/>
          </w:tblBorders>
        </w:tblPrEx>
        <w:trPr>
          <w:trHeight w:val="249"/>
          <w:jc w:val="center"/>
        </w:trPr>
        <w:tc>
          <w:tcPr>
            <w:tcW w:w="2189" w:type="dxa"/>
            <w:tcBorders>
              <w:top w:val="single" w:sz="4" w:space="0" w:color="000000"/>
              <w:left w:val="single" w:sz="12" w:space="0" w:color="000000"/>
              <w:bottom w:val="single" w:sz="4" w:space="0" w:color="000000"/>
              <w:right w:val="single" w:sz="8" w:space="0" w:color="0070C0"/>
            </w:tcBorders>
            <w:shd w:val="clear" w:color="auto" w:fill="auto"/>
            <w:vAlign w:val="center"/>
          </w:tcPr>
          <w:p w14:paraId="3A38A9CA" w14:textId="1CF5A648" w:rsidR="00480F76" w:rsidRPr="00FA1897" w:rsidRDefault="00525C61"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West North Central</w:t>
            </w:r>
          </w:p>
        </w:tc>
        <w:tc>
          <w:tcPr>
            <w:tcW w:w="1267" w:type="dxa"/>
            <w:tcBorders>
              <w:top w:val="single" w:sz="4" w:space="0" w:color="000000"/>
              <w:left w:val="single" w:sz="8" w:space="0" w:color="0070C0"/>
              <w:bottom w:val="single" w:sz="4" w:space="0" w:color="000000"/>
              <w:right w:val="single" w:sz="18" w:space="0" w:color="0070C0"/>
            </w:tcBorders>
            <w:shd w:val="clear" w:color="auto" w:fill="D6E3BC" w:themeFill="accent3" w:themeFillTint="66"/>
            <w:vAlign w:val="center"/>
          </w:tcPr>
          <w:p w14:paraId="0302CBBA" w14:textId="0DC8DDD8" w:rsidR="00480F76" w:rsidRPr="00FA1897" w:rsidRDefault="00525C61" w:rsidP="005B42D8">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+6.9%</w:t>
            </w:r>
          </w:p>
        </w:tc>
        <w:tc>
          <w:tcPr>
            <w:tcW w:w="2188"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1D4E56B2" w14:textId="1FD6373B" w:rsidR="00480F76" w:rsidRPr="00FA1897" w:rsidRDefault="003138B0"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Pacific</w:t>
            </w:r>
          </w:p>
        </w:tc>
        <w:tc>
          <w:tcPr>
            <w:tcW w:w="1267" w:type="dxa"/>
            <w:tcBorders>
              <w:top w:val="single" w:sz="4" w:space="0" w:color="000000"/>
              <w:left w:val="single" w:sz="8" w:space="0" w:color="0070C0"/>
              <w:bottom w:val="single" w:sz="4" w:space="0" w:color="000000"/>
              <w:right w:val="single" w:sz="12" w:space="0" w:color="auto"/>
            </w:tcBorders>
            <w:shd w:val="clear" w:color="auto" w:fill="EAF1DD" w:themeFill="accent3" w:themeFillTint="33"/>
            <w:vAlign w:val="center"/>
          </w:tcPr>
          <w:p w14:paraId="52E79085" w14:textId="21FB4DAC" w:rsidR="00480F76" w:rsidRPr="00FA1897" w:rsidRDefault="003138B0" w:rsidP="005B42D8">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+2.9%</w:t>
            </w:r>
          </w:p>
        </w:tc>
      </w:tr>
      <w:tr w:rsidR="00480F76" w:rsidRPr="00FA1897" w14:paraId="3A9B7826" w14:textId="77777777" w:rsidTr="003138B0">
        <w:tblPrEx>
          <w:tblBorders>
            <w:top w:val="none" w:sz="0" w:space="0" w:color="auto"/>
          </w:tblBorders>
        </w:tblPrEx>
        <w:trPr>
          <w:trHeight w:val="249"/>
          <w:jc w:val="center"/>
        </w:trPr>
        <w:tc>
          <w:tcPr>
            <w:tcW w:w="2189" w:type="dxa"/>
            <w:tcBorders>
              <w:top w:val="single" w:sz="4" w:space="0" w:color="000000"/>
              <w:left w:val="single" w:sz="12" w:space="0" w:color="000000"/>
              <w:bottom w:val="single" w:sz="12" w:space="0" w:color="000000"/>
              <w:right w:val="single" w:sz="8" w:space="0" w:color="0070C0"/>
            </w:tcBorders>
            <w:shd w:val="clear" w:color="auto" w:fill="auto"/>
            <w:vAlign w:val="center"/>
          </w:tcPr>
          <w:p w14:paraId="512D43CE" w14:textId="16588A95" w:rsidR="00480F76" w:rsidRPr="00FA1897" w:rsidRDefault="00525C61"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South Atlantic</w:t>
            </w:r>
          </w:p>
        </w:tc>
        <w:tc>
          <w:tcPr>
            <w:tcW w:w="1267" w:type="dxa"/>
            <w:tcBorders>
              <w:top w:val="single" w:sz="4" w:space="0" w:color="000000"/>
              <w:left w:val="single" w:sz="8" w:space="0" w:color="0070C0"/>
              <w:bottom w:val="single" w:sz="12" w:space="0" w:color="000000"/>
              <w:right w:val="single" w:sz="18" w:space="0" w:color="0070C0"/>
            </w:tcBorders>
            <w:shd w:val="clear" w:color="auto" w:fill="C2D69B" w:themeFill="accent3" w:themeFillTint="99"/>
            <w:vAlign w:val="center"/>
          </w:tcPr>
          <w:p w14:paraId="1D479B47" w14:textId="6E02786A" w:rsidR="00480F76" w:rsidRPr="00FA1897" w:rsidRDefault="00525C61" w:rsidP="005B42D8">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+7.4%</w:t>
            </w:r>
          </w:p>
        </w:tc>
        <w:tc>
          <w:tcPr>
            <w:tcW w:w="2188" w:type="dxa"/>
            <w:tcBorders>
              <w:top w:val="single" w:sz="4" w:space="0" w:color="000000"/>
              <w:left w:val="single" w:sz="18" w:space="0" w:color="0070C0"/>
              <w:bottom w:val="single" w:sz="12" w:space="0" w:color="000000"/>
              <w:right w:val="single" w:sz="8" w:space="0" w:color="0070C0"/>
            </w:tcBorders>
            <w:shd w:val="clear" w:color="auto" w:fill="auto"/>
            <w:vAlign w:val="center"/>
          </w:tcPr>
          <w:p w14:paraId="5F1CB9E6" w14:textId="4CB9A00D" w:rsidR="00480F76" w:rsidRPr="00FA1897" w:rsidRDefault="003138B0"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US Total</w:t>
            </w:r>
          </w:p>
        </w:tc>
        <w:tc>
          <w:tcPr>
            <w:tcW w:w="1267" w:type="dxa"/>
            <w:tcBorders>
              <w:top w:val="single" w:sz="4" w:space="0" w:color="000000"/>
              <w:left w:val="single" w:sz="8" w:space="0" w:color="0070C0"/>
              <w:bottom w:val="single" w:sz="12" w:space="0" w:color="000000"/>
              <w:right w:val="single" w:sz="12" w:space="0" w:color="auto"/>
            </w:tcBorders>
            <w:shd w:val="clear" w:color="auto" w:fill="D6E3BC" w:themeFill="accent3" w:themeFillTint="66"/>
            <w:vAlign w:val="center"/>
          </w:tcPr>
          <w:p w14:paraId="6C9F6967" w14:textId="102F78F0" w:rsidR="00480F76" w:rsidRPr="00FA1897" w:rsidRDefault="003138B0" w:rsidP="005B42D8">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+6.5%</w:t>
            </w:r>
          </w:p>
        </w:tc>
      </w:tr>
    </w:tbl>
    <w:p w14:paraId="795D1AA6" w14:textId="2A831920" w:rsidR="00480F76" w:rsidRDefault="003138B0" w:rsidP="000324FF">
      <w:pPr>
        <w:tabs>
          <w:tab w:val="left" w:pos="1260"/>
        </w:tabs>
        <w:spacing w:after="0" w:line="240" w:lineRule="auto"/>
        <w:contextualSpacing/>
        <w:mirrorIndents/>
        <w:rPr>
          <w:rFonts w:ascii="Verdana" w:hAnsi="Verdana"/>
          <w:sz w:val="20"/>
          <w:szCs w:val="20"/>
        </w:rPr>
      </w:pPr>
      <w:r>
        <w:rPr>
          <w:rFonts w:ascii="Verdana" w:hAnsi="Verdana"/>
          <w:sz w:val="16"/>
          <w:szCs w:val="16"/>
        </w:rPr>
        <w:tab/>
      </w:r>
      <w:r w:rsidR="00480F76">
        <w:rPr>
          <w:rFonts w:ascii="Verdana" w:hAnsi="Verdana"/>
          <w:sz w:val="16"/>
          <w:szCs w:val="16"/>
        </w:rPr>
        <w:t>FMI,</w:t>
      </w:r>
      <w:r w:rsidR="00480F76" w:rsidRPr="00FA1897">
        <w:rPr>
          <w:rFonts w:ascii="Verdana" w:hAnsi="Verdana"/>
          <w:sz w:val="16"/>
          <w:szCs w:val="16"/>
        </w:rPr>
        <w:t xml:space="preserve"> </w:t>
      </w:r>
      <w:r w:rsidR="00480F76">
        <w:rPr>
          <w:rFonts w:ascii="Verdana" w:hAnsi="Verdana"/>
          <w:sz w:val="16"/>
          <w:szCs w:val="16"/>
        </w:rPr>
        <w:t>January 2022</w:t>
      </w:r>
      <w:r w:rsidR="005030B3">
        <w:rPr>
          <w:rFonts w:ascii="Verdana" w:hAnsi="Verdana"/>
          <w:sz w:val="16"/>
          <w:szCs w:val="16"/>
        </w:rPr>
        <w:tab/>
      </w:r>
      <w:r w:rsidR="005030B3">
        <w:rPr>
          <w:rFonts w:ascii="Verdana" w:hAnsi="Verdana"/>
          <w:sz w:val="16"/>
          <w:szCs w:val="16"/>
        </w:rPr>
        <w:tab/>
        <w:t>*change from 2021</w:t>
      </w:r>
    </w:p>
    <w:p w14:paraId="08E442C0" w14:textId="77777777" w:rsidR="00480F76" w:rsidRDefault="00480F76" w:rsidP="004B0652">
      <w:pPr>
        <w:spacing w:after="0" w:line="240" w:lineRule="auto"/>
        <w:contextualSpacing/>
        <w:mirrorIndents/>
        <w:rPr>
          <w:rFonts w:ascii="Verdana" w:hAnsi="Verdana"/>
          <w:sz w:val="20"/>
          <w:szCs w:val="20"/>
        </w:rPr>
      </w:pPr>
    </w:p>
    <w:p w14:paraId="7F1C04A6" w14:textId="0C74CD7D" w:rsidR="004B0652" w:rsidRPr="006271B8" w:rsidRDefault="004B0652" w:rsidP="006271B8">
      <w:pPr>
        <w:spacing w:after="0" w:line="240" w:lineRule="auto"/>
        <w:contextualSpacing/>
        <w:mirrorIndents/>
        <w:jc w:val="center"/>
        <w:rPr>
          <w:rFonts w:ascii="Verdana" w:hAnsi="Verdana"/>
          <w:b/>
          <w:bCs/>
          <w:color w:val="0070C0"/>
          <w:sz w:val="20"/>
          <w:szCs w:val="20"/>
        </w:rPr>
      </w:pPr>
      <w:r w:rsidRPr="006271B8">
        <w:rPr>
          <w:rFonts w:ascii="Verdana" w:hAnsi="Verdana"/>
          <w:b/>
          <w:bCs/>
          <w:color w:val="0070C0"/>
          <w:sz w:val="20"/>
          <w:szCs w:val="20"/>
        </w:rPr>
        <w:t>Business Construction Decision</w:t>
      </w:r>
      <w:r w:rsidR="006B750A">
        <w:rPr>
          <w:rFonts w:ascii="Verdana" w:hAnsi="Verdana"/>
          <w:b/>
          <w:bCs/>
          <w:color w:val="0070C0"/>
          <w:sz w:val="20"/>
          <w:szCs w:val="20"/>
        </w:rPr>
        <w:t>-</w:t>
      </w:r>
      <w:r w:rsidRPr="006271B8">
        <w:rPr>
          <w:rFonts w:ascii="Verdana" w:hAnsi="Verdana"/>
          <w:b/>
          <w:bCs/>
          <w:color w:val="0070C0"/>
          <w:sz w:val="20"/>
          <w:szCs w:val="20"/>
        </w:rPr>
        <w:t>Makers</w:t>
      </w:r>
    </w:p>
    <w:p w14:paraId="286AC9F6" w14:textId="77777777" w:rsidR="00F94CE8" w:rsidRPr="004B0652" w:rsidRDefault="00F94CE8" w:rsidP="004B0652">
      <w:pPr>
        <w:pStyle w:val="NoSpacing"/>
        <w:contextualSpacing/>
        <w:mirrorIndents/>
        <w:rPr>
          <w:rFonts w:ascii="Verdana" w:hAnsi="Verdana"/>
          <w:sz w:val="20"/>
          <w:szCs w:val="20"/>
        </w:rPr>
      </w:pPr>
    </w:p>
    <w:p w14:paraId="23D2BAA2" w14:textId="26F40279" w:rsidR="00F94CE8" w:rsidRDefault="00E060B5" w:rsidP="004B0652">
      <w:pPr>
        <w:pStyle w:val="NoSpacing"/>
        <w:contextualSpacing/>
        <w:mirrorIndents/>
        <w:rPr>
          <w:rFonts w:ascii="Verdana" w:hAnsi="Verdana"/>
          <w:sz w:val="20"/>
          <w:szCs w:val="20"/>
        </w:rPr>
      </w:pPr>
      <w:r>
        <w:rPr>
          <w:rFonts w:ascii="Verdana" w:hAnsi="Verdana"/>
          <w:sz w:val="20"/>
          <w:szCs w:val="20"/>
        </w:rPr>
        <w:t>According to five representative 2021 consumer/market surveys conducted by The Media Audit, the average age of the business construction decision</w:t>
      </w:r>
      <w:r w:rsidR="008D1056">
        <w:rPr>
          <w:rFonts w:ascii="Verdana" w:hAnsi="Verdana"/>
          <w:sz w:val="20"/>
          <w:szCs w:val="20"/>
        </w:rPr>
        <w:t>-</w:t>
      </w:r>
      <w:r>
        <w:rPr>
          <w:rFonts w:ascii="Verdana" w:hAnsi="Verdana"/>
          <w:sz w:val="20"/>
          <w:szCs w:val="20"/>
        </w:rPr>
        <w:t>maker was 39.1 years, which matches with Millennials over-indexing the most at an average of 161.</w:t>
      </w:r>
    </w:p>
    <w:p w14:paraId="2FBA7168" w14:textId="1E9D6D56" w:rsidR="00E060B5" w:rsidRDefault="00E060B5" w:rsidP="004B0652">
      <w:pPr>
        <w:pStyle w:val="NoSpacing"/>
        <w:contextualSpacing/>
        <w:mirrorIndents/>
        <w:rPr>
          <w:rFonts w:ascii="Verdana" w:hAnsi="Verdana"/>
          <w:sz w:val="20"/>
          <w:szCs w:val="20"/>
        </w:rPr>
      </w:pPr>
    </w:p>
    <w:p w14:paraId="18784BD2" w14:textId="3E8B8E50" w:rsidR="00E060B5" w:rsidRDefault="00E060B5" w:rsidP="004B0652">
      <w:pPr>
        <w:pStyle w:val="NoSpacing"/>
        <w:contextualSpacing/>
        <w:mirrorIndents/>
        <w:rPr>
          <w:rFonts w:ascii="Verdana" w:hAnsi="Verdana"/>
          <w:sz w:val="20"/>
          <w:szCs w:val="20"/>
        </w:rPr>
      </w:pPr>
      <w:r>
        <w:rPr>
          <w:rFonts w:ascii="Verdana" w:hAnsi="Verdana"/>
          <w:sz w:val="20"/>
          <w:szCs w:val="20"/>
        </w:rPr>
        <w:t>Unsurprisingly, men continue to represent approximately three-quarters of these decision</w:t>
      </w:r>
      <w:r w:rsidR="008D1056">
        <w:rPr>
          <w:rFonts w:ascii="Verdana" w:hAnsi="Verdana"/>
          <w:sz w:val="20"/>
          <w:szCs w:val="20"/>
        </w:rPr>
        <w:t>-</w:t>
      </w:r>
      <w:r>
        <w:rPr>
          <w:rFonts w:ascii="Verdana" w:hAnsi="Verdana"/>
          <w:sz w:val="20"/>
          <w:szCs w:val="20"/>
        </w:rPr>
        <w:t xml:space="preserve">makers at an average of 77.7% and women </w:t>
      </w:r>
      <w:r w:rsidR="008D1056">
        <w:rPr>
          <w:rFonts w:ascii="Verdana" w:hAnsi="Verdana"/>
          <w:sz w:val="20"/>
          <w:szCs w:val="20"/>
        </w:rPr>
        <w:t xml:space="preserve">at </w:t>
      </w:r>
      <w:r>
        <w:rPr>
          <w:rFonts w:ascii="Verdana" w:hAnsi="Verdana"/>
          <w:sz w:val="20"/>
          <w:szCs w:val="20"/>
        </w:rPr>
        <w:t>22.3%. The average household income of $81,200 for all these decision</w:t>
      </w:r>
      <w:r w:rsidR="008D1056">
        <w:rPr>
          <w:rFonts w:ascii="Verdana" w:hAnsi="Verdana"/>
          <w:sz w:val="20"/>
          <w:szCs w:val="20"/>
        </w:rPr>
        <w:t>-</w:t>
      </w:r>
      <w:r>
        <w:rPr>
          <w:rFonts w:ascii="Verdana" w:hAnsi="Verdana"/>
          <w:sz w:val="20"/>
          <w:szCs w:val="20"/>
        </w:rPr>
        <w:t xml:space="preserve">makers also reflects most of them </w:t>
      </w:r>
      <w:r w:rsidR="0001428D">
        <w:rPr>
          <w:rFonts w:ascii="Verdana" w:hAnsi="Verdana"/>
          <w:sz w:val="20"/>
          <w:szCs w:val="20"/>
        </w:rPr>
        <w:t>are</w:t>
      </w:r>
      <w:r>
        <w:rPr>
          <w:rFonts w:ascii="Verdana" w:hAnsi="Verdana"/>
          <w:sz w:val="20"/>
          <w:szCs w:val="20"/>
        </w:rPr>
        <w:t xml:space="preserve"> Millennials.</w:t>
      </w:r>
    </w:p>
    <w:p w14:paraId="6D46F791" w14:textId="56945E80" w:rsidR="00E060B5" w:rsidRDefault="00E060B5" w:rsidP="004B0652">
      <w:pPr>
        <w:pStyle w:val="NoSpacing"/>
        <w:contextualSpacing/>
        <w:mirrorIndents/>
        <w:rPr>
          <w:rFonts w:ascii="Verdana" w:hAnsi="Verdana"/>
          <w:sz w:val="20"/>
          <w:szCs w:val="20"/>
        </w:rPr>
      </w:pPr>
    </w:p>
    <w:p w14:paraId="14FA32D6" w14:textId="1787D1FB" w:rsidR="00E060B5" w:rsidRPr="004B0652" w:rsidRDefault="00E060B5" w:rsidP="004B0652">
      <w:pPr>
        <w:pStyle w:val="NoSpacing"/>
        <w:contextualSpacing/>
        <w:mirrorIndents/>
        <w:rPr>
          <w:rFonts w:ascii="Verdana" w:hAnsi="Verdana"/>
          <w:sz w:val="20"/>
          <w:szCs w:val="20"/>
        </w:rPr>
      </w:pPr>
      <w:r>
        <w:rPr>
          <w:rFonts w:ascii="Verdana" w:hAnsi="Verdana"/>
          <w:sz w:val="20"/>
          <w:szCs w:val="20"/>
        </w:rPr>
        <w:t>To reach these decision</w:t>
      </w:r>
      <w:r w:rsidR="008D1056">
        <w:rPr>
          <w:rFonts w:ascii="Verdana" w:hAnsi="Verdana"/>
          <w:sz w:val="20"/>
          <w:szCs w:val="20"/>
        </w:rPr>
        <w:t>-</w:t>
      </w:r>
      <w:r>
        <w:rPr>
          <w:rFonts w:ascii="Verdana" w:hAnsi="Verdana"/>
          <w:sz w:val="20"/>
          <w:szCs w:val="20"/>
        </w:rPr>
        <w:t>makers, radio</w:t>
      </w:r>
      <w:r w:rsidR="00185A33">
        <w:rPr>
          <w:rFonts w:ascii="Verdana" w:hAnsi="Verdana"/>
          <w:sz w:val="20"/>
          <w:szCs w:val="20"/>
        </w:rPr>
        <w:t>, newspaper and outdoor all over-indexed, on average, at 186, 177 and 174</w:t>
      </w:r>
      <w:r w:rsidR="006B750A">
        <w:rPr>
          <w:rFonts w:ascii="Verdana" w:hAnsi="Verdana"/>
          <w:sz w:val="20"/>
          <w:szCs w:val="20"/>
        </w:rPr>
        <w:t>, respectively</w:t>
      </w:r>
      <w:r w:rsidR="00185A33">
        <w:rPr>
          <w:rFonts w:ascii="Verdana" w:hAnsi="Verdana"/>
          <w:sz w:val="20"/>
          <w:szCs w:val="20"/>
        </w:rPr>
        <w:t xml:space="preserve">. Among digital media, podcast listening over-indexed at an average of 171, followed </w:t>
      </w:r>
      <w:r w:rsidR="008D1056">
        <w:rPr>
          <w:rFonts w:ascii="Verdana" w:hAnsi="Verdana"/>
          <w:sz w:val="20"/>
          <w:szCs w:val="20"/>
        </w:rPr>
        <w:t xml:space="preserve">by </w:t>
      </w:r>
      <w:r w:rsidR="00185A33">
        <w:rPr>
          <w:rFonts w:ascii="Verdana" w:hAnsi="Verdana"/>
          <w:sz w:val="20"/>
          <w:szCs w:val="20"/>
        </w:rPr>
        <w:t>audio streaming at 156 and social media at 123.</w:t>
      </w:r>
    </w:p>
    <w:p w14:paraId="664EB1A4" w14:textId="77777777" w:rsidR="00F94CE8" w:rsidRPr="004B0652" w:rsidRDefault="00F94CE8" w:rsidP="004B0652">
      <w:pPr>
        <w:pStyle w:val="NoSpacing"/>
        <w:contextualSpacing/>
        <w:mirrorIndents/>
        <w:rPr>
          <w:rFonts w:ascii="Verdana" w:hAnsi="Verdana"/>
          <w:sz w:val="20"/>
          <w:szCs w:val="20"/>
        </w:rPr>
      </w:pPr>
    </w:p>
    <w:p w14:paraId="01FC6351" w14:textId="77777777" w:rsidR="00201EEB" w:rsidRDefault="00201EEB" w:rsidP="00201EEB">
      <w:pPr>
        <w:spacing w:after="0" w:line="240" w:lineRule="auto"/>
        <w:contextualSpacing/>
        <w:mirrorIndents/>
        <w:jc w:val="center"/>
        <w:rPr>
          <w:b/>
          <w:bCs/>
          <w:sz w:val="20"/>
          <w:szCs w:val="20"/>
        </w:rPr>
      </w:pPr>
      <w:r>
        <w:rPr>
          <w:b/>
          <w:bCs/>
          <w:sz w:val="20"/>
          <w:szCs w:val="20"/>
        </w:rPr>
        <w:t xml:space="preserve">Percentages of Adults 18+ Who Influence Business Construction </w:t>
      </w:r>
    </w:p>
    <w:p w14:paraId="41A413F0" w14:textId="7B8A4169" w:rsidR="00201EEB" w:rsidRPr="005D1511" w:rsidRDefault="00201EEB" w:rsidP="00201EEB">
      <w:pPr>
        <w:spacing w:after="0" w:line="240" w:lineRule="auto"/>
        <w:contextualSpacing/>
        <w:mirrorIndents/>
        <w:jc w:val="center"/>
        <w:rPr>
          <w:b/>
          <w:bCs/>
          <w:sz w:val="20"/>
          <w:szCs w:val="20"/>
        </w:rPr>
      </w:pPr>
      <w:r>
        <w:rPr>
          <w:b/>
          <w:bCs/>
          <w:sz w:val="20"/>
          <w:szCs w:val="20"/>
        </w:rPr>
        <w:t>Decisions, by Occupation, in Selected Markets</w:t>
      </w:r>
      <w:r w:rsidRPr="005D1511">
        <w:rPr>
          <w:b/>
          <w:bCs/>
          <w:sz w:val="20"/>
          <w:szCs w:val="20"/>
        </w:rPr>
        <w:t>, 202</w:t>
      </w:r>
      <w:r>
        <w:rPr>
          <w:b/>
          <w:bCs/>
          <w:sz w:val="20"/>
          <w:szCs w:val="20"/>
        </w:rPr>
        <w:t>1</w:t>
      </w:r>
    </w:p>
    <w:tbl>
      <w:tblPr>
        <w:tblW w:w="10297"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813"/>
        <w:gridCol w:w="1492"/>
        <w:gridCol w:w="1498"/>
        <w:gridCol w:w="1498"/>
        <w:gridCol w:w="1498"/>
        <w:gridCol w:w="1498"/>
      </w:tblGrid>
      <w:tr w:rsidR="00201EEB" w:rsidRPr="005D1511" w14:paraId="7324AAC0" w14:textId="77777777" w:rsidTr="006B750A">
        <w:trPr>
          <w:jc w:val="center"/>
        </w:trPr>
        <w:tc>
          <w:tcPr>
            <w:tcW w:w="2813"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4E9DB507" w14:textId="76006D6A" w:rsidR="00201EEB" w:rsidRPr="004815C1" w:rsidRDefault="00201EEB" w:rsidP="006B750A">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Occupation</w:t>
            </w:r>
          </w:p>
        </w:tc>
        <w:tc>
          <w:tcPr>
            <w:tcW w:w="1492"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1336BB64" w14:textId="77777777" w:rsidR="00201EEB" w:rsidRPr="004815C1" w:rsidRDefault="00201EEB" w:rsidP="006B750A">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Miami-Ft. Lauderdale</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35BFA9BF" w14:textId="19CF4CF5" w:rsidR="00201EEB" w:rsidRPr="004815C1" w:rsidRDefault="00201EEB" w:rsidP="006B750A">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Cincinnati</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14DFC3A1" w14:textId="4F018343" w:rsidR="00201EEB" w:rsidRPr="004815C1" w:rsidRDefault="00201EEB" w:rsidP="006B750A">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Denver</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6760B6A7" w14:textId="77A200F3" w:rsidR="00201EEB" w:rsidRPr="004815C1" w:rsidRDefault="00201EEB" w:rsidP="006B750A">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Phoenix</w:t>
            </w:r>
          </w:p>
        </w:tc>
        <w:tc>
          <w:tcPr>
            <w:tcW w:w="1498"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044C033B" w14:textId="1177780A" w:rsidR="00201EEB" w:rsidRPr="004815C1" w:rsidRDefault="00201EEB" w:rsidP="006B750A">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Seattle-Tacoma</w:t>
            </w:r>
          </w:p>
        </w:tc>
      </w:tr>
      <w:tr w:rsidR="005C2C10" w:rsidRPr="005D1511" w14:paraId="7F4071AA" w14:textId="77777777" w:rsidTr="005C2C10">
        <w:tblPrEx>
          <w:tblBorders>
            <w:top w:val="none" w:sz="0" w:space="0" w:color="auto"/>
          </w:tblBorders>
        </w:tblPrEx>
        <w:trPr>
          <w:jc w:val="center"/>
        </w:trPr>
        <w:tc>
          <w:tcPr>
            <w:tcW w:w="2813"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60B76A0E" w14:textId="35B48A55" w:rsidR="00201EEB" w:rsidRPr="004815C1" w:rsidRDefault="00201EEB" w:rsidP="005B42D8">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White-collar workers</w:t>
            </w:r>
          </w:p>
        </w:tc>
        <w:tc>
          <w:tcPr>
            <w:tcW w:w="1492" w:type="dxa"/>
            <w:tcBorders>
              <w:top w:val="single" w:sz="18" w:space="0" w:color="C0504D" w:themeColor="accent2"/>
              <w:left w:val="single" w:sz="18" w:space="0" w:color="0070C0"/>
              <w:bottom w:val="single" w:sz="4" w:space="0" w:color="auto"/>
              <w:right w:val="single" w:sz="8" w:space="0" w:color="0070C0"/>
            </w:tcBorders>
            <w:shd w:val="clear" w:color="auto" w:fill="00B050"/>
            <w:vAlign w:val="center"/>
          </w:tcPr>
          <w:p w14:paraId="776C80E9" w14:textId="480D07B1" w:rsidR="00201EEB" w:rsidRPr="004815C1" w:rsidRDefault="00201EEB"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73.1%</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00B050"/>
            <w:vAlign w:val="center"/>
          </w:tcPr>
          <w:p w14:paraId="189A6515" w14:textId="619BBABE" w:rsidR="00201EEB" w:rsidRPr="004815C1" w:rsidRDefault="00201EEB"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76.4%</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C2D69B" w:themeFill="accent3" w:themeFillTint="99"/>
            <w:vAlign w:val="center"/>
          </w:tcPr>
          <w:p w14:paraId="7624829C" w14:textId="1F0184CE" w:rsidR="00201EEB" w:rsidRPr="004815C1" w:rsidRDefault="00201EEB"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47.8%</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00B050"/>
            <w:vAlign w:val="center"/>
          </w:tcPr>
          <w:p w14:paraId="71B38C69" w14:textId="280ACA00" w:rsidR="00201EEB" w:rsidRPr="004815C1" w:rsidRDefault="00201EEB"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64.6%</w:t>
            </w:r>
          </w:p>
        </w:tc>
        <w:tc>
          <w:tcPr>
            <w:tcW w:w="1498" w:type="dxa"/>
            <w:tcBorders>
              <w:top w:val="single" w:sz="18" w:space="0" w:color="C0504D" w:themeColor="accent2"/>
              <w:left w:val="single" w:sz="8" w:space="0" w:color="0070C0"/>
              <w:bottom w:val="single" w:sz="4" w:space="0" w:color="auto"/>
              <w:right w:val="single" w:sz="12" w:space="0" w:color="000000"/>
            </w:tcBorders>
            <w:shd w:val="clear" w:color="auto" w:fill="00B050"/>
            <w:vAlign w:val="center"/>
          </w:tcPr>
          <w:p w14:paraId="101E8E29" w14:textId="4FE6CE9F" w:rsidR="00201EEB" w:rsidRPr="004815C1" w:rsidRDefault="00201EEB" w:rsidP="005B42D8">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68.7%</w:t>
            </w:r>
          </w:p>
        </w:tc>
      </w:tr>
      <w:tr w:rsidR="005C2C10" w:rsidRPr="005D1511" w14:paraId="10DF6B09" w14:textId="77777777" w:rsidTr="005C2C10">
        <w:tblPrEx>
          <w:tblBorders>
            <w:top w:val="none" w:sz="0" w:space="0" w:color="auto"/>
          </w:tblBorders>
        </w:tblPrEx>
        <w:trPr>
          <w:jc w:val="center"/>
        </w:trPr>
        <w:tc>
          <w:tcPr>
            <w:tcW w:w="281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66557E7E" w14:textId="630BDE24" w:rsidR="00201EEB" w:rsidRPr="004815C1" w:rsidRDefault="00201EEB" w:rsidP="005B42D8">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 xml:space="preserve">   Professional/Technical</w:t>
            </w:r>
          </w:p>
        </w:tc>
        <w:tc>
          <w:tcPr>
            <w:tcW w:w="1492"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78E28BCD" w14:textId="4A12D47C" w:rsidR="00201EEB" w:rsidRPr="004815C1" w:rsidRDefault="00201EEB"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13.6%</w:t>
            </w:r>
          </w:p>
        </w:tc>
        <w:tc>
          <w:tcPr>
            <w:tcW w:w="149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261A241F" w14:textId="11E1F27B" w:rsidR="00201EEB" w:rsidRPr="004815C1" w:rsidRDefault="00201EEB"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8.5%</w:t>
            </w:r>
          </w:p>
        </w:tc>
        <w:tc>
          <w:tcPr>
            <w:tcW w:w="149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53E87B6C" w14:textId="29BFBACD" w:rsidR="00201EEB" w:rsidRPr="004815C1" w:rsidRDefault="00201EEB"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5.3%</w:t>
            </w:r>
          </w:p>
        </w:tc>
        <w:tc>
          <w:tcPr>
            <w:tcW w:w="1498" w:type="dxa"/>
            <w:tcBorders>
              <w:top w:val="single" w:sz="4" w:space="0" w:color="auto"/>
              <w:left w:val="single" w:sz="8" w:space="0" w:color="0070C0"/>
              <w:bottom w:val="single" w:sz="4" w:space="0" w:color="000000"/>
              <w:right w:val="single" w:sz="8" w:space="0" w:color="0070C0"/>
            </w:tcBorders>
            <w:shd w:val="clear" w:color="auto" w:fill="F2F2F2" w:themeFill="background1" w:themeFillShade="F2"/>
            <w:vAlign w:val="center"/>
          </w:tcPr>
          <w:p w14:paraId="18D3C6FD" w14:textId="3B6E0CB6" w:rsidR="00201EEB" w:rsidRPr="004815C1" w:rsidRDefault="00201EEB"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w:t>
            </w:r>
          </w:p>
        </w:tc>
        <w:tc>
          <w:tcPr>
            <w:tcW w:w="1498"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0F8588D7" w14:textId="2D89FF8A" w:rsidR="00201EEB" w:rsidRPr="00B00624" w:rsidRDefault="00201EEB"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18.1%</w:t>
            </w:r>
          </w:p>
        </w:tc>
      </w:tr>
      <w:tr w:rsidR="00201EEB" w:rsidRPr="005D1511" w14:paraId="617094E9" w14:textId="77777777" w:rsidTr="005C2C10">
        <w:tblPrEx>
          <w:tblBorders>
            <w:top w:val="none" w:sz="0" w:space="0" w:color="auto"/>
          </w:tblBorders>
        </w:tblPrEx>
        <w:trPr>
          <w:jc w:val="center"/>
        </w:trPr>
        <w:tc>
          <w:tcPr>
            <w:tcW w:w="281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002A0248" w14:textId="7BC7D68E" w:rsidR="00201EEB" w:rsidRPr="004815C1" w:rsidRDefault="00201EEB" w:rsidP="005B42D8">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 xml:space="preserve">   Proprietors/Managers</w:t>
            </w:r>
          </w:p>
        </w:tc>
        <w:tc>
          <w:tcPr>
            <w:tcW w:w="1492" w:type="dxa"/>
            <w:tcBorders>
              <w:top w:val="single" w:sz="4" w:space="0" w:color="auto"/>
              <w:left w:val="single" w:sz="18" w:space="0" w:color="0070C0"/>
              <w:bottom w:val="single" w:sz="4" w:space="0" w:color="000000"/>
              <w:right w:val="single" w:sz="8" w:space="0" w:color="0070C0"/>
            </w:tcBorders>
            <w:shd w:val="clear" w:color="auto" w:fill="92D050"/>
            <w:vAlign w:val="center"/>
          </w:tcPr>
          <w:p w14:paraId="66A637A1" w14:textId="26098A31" w:rsidR="00201EEB" w:rsidRPr="004815C1" w:rsidRDefault="00201EEB"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51.1%</w:t>
            </w:r>
          </w:p>
        </w:tc>
        <w:tc>
          <w:tcPr>
            <w:tcW w:w="1498" w:type="dxa"/>
            <w:tcBorders>
              <w:top w:val="single" w:sz="4" w:space="0" w:color="auto"/>
              <w:left w:val="single" w:sz="8" w:space="0" w:color="0070C0"/>
              <w:bottom w:val="single" w:sz="4" w:space="0" w:color="000000"/>
              <w:right w:val="single" w:sz="8" w:space="0" w:color="0070C0"/>
            </w:tcBorders>
            <w:shd w:val="clear" w:color="auto" w:fill="00B050"/>
            <w:vAlign w:val="center"/>
          </w:tcPr>
          <w:p w14:paraId="11B11387" w14:textId="3700EBD8" w:rsidR="00201EEB" w:rsidRPr="004815C1" w:rsidRDefault="00201EEB"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68.0%</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5146E374" w14:textId="76B250EE" w:rsidR="00201EEB" w:rsidRPr="004815C1" w:rsidRDefault="00201EEB"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41.5%</w:t>
            </w:r>
          </w:p>
        </w:tc>
        <w:tc>
          <w:tcPr>
            <w:tcW w:w="1498" w:type="dxa"/>
            <w:tcBorders>
              <w:top w:val="single" w:sz="4" w:space="0" w:color="auto"/>
              <w:left w:val="single" w:sz="8" w:space="0" w:color="0070C0"/>
              <w:bottom w:val="single" w:sz="4" w:space="0" w:color="000000"/>
              <w:right w:val="single" w:sz="8" w:space="0" w:color="0070C0"/>
            </w:tcBorders>
            <w:shd w:val="clear" w:color="auto" w:fill="92D050"/>
            <w:vAlign w:val="center"/>
          </w:tcPr>
          <w:p w14:paraId="2790C8EF" w14:textId="6350414E" w:rsidR="00201EEB" w:rsidRPr="004815C1" w:rsidRDefault="00201EEB"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52.8%</w:t>
            </w:r>
          </w:p>
        </w:tc>
        <w:tc>
          <w:tcPr>
            <w:tcW w:w="1498" w:type="dxa"/>
            <w:tcBorders>
              <w:top w:val="single" w:sz="4" w:space="0" w:color="auto"/>
              <w:left w:val="single" w:sz="8" w:space="0" w:color="0070C0"/>
              <w:bottom w:val="single" w:sz="4" w:space="0" w:color="000000"/>
              <w:right w:val="single" w:sz="12" w:space="0" w:color="000000"/>
            </w:tcBorders>
            <w:shd w:val="clear" w:color="auto" w:fill="92D050"/>
            <w:vAlign w:val="center"/>
          </w:tcPr>
          <w:p w14:paraId="787952F6" w14:textId="09676DE9" w:rsidR="00201EEB" w:rsidRPr="00B00624" w:rsidRDefault="00201EEB"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47.9%</w:t>
            </w:r>
          </w:p>
        </w:tc>
      </w:tr>
      <w:tr w:rsidR="005C2C10" w:rsidRPr="005D1511" w14:paraId="14B77090" w14:textId="77777777" w:rsidTr="005C2C10">
        <w:tblPrEx>
          <w:tblBorders>
            <w:top w:val="none" w:sz="0" w:space="0" w:color="auto"/>
          </w:tblBorders>
        </w:tblPrEx>
        <w:trPr>
          <w:jc w:val="center"/>
        </w:trPr>
        <w:tc>
          <w:tcPr>
            <w:tcW w:w="281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661A0452" w14:textId="70E1C3F1" w:rsidR="00201EEB" w:rsidRDefault="00201EEB" w:rsidP="005B42D8">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 xml:space="preserve">   Clerical/Sales</w:t>
            </w:r>
          </w:p>
        </w:tc>
        <w:tc>
          <w:tcPr>
            <w:tcW w:w="1492" w:type="dxa"/>
            <w:tcBorders>
              <w:top w:val="single" w:sz="4" w:space="0" w:color="auto"/>
              <w:left w:val="single" w:sz="18" w:space="0" w:color="0070C0"/>
              <w:bottom w:val="single" w:sz="4" w:space="0" w:color="000000"/>
              <w:right w:val="single" w:sz="8" w:space="0" w:color="0070C0"/>
            </w:tcBorders>
            <w:shd w:val="clear" w:color="auto" w:fill="EAF1DD" w:themeFill="accent3" w:themeFillTint="33"/>
            <w:vAlign w:val="center"/>
          </w:tcPr>
          <w:p w14:paraId="0F24A5A5" w14:textId="072FAF30" w:rsidR="00201EEB" w:rsidRDefault="00201EEB"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8.4%</w:t>
            </w:r>
          </w:p>
        </w:tc>
        <w:tc>
          <w:tcPr>
            <w:tcW w:w="1498" w:type="dxa"/>
            <w:tcBorders>
              <w:top w:val="single" w:sz="4" w:space="0" w:color="auto"/>
              <w:left w:val="single" w:sz="8" w:space="0" w:color="0070C0"/>
              <w:bottom w:val="single" w:sz="4" w:space="0" w:color="000000"/>
              <w:right w:val="single" w:sz="8" w:space="0" w:color="0070C0"/>
            </w:tcBorders>
            <w:shd w:val="clear" w:color="auto" w:fill="F2F2F2" w:themeFill="background1" w:themeFillShade="F2"/>
            <w:vAlign w:val="center"/>
          </w:tcPr>
          <w:p w14:paraId="0BF354FB" w14:textId="4B6074B1" w:rsidR="00201EEB" w:rsidRDefault="00201EEB"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w:t>
            </w:r>
          </w:p>
        </w:tc>
        <w:tc>
          <w:tcPr>
            <w:tcW w:w="149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110FD0D7" w14:textId="3F912DDF" w:rsidR="00201EEB" w:rsidRDefault="00201EEB"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26CB8FAA" w14:textId="6E0E907E" w:rsidR="00201EEB" w:rsidRDefault="00201EEB"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11.8%</w:t>
            </w:r>
          </w:p>
        </w:tc>
        <w:tc>
          <w:tcPr>
            <w:tcW w:w="1498" w:type="dxa"/>
            <w:tcBorders>
              <w:top w:val="single" w:sz="4" w:space="0" w:color="auto"/>
              <w:left w:val="single" w:sz="8" w:space="0" w:color="0070C0"/>
              <w:bottom w:val="single" w:sz="4" w:space="0" w:color="000000"/>
              <w:right w:val="single" w:sz="12" w:space="0" w:color="000000"/>
            </w:tcBorders>
            <w:shd w:val="clear" w:color="auto" w:fill="EAF1DD" w:themeFill="accent3" w:themeFillTint="33"/>
            <w:vAlign w:val="center"/>
          </w:tcPr>
          <w:p w14:paraId="6A533224" w14:textId="416F9632" w:rsidR="00201EEB" w:rsidRDefault="00201EEB"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2.7%</w:t>
            </w:r>
          </w:p>
        </w:tc>
      </w:tr>
      <w:tr w:rsidR="005C2C10" w:rsidRPr="005D1511" w14:paraId="271B33D7" w14:textId="77777777" w:rsidTr="005C2C10">
        <w:tblPrEx>
          <w:tblBorders>
            <w:top w:val="none" w:sz="0" w:space="0" w:color="auto"/>
          </w:tblBorders>
        </w:tblPrEx>
        <w:trPr>
          <w:jc w:val="center"/>
        </w:trPr>
        <w:tc>
          <w:tcPr>
            <w:tcW w:w="281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5C6603DA" w14:textId="5D127C8B" w:rsidR="00201EEB" w:rsidRPr="004815C1" w:rsidRDefault="00201EEB" w:rsidP="005B42D8">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Blue-collar workers</w:t>
            </w:r>
          </w:p>
        </w:tc>
        <w:tc>
          <w:tcPr>
            <w:tcW w:w="1492"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50AE9D3C" w14:textId="6222FCC7" w:rsidR="00201EEB" w:rsidRPr="004815C1" w:rsidRDefault="00201EEB" w:rsidP="005B42D8">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11.0%</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55D2D4DF" w14:textId="371736E6" w:rsidR="00201EEB" w:rsidRPr="004815C1" w:rsidRDefault="00201EEB"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16.9%</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143D5332" w14:textId="77D80CEA" w:rsidR="00201EEB" w:rsidRPr="004815C1" w:rsidRDefault="00201EEB"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29.0%</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0FAD5306" w14:textId="6D61FF5F" w:rsidR="00201EEB" w:rsidRPr="004815C1" w:rsidRDefault="00201EEB"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21.0%</w:t>
            </w:r>
          </w:p>
        </w:tc>
        <w:tc>
          <w:tcPr>
            <w:tcW w:w="1498" w:type="dxa"/>
            <w:tcBorders>
              <w:top w:val="single" w:sz="4" w:space="0" w:color="auto"/>
              <w:left w:val="single" w:sz="8" w:space="0" w:color="0070C0"/>
              <w:bottom w:val="single" w:sz="4" w:space="0" w:color="000000"/>
              <w:right w:val="single" w:sz="12" w:space="0" w:color="000000"/>
            </w:tcBorders>
            <w:shd w:val="clear" w:color="auto" w:fill="EAF1DD" w:themeFill="accent3" w:themeFillTint="33"/>
            <w:vAlign w:val="center"/>
          </w:tcPr>
          <w:p w14:paraId="0756C6F4" w14:textId="0ED04046" w:rsidR="00201EEB" w:rsidRPr="004815C1" w:rsidRDefault="00201EEB"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4.5%</w:t>
            </w:r>
          </w:p>
        </w:tc>
      </w:tr>
      <w:tr w:rsidR="005C2C10" w:rsidRPr="005D1511" w14:paraId="77205E5E" w14:textId="77777777" w:rsidTr="005C2C10">
        <w:tblPrEx>
          <w:tblBorders>
            <w:top w:val="none" w:sz="0" w:space="0" w:color="auto"/>
          </w:tblBorders>
        </w:tblPrEx>
        <w:trPr>
          <w:jc w:val="center"/>
        </w:trPr>
        <w:tc>
          <w:tcPr>
            <w:tcW w:w="2813"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59A09798" w14:textId="161FA571" w:rsidR="00201EEB" w:rsidRPr="004815C1" w:rsidRDefault="00201EEB" w:rsidP="005B42D8">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Business owner/partner/ corporate officer</w:t>
            </w:r>
          </w:p>
        </w:tc>
        <w:tc>
          <w:tcPr>
            <w:tcW w:w="1492" w:type="dxa"/>
            <w:tcBorders>
              <w:top w:val="single" w:sz="4" w:space="0" w:color="000000"/>
              <w:left w:val="single" w:sz="18" w:space="0" w:color="0070C0"/>
              <w:bottom w:val="single" w:sz="12" w:space="0" w:color="auto"/>
              <w:right w:val="single" w:sz="8" w:space="0" w:color="0070C0"/>
            </w:tcBorders>
            <w:shd w:val="clear" w:color="auto" w:fill="92D050"/>
            <w:vAlign w:val="center"/>
          </w:tcPr>
          <w:p w14:paraId="00E48FEB" w14:textId="760DADE1" w:rsidR="00201EEB" w:rsidRPr="004815C1" w:rsidRDefault="00BF12D2"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46.4%</w:t>
            </w:r>
          </w:p>
        </w:tc>
        <w:tc>
          <w:tcPr>
            <w:tcW w:w="1498" w:type="dxa"/>
            <w:tcBorders>
              <w:top w:val="single" w:sz="4" w:space="0" w:color="000000"/>
              <w:left w:val="single" w:sz="8" w:space="0" w:color="0070C0"/>
              <w:bottom w:val="single" w:sz="12" w:space="0" w:color="auto"/>
              <w:right w:val="single" w:sz="8" w:space="0" w:color="0070C0"/>
            </w:tcBorders>
            <w:shd w:val="clear" w:color="auto" w:fill="92D050"/>
            <w:vAlign w:val="center"/>
          </w:tcPr>
          <w:p w14:paraId="5B71DAD9" w14:textId="148632A0" w:rsidR="00201EEB" w:rsidRPr="004815C1" w:rsidRDefault="00BF12D2"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54.3%</w:t>
            </w:r>
          </w:p>
        </w:tc>
        <w:tc>
          <w:tcPr>
            <w:tcW w:w="1498" w:type="dxa"/>
            <w:tcBorders>
              <w:top w:val="single" w:sz="4" w:space="0" w:color="000000"/>
              <w:left w:val="single" w:sz="8" w:space="0" w:color="0070C0"/>
              <w:bottom w:val="single" w:sz="12" w:space="0" w:color="auto"/>
              <w:right w:val="single" w:sz="8" w:space="0" w:color="0070C0"/>
            </w:tcBorders>
            <w:shd w:val="clear" w:color="auto" w:fill="C2D69B" w:themeFill="accent3" w:themeFillTint="99"/>
            <w:vAlign w:val="center"/>
          </w:tcPr>
          <w:p w14:paraId="39E5A4AE" w14:textId="0FABC911" w:rsidR="00201EEB" w:rsidRPr="00B00624" w:rsidRDefault="00BF12D2"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28.7%</w:t>
            </w:r>
          </w:p>
        </w:tc>
        <w:tc>
          <w:tcPr>
            <w:tcW w:w="1498" w:type="dxa"/>
            <w:tcBorders>
              <w:top w:val="single" w:sz="4" w:space="0" w:color="000000"/>
              <w:left w:val="single" w:sz="8" w:space="0" w:color="0070C0"/>
              <w:bottom w:val="single" w:sz="12" w:space="0" w:color="auto"/>
              <w:right w:val="single" w:sz="8" w:space="0" w:color="0070C0"/>
            </w:tcBorders>
            <w:shd w:val="clear" w:color="auto" w:fill="C2D69B" w:themeFill="accent3" w:themeFillTint="99"/>
            <w:vAlign w:val="center"/>
          </w:tcPr>
          <w:p w14:paraId="39EB7117" w14:textId="5A235FE9" w:rsidR="00201EEB" w:rsidRPr="004815C1" w:rsidRDefault="00BF12D2"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34.0%</w:t>
            </w:r>
          </w:p>
        </w:tc>
        <w:tc>
          <w:tcPr>
            <w:tcW w:w="1498" w:type="dxa"/>
            <w:tcBorders>
              <w:top w:val="single" w:sz="4" w:space="0" w:color="000000"/>
              <w:left w:val="single" w:sz="8" w:space="0" w:color="0070C0"/>
              <w:bottom w:val="single" w:sz="12" w:space="0" w:color="auto"/>
              <w:right w:val="single" w:sz="12" w:space="0" w:color="000000"/>
            </w:tcBorders>
            <w:shd w:val="clear" w:color="auto" w:fill="C2D69B" w:themeFill="accent3" w:themeFillTint="99"/>
            <w:vAlign w:val="center"/>
          </w:tcPr>
          <w:p w14:paraId="185E5CF2" w14:textId="5A05AE5C" w:rsidR="00201EEB" w:rsidRPr="004815C1" w:rsidRDefault="00BF12D2"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37.7%</w:t>
            </w:r>
          </w:p>
        </w:tc>
      </w:tr>
    </w:tbl>
    <w:p w14:paraId="2FD12DAB" w14:textId="5BA73B90" w:rsidR="00201EEB" w:rsidRDefault="00201EEB" w:rsidP="00BF12D2">
      <w:pPr>
        <w:spacing w:after="0" w:line="240" w:lineRule="auto"/>
        <w:ind w:hanging="450"/>
        <w:contextualSpacing/>
        <w:mirrorIndents/>
        <w:rPr>
          <w:rFonts w:ascii="Verdana" w:hAnsi="Verdana"/>
          <w:sz w:val="20"/>
          <w:szCs w:val="20"/>
        </w:rPr>
      </w:pPr>
      <w:r w:rsidRPr="00573142">
        <w:rPr>
          <w:sz w:val="16"/>
          <w:szCs w:val="16"/>
        </w:rPr>
        <w:t xml:space="preserve">Based on The Media Audit’s 2021 surveys  </w:t>
      </w:r>
      <w:r w:rsidRPr="00573142">
        <w:rPr>
          <w:sz w:val="16"/>
          <w:szCs w:val="16"/>
        </w:rPr>
        <w:tab/>
      </w:r>
      <w:r w:rsidR="00BF12D2">
        <w:rPr>
          <w:sz w:val="16"/>
          <w:szCs w:val="16"/>
        </w:rPr>
        <w:t>*insufficient data</w:t>
      </w:r>
    </w:p>
    <w:p w14:paraId="05B35E5D" w14:textId="3AFAA724" w:rsidR="00F94CE8" w:rsidRPr="00B75062" w:rsidRDefault="00FB418C" w:rsidP="00F94CE8">
      <w:pPr>
        <w:pStyle w:val="NoSpacing"/>
        <w:contextualSpacing/>
        <w:jc w:val="center"/>
        <w:rPr>
          <w:b/>
          <w:color w:val="0070C0"/>
          <w:sz w:val="20"/>
          <w:szCs w:val="20"/>
        </w:rPr>
      </w:pPr>
      <w:r>
        <w:rPr>
          <w:b/>
          <w:color w:val="0070C0"/>
          <w:sz w:val="20"/>
          <w:szCs w:val="20"/>
        </w:rPr>
        <w:lastRenderedPageBreak/>
        <w:t>More Valuable Insights</w:t>
      </w:r>
    </w:p>
    <w:p w14:paraId="4D37D21A" w14:textId="77777777" w:rsidR="00F94CE8" w:rsidRPr="00C66D00" w:rsidRDefault="00F94CE8" w:rsidP="00F94CE8">
      <w:pPr>
        <w:pStyle w:val="NoSpacing"/>
        <w:contextualSpacing/>
        <w:rPr>
          <w:sz w:val="20"/>
          <w:szCs w:val="20"/>
        </w:rPr>
      </w:pPr>
    </w:p>
    <w:p w14:paraId="70D9FBC7" w14:textId="16740999" w:rsidR="005030B3" w:rsidRPr="00412C44" w:rsidRDefault="005030B3" w:rsidP="005030B3">
      <w:pPr>
        <w:pStyle w:val="Header"/>
        <w:jc w:val="center"/>
        <w:rPr>
          <w:b/>
          <w:sz w:val="20"/>
          <w:szCs w:val="20"/>
        </w:rPr>
      </w:pPr>
      <w:r>
        <w:rPr>
          <w:b/>
          <w:sz w:val="20"/>
          <w:szCs w:val="20"/>
        </w:rPr>
        <w:t xml:space="preserve">2022 </w:t>
      </w:r>
      <w:r>
        <w:rPr>
          <w:b/>
          <w:sz w:val="20"/>
          <w:szCs w:val="20"/>
        </w:rPr>
        <w:t xml:space="preserve">Forecast for </w:t>
      </w:r>
      <w:r>
        <w:rPr>
          <w:b/>
          <w:sz w:val="20"/>
          <w:szCs w:val="20"/>
        </w:rPr>
        <w:t xml:space="preserve">Total </w:t>
      </w:r>
      <w:r>
        <w:rPr>
          <w:b/>
          <w:sz w:val="20"/>
          <w:szCs w:val="20"/>
        </w:rPr>
        <w:t>Residential Construction</w:t>
      </w:r>
      <w:r>
        <w:rPr>
          <w:b/>
          <w:sz w:val="20"/>
          <w:szCs w:val="20"/>
        </w:rPr>
        <w:t xml:space="preserve"> Spending</w:t>
      </w:r>
      <w:r>
        <w:rPr>
          <w:b/>
          <w:sz w:val="20"/>
          <w:szCs w:val="20"/>
        </w:rPr>
        <w:t xml:space="preserve">*, </w:t>
      </w:r>
      <w:r>
        <w:rPr>
          <w:b/>
          <w:sz w:val="20"/>
          <w:szCs w:val="20"/>
        </w:rPr>
        <w:t>by Region</w:t>
      </w:r>
    </w:p>
    <w:tbl>
      <w:tblPr>
        <w:tblW w:w="6911"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189"/>
        <w:gridCol w:w="1267"/>
        <w:gridCol w:w="2188"/>
        <w:gridCol w:w="1267"/>
      </w:tblGrid>
      <w:tr w:rsidR="005030B3" w:rsidRPr="00FA1897" w14:paraId="74365D3A" w14:textId="77777777" w:rsidTr="005B42D8">
        <w:trPr>
          <w:trHeight w:val="249"/>
          <w:jc w:val="center"/>
        </w:trPr>
        <w:tc>
          <w:tcPr>
            <w:tcW w:w="2189" w:type="dxa"/>
            <w:tcBorders>
              <w:top w:val="single" w:sz="12" w:space="0" w:color="000000"/>
              <w:left w:val="single" w:sz="12" w:space="0" w:color="000000"/>
              <w:bottom w:val="single" w:sz="18" w:space="0" w:color="C0504D" w:themeColor="accent2"/>
              <w:right w:val="single" w:sz="8" w:space="0" w:color="0070C0"/>
            </w:tcBorders>
            <w:vAlign w:val="center"/>
          </w:tcPr>
          <w:p w14:paraId="759CE877" w14:textId="77777777" w:rsidR="005030B3" w:rsidRPr="00FA1897" w:rsidRDefault="005030B3" w:rsidP="005B42D8">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Pr>
                <w:rFonts w:ascii="Verdana" w:eastAsia="Times New Roman" w:hAnsi="Verdana"/>
                <w:sz w:val="20"/>
                <w:szCs w:val="20"/>
              </w:rPr>
              <w:t>Region</w:t>
            </w:r>
          </w:p>
        </w:tc>
        <w:tc>
          <w:tcPr>
            <w:tcW w:w="1267" w:type="dxa"/>
            <w:tcBorders>
              <w:top w:val="single" w:sz="12" w:space="0" w:color="000000"/>
              <w:left w:val="single" w:sz="8" w:space="0" w:color="0070C0"/>
              <w:bottom w:val="single" w:sz="18" w:space="0" w:color="C0504D" w:themeColor="accent2"/>
              <w:right w:val="single" w:sz="18" w:space="0" w:color="0070C0"/>
            </w:tcBorders>
            <w:vAlign w:val="center"/>
          </w:tcPr>
          <w:p w14:paraId="1F8F2215" w14:textId="77777777" w:rsidR="005030B3" w:rsidRPr="00FA1897" w:rsidRDefault="005030B3" w:rsidP="005B42D8">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Pr>
                <w:rFonts w:ascii="Verdana" w:eastAsia="Times New Roman" w:hAnsi="Verdana"/>
                <w:sz w:val="20"/>
                <w:szCs w:val="20"/>
              </w:rPr>
              <w:t>Change</w:t>
            </w:r>
          </w:p>
        </w:tc>
        <w:tc>
          <w:tcPr>
            <w:tcW w:w="2188" w:type="dxa"/>
            <w:tcBorders>
              <w:top w:val="single" w:sz="12" w:space="0" w:color="000000"/>
              <w:left w:val="single" w:sz="18" w:space="0" w:color="0070C0"/>
              <w:bottom w:val="single" w:sz="18" w:space="0" w:color="C0504D" w:themeColor="accent2"/>
              <w:right w:val="single" w:sz="8" w:space="0" w:color="0070C0"/>
            </w:tcBorders>
            <w:vAlign w:val="center"/>
          </w:tcPr>
          <w:p w14:paraId="511B350D" w14:textId="77777777" w:rsidR="005030B3" w:rsidRPr="00FA1897" w:rsidRDefault="005030B3" w:rsidP="005B42D8">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Pr>
                <w:rFonts w:ascii="Verdana" w:eastAsia="Times New Roman" w:hAnsi="Verdana"/>
                <w:sz w:val="20"/>
                <w:szCs w:val="20"/>
              </w:rPr>
              <w:t>Region</w:t>
            </w:r>
          </w:p>
        </w:tc>
        <w:tc>
          <w:tcPr>
            <w:tcW w:w="1267" w:type="dxa"/>
            <w:tcBorders>
              <w:top w:val="single" w:sz="12" w:space="0" w:color="000000"/>
              <w:left w:val="single" w:sz="8" w:space="0" w:color="0070C0"/>
              <w:bottom w:val="single" w:sz="18" w:space="0" w:color="C0504D" w:themeColor="accent2"/>
              <w:right w:val="single" w:sz="12" w:space="0" w:color="auto"/>
            </w:tcBorders>
            <w:vAlign w:val="center"/>
          </w:tcPr>
          <w:p w14:paraId="1BCF211F" w14:textId="77777777" w:rsidR="005030B3" w:rsidRPr="00FA1897" w:rsidRDefault="005030B3" w:rsidP="005B42D8">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Pr>
                <w:rFonts w:ascii="Verdana" w:eastAsia="Times New Roman" w:hAnsi="Verdana"/>
                <w:sz w:val="20"/>
                <w:szCs w:val="20"/>
              </w:rPr>
              <w:t>Change</w:t>
            </w:r>
          </w:p>
        </w:tc>
      </w:tr>
      <w:tr w:rsidR="005030B3" w:rsidRPr="00FA1897" w14:paraId="6CA6A3C4" w14:textId="77777777" w:rsidTr="00F63A9A">
        <w:tblPrEx>
          <w:tblBorders>
            <w:top w:val="none" w:sz="0" w:space="0" w:color="auto"/>
          </w:tblBorders>
        </w:tblPrEx>
        <w:trPr>
          <w:trHeight w:val="249"/>
          <w:jc w:val="center"/>
        </w:trPr>
        <w:tc>
          <w:tcPr>
            <w:tcW w:w="2189" w:type="dxa"/>
            <w:tcBorders>
              <w:top w:val="single" w:sz="18" w:space="0" w:color="C0504D" w:themeColor="accent2"/>
              <w:left w:val="single" w:sz="12" w:space="0" w:color="000000"/>
              <w:bottom w:val="single" w:sz="4" w:space="0" w:color="000000"/>
              <w:right w:val="single" w:sz="8" w:space="0" w:color="0070C0"/>
            </w:tcBorders>
            <w:shd w:val="clear" w:color="auto" w:fill="auto"/>
            <w:vAlign w:val="center"/>
          </w:tcPr>
          <w:p w14:paraId="64A37866" w14:textId="77777777" w:rsidR="005030B3" w:rsidRPr="00FA1897" w:rsidRDefault="005030B3"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New England</w:t>
            </w:r>
          </w:p>
        </w:tc>
        <w:tc>
          <w:tcPr>
            <w:tcW w:w="1267" w:type="dxa"/>
            <w:tcBorders>
              <w:top w:val="single" w:sz="18" w:space="0" w:color="C0504D" w:themeColor="accent2"/>
              <w:left w:val="single" w:sz="8" w:space="0" w:color="0070C0"/>
              <w:bottom w:val="single" w:sz="4" w:space="0" w:color="000000"/>
              <w:right w:val="single" w:sz="18" w:space="0" w:color="0070C0"/>
            </w:tcBorders>
            <w:shd w:val="clear" w:color="auto" w:fill="C2D69B" w:themeFill="accent3" w:themeFillTint="99"/>
            <w:vAlign w:val="center"/>
          </w:tcPr>
          <w:p w14:paraId="6E4EC47B" w14:textId="5DB569C2" w:rsidR="005030B3" w:rsidRPr="00FA1897" w:rsidRDefault="005030B3" w:rsidP="005B42D8">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+8.3%</w:t>
            </w:r>
          </w:p>
        </w:tc>
        <w:tc>
          <w:tcPr>
            <w:tcW w:w="2188" w:type="dxa"/>
            <w:tcBorders>
              <w:top w:val="single" w:sz="18" w:space="0" w:color="C0504D" w:themeColor="accent2"/>
              <w:left w:val="single" w:sz="18" w:space="0" w:color="0070C0"/>
              <w:bottom w:val="single" w:sz="4" w:space="0" w:color="000000"/>
              <w:right w:val="single" w:sz="8" w:space="0" w:color="0070C0"/>
            </w:tcBorders>
            <w:shd w:val="clear" w:color="auto" w:fill="auto"/>
            <w:vAlign w:val="center"/>
          </w:tcPr>
          <w:p w14:paraId="5ED4A44F" w14:textId="77777777" w:rsidR="005030B3" w:rsidRPr="00FA1897" w:rsidRDefault="005030B3"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East South Central</w:t>
            </w:r>
          </w:p>
        </w:tc>
        <w:tc>
          <w:tcPr>
            <w:tcW w:w="1267" w:type="dxa"/>
            <w:tcBorders>
              <w:top w:val="single" w:sz="18" w:space="0" w:color="C0504D" w:themeColor="accent2"/>
              <w:left w:val="single" w:sz="8" w:space="0" w:color="0070C0"/>
              <w:bottom w:val="single" w:sz="4" w:space="0" w:color="000000"/>
              <w:right w:val="single" w:sz="12" w:space="0" w:color="auto"/>
            </w:tcBorders>
            <w:shd w:val="clear" w:color="auto" w:fill="EAF1DD" w:themeFill="accent3" w:themeFillTint="33"/>
            <w:vAlign w:val="center"/>
          </w:tcPr>
          <w:p w14:paraId="1EB04DD5" w14:textId="1997B981" w:rsidR="005030B3" w:rsidRPr="00FA1897" w:rsidRDefault="005030B3" w:rsidP="005B42D8">
            <w:pPr>
              <w:widowControl w:val="0"/>
              <w:tabs>
                <w:tab w:val="left" w:pos="220"/>
                <w:tab w:val="left" w:pos="720"/>
              </w:tabs>
              <w:autoSpaceDE w:val="0"/>
              <w:autoSpaceDN w:val="0"/>
              <w:adjustRightInd w:val="0"/>
              <w:spacing w:after="0" w:line="240" w:lineRule="auto"/>
              <w:ind w:left="-113"/>
              <w:jc w:val="right"/>
              <w:rPr>
                <w:rFonts w:ascii="Verdana" w:eastAsia="Times New Roman" w:hAnsi="Verdana"/>
                <w:sz w:val="20"/>
                <w:szCs w:val="20"/>
              </w:rPr>
            </w:pPr>
            <w:r>
              <w:rPr>
                <w:rFonts w:ascii="Verdana" w:eastAsia="Times New Roman" w:hAnsi="Verdana"/>
                <w:sz w:val="20"/>
                <w:szCs w:val="20"/>
              </w:rPr>
              <w:t>+</w:t>
            </w:r>
            <w:r w:rsidR="000C7CDD">
              <w:rPr>
                <w:rFonts w:ascii="Verdana" w:eastAsia="Times New Roman" w:hAnsi="Verdana"/>
                <w:sz w:val="20"/>
                <w:szCs w:val="20"/>
              </w:rPr>
              <w:t>4.2</w:t>
            </w:r>
            <w:r>
              <w:rPr>
                <w:rFonts w:ascii="Verdana" w:eastAsia="Times New Roman" w:hAnsi="Verdana"/>
                <w:sz w:val="20"/>
                <w:szCs w:val="20"/>
              </w:rPr>
              <w:t>%</w:t>
            </w:r>
          </w:p>
        </w:tc>
      </w:tr>
      <w:tr w:rsidR="005030B3" w:rsidRPr="00FA1897" w14:paraId="17C53D15" w14:textId="77777777" w:rsidTr="00F63A9A">
        <w:tblPrEx>
          <w:tblBorders>
            <w:top w:val="none" w:sz="0" w:space="0" w:color="auto"/>
          </w:tblBorders>
        </w:tblPrEx>
        <w:trPr>
          <w:trHeight w:val="249"/>
          <w:jc w:val="center"/>
        </w:trPr>
        <w:tc>
          <w:tcPr>
            <w:tcW w:w="2189" w:type="dxa"/>
            <w:tcBorders>
              <w:top w:val="single" w:sz="4" w:space="0" w:color="000000"/>
              <w:left w:val="single" w:sz="12" w:space="0" w:color="000000"/>
              <w:bottom w:val="single" w:sz="4" w:space="0" w:color="000000"/>
              <w:right w:val="single" w:sz="8" w:space="0" w:color="0070C0"/>
            </w:tcBorders>
            <w:shd w:val="clear" w:color="auto" w:fill="auto"/>
            <w:vAlign w:val="center"/>
          </w:tcPr>
          <w:p w14:paraId="4FE589AB" w14:textId="77777777" w:rsidR="005030B3" w:rsidRPr="00FA1897" w:rsidRDefault="005030B3"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Mid-Atlantic</w:t>
            </w:r>
          </w:p>
        </w:tc>
        <w:tc>
          <w:tcPr>
            <w:tcW w:w="1267" w:type="dxa"/>
            <w:tcBorders>
              <w:top w:val="single" w:sz="4" w:space="0" w:color="000000"/>
              <w:left w:val="single" w:sz="8" w:space="0" w:color="0070C0"/>
              <w:bottom w:val="single" w:sz="4" w:space="0" w:color="000000"/>
              <w:right w:val="single" w:sz="18" w:space="0" w:color="0070C0"/>
            </w:tcBorders>
            <w:shd w:val="clear" w:color="auto" w:fill="D6E3BC" w:themeFill="accent3" w:themeFillTint="66"/>
            <w:vAlign w:val="center"/>
          </w:tcPr>
          <w:p w14:paraId="33DF3B84" w14:textId="2CD0CF5F" w:rsidR="005030B3" w:rsidRPr="00FA1897" w:rsidRDefault="005030B3" w:rsidP="005B42D8">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w:t>
            </w:r>
            <w:r>
              <w:rPr>
                <w:rFonts w:ascii="Verdana" w:eastAsia="Times New Roman" w:hAnsi="Verdana"/>
                <w:sz w:val="20"/>
                <w:szCs w:val="20"/>
              </w:rPr>
              <w:t>5.3</w:t>
            </w:r>
            <w:r>
              <w:rPr>
                <w:rFonts w:ascii="Verdana" w:eastAsia="Times New Roman" w:hAnsi="Verdana"/>
                <w:sz w:val="20"/>
                <w:szCs w:val="20"/>
              </w:rPr>
              <w:t>%</w:t>
            </w:r>
          </w:p>
        </w:tc>
        <w:tc>
          <w:tcPr>
            <w:tcW w:w="2188"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15FAFAFE" w14:textId="77777777" w:rsidR="005030B3" w:rsidRPr="00FA1897" w:rsidRDefault="005030B3"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West South Central</w:t>
            </w:r>
          </w:p>
        </w:tc>
        <w:tc>
          <w:tcPr>
            <w:tcW w:w="1267" w:type="dxa"/>
            <w:tcBorders>
              <w:top w:val="single" w:sz="4" w:space="0" w:color="000000"/>
              <w:left w:val="single" w:sz="8" w:space="0" w:color="0070C0"/>
              <w:bottom w:val="single" w:sz="4" w:space="0" w:color="000000"/>
              <w:right w:val="single" w:sz="12" w:space="0" w:color="auto"/>
            </w:tcBorders>
            <w:shd w:val="clear" w:color="auto" w:fill="C2D69B" w:themeFill="accent3" w:themeFillTint="99"/>
            <w:vAlign w:val="center"/>
          </w:tcPr>
          <w:p w14:paraId="587B930D" w14:textId="0FA107A4" w:rsidR="005030B3" w:rsidRPr="00FA1897" w:rsidRDefault="005030B3" w:rsidP="005B42D8">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w:t>
            </w:r>
            <w:r w:rsidR="000C7CDD">
              <w:rPr>
                <w:rFonts w:ascii="Verdana" w:eastAsia="Times New Roman" w:hAnsi="Verdana"/>
                <w:sz w:val="20"/>
                <w:szCs w:val="20"/>
              </w:rPr>
              <w:t>7.9</w:t>
            </w:r>
            <w:r>
              <w:rPr>
                <w:rFonts w:ascii="Verdana" w:eastAsia="Times New Roman" w:hAnsi="Verdana"/>
                <w:sz w:val="20"/>
                <w:szCs w:val="20"/>
              </w:rPr>
              <w:t>%</w:t>
            </w:r>
          </w:p>
        </w:tc>
      </w:tr>
      <w:tr w:rsidR="005030B3" w:rsidRPr="00FA1897" w14:paraId="3765A270" w14:textId="77777777" w:rsidTr="00F63A9A">
        <w:tblPrEx>
          <w:tblBorders>
            <w:top w:val="none" w:sz="0" w:space="0" w:color="auto"/>
          </w:tblBorders>
        </w:tblPrEx>
        <w:trPr>
          <w:trHeight w:val="249"/>
          <w:jc w:val="center"/>
        </w:trPr>
        <w:tc>
          <w:tcPr>
            <w:tcW w:w="2189" w:type="dxa"/>
            <w:tcBorders>
              <w:top w:val="single" w:sz="4" w:space="0" w:color="000000"/>
              <w:left w:val="single" w:sz="12" w:space="0" w:color="000000"/>
              <w:bottom w:val="single" w:sz="4" w:space="0" w:color="000000"/>
              <w:right w:val="single" w:sz="8" w:space="0" w:color="0070C0"/>
            </w:tcBorders>
            <w:shd w:val="clear" w:color="auto" w:fill="auto"/>
            <w:vAlign w:val="center"/>
          </w:tcPr>
          <w:p w14:paraId="04C4FC90" w14:textId="77777777" w:rsidR="005030B3" w:rsidRPr="00FA1897" w:rsidRDefault="005030B3"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East North Central</w:t>
            </w:r>
          </w:p>
        </w:tc>
        <w:tc>
          <w:tcPr>
            <w:tcW w:w="1267" w:type="dxa"/>
            <w:tcBorders>
              <w:top w:val="single" w:sz="4" w:space="0" w:color="000000"/>
              <w:left w:val="single" w:sz="8" w:space="0" w:color="0070C0"/>
              <w:bottom w:val="single" w:sz="4" w:space="0" w:color="000000"/>
              <w:right w:val="single" w:sz="18" w:space="0" w:color="0070C0"/>
            </w:tcBorders>
            <w:shd w:val="clear" w:color="auto" w:fill="D6E3BC" w:themeFill="accent3" w:themeFillTint="66"/>
            <w:vAlign w:val="center"/>
          </w:tcPr>
          <w:p w14:paraId="1419E10E" w14:textId="5E566A09" w:rsidR="005030B3" w:rsidRPr="00FA1897" w:rsidRDefault="005030B3" w:rsidP="005B42D8">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w:t>
            </w:r>
            <w:r>
              <w:rPr>
                <w:rFonts w:ascii="Verdana" w:eastAsia="Times New Roman" w:hAnsi="Verdana"/>
                <w:sz w:val="20"/>
                <w:szCs w:val="20"/>
              </w:rPr>
              <w:t>6.3</w:t>
            </w:r>
            <w:r>
              <w:rPr>
                <w:rFonts w:ascii="Verdana" w:eastAsia="Times New Roman" w:hAnsi="Verdana"/>
                <w:sz w:val="20"/>
                <w:szCs w:val="20"/>
              </w:rPr>
              <w:t>%</w:t>
            </w:r>
          </w:p>
        </w:tc>
        <w:tc>
          <w:tcPr>
            <w:tcW w:w="2188"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3FDB872A" w14:textId="77777777" w:rsidR="005030B3" w:rsidRPr="00FA1897" w:rsidRDefault="005030B3"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Mountain</w:t>
            </w:r>
          </w:p>
        </w:tc>
        <w:tc>
          <w:tcPr>
            <w:tcW w:w="1267" w:type="dxa"/>
            <w:tcBorders>
              <w:top w:val="single" w:sz="4" w:space="0" w:color="000000"/>
              <w:left w:val="single" w:sz="8" w:space="0" w:color="0070C0"/>
              <w:bottom w:val="single" w:sz="4" w:space="0" w:color="000000"/>
              <w:right w:val="single" w:sz="12" w:space="0" w:color="auto"/>
            </w:tcBorders>
            <w:shd w:val="clear" w:color="auto" w:fill="C2D69B" w:themeFill="accent3" w:themeFillTint="99"/>
            <w:vAlign w:val="center"/>
          </w:tcPr>
          <w:p w14:paraId="63DD2F1F" w14:textId="616F6CBD" w:rsidR="005030B3" w:rsidRPr="00FA1897" w:rsidRDefault="005030B3" w:rsidP="005B42D8">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+7.</w:t>
            </w:r>
            <w:r w:rsidR="000C7CDD">
              <w:rPr>
                <w:rFonts w:ascii="Verdana" w:eastAsia="Times New Roman" w:hAnsi="Verdana"/>
                <w:sz w:val="20"/>
                <w:szCs w:val="20"/>
              </w:rPr>
              <w:t>9</w:t>
            </w:r>
            <w:r>
              <w:rPr>
                <w:rFonts w:ascii="Verdana" w:eastAsia="Times New Roman" w:hAnsi="Verdana"/>
                <w:sz w:val="20"/>
                <w:szCs w:val="20"/>
              </w:rPr>
              <w:t>%</w:t>
            </w:r>
          </w:p>
        </w:tc>
      </w:tr>
      <w:tr w:rsidR="005030B3" w:rsidRPr="00FA1897" w14:paraId="4C7048AE" w14:textId="77777777" w:rsidTr="00F63A9A">
        <w:tblPrEx>
          <w:tblBorders>
            <w:top w:val="none" w:sz="0" w:space="0" w:color="auto"/>
          </w:tblBorders>
        </w:tblPrEx>
        <w:trPr>
          <w:trHeight w:val="249"/>
          <w:jc w:val="center"/>
        </w:trPr>
        <w:tc>
          <w:tcPr>
            <w:tcW w:w="2189" w:type="dxa"/>
            <w:tcBorders>
              <w:top w:val="single" w:sz="4" w:space="0" w:color="000000"/>
              <w:left w:val="single" w:sz="12" w:space="0" w:color="000000"/>
              <w:bottom w:val="single" w:sz="4" w:space="0" w:color="000000"/>
              <w:right w:val="single" w:sz="8" w:space="0" w:color="0070C0"/>
            </w:tcBorders>
            <w:shd w:val="clear" w:color="auto" w:fill="auto"/>
            <w:vAlign w:val="center"/>
          </w:tcPr>
          <w:p w14:paraId="511564EC" w14:textId="77777777" w:rsidR="005030B3" w:rsidRPr="00FA1897" w:rsidRDefault="005030B3"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West North Central</w:t>
            </w:r>
          </w:p>
        </w:tc>
        <w:tc>
          <w:tcPr>
            <w:tcW w:w="1267" w:type="dxa"/>
            <w:tcBorders>
              <w:top w:val="single" w:sz="4" w:space="0" w:color="000000"/>
              <w:left w:val="single" w:sz="8" w:space="0" w:color="0070C0"/>
              <w:bottom w:val="single" w:sz="4" w:space="0" w:color="000000"/>
              <w:right w:val="single" w:sz="18" w:space="0" w:color="0070C0"/>
            </w:tcBorders>
            <w:shd w:val="clear" w:color="auto" w:fill="D6E3BC" w:themeFill="accent3" w:themeFillTint="66"/>
            <w:vAlign w:val="center"/>
          </w:tcPr>
          <w:p w14:paraId="3CCDA174" w14:textId="7AE363DD" w:rsidR="005030B3" w:rsidRPr="00FA1897" w:rsidRDefault="005030B3" w:rsidP="005B42D8">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w:t>
            </w:r>
            <w:r w:rsidR="000C7CDD">
              <w:rPr>
                <w:rFonts w:ascii="Verdana" w:eastAsia="Times New Roman" w:hAnsi="Verdana"/>
                <w:sz w:val="20"/>
                <w:szCs w:val="20"/>
              </w:rPr>
              <w:t>5.2</w:t>
            </w:r>
            <w:r>
              <w:rPr>
                <w:rFonts w:ascii="Verdana" w:eastAsia="Times New Roman" w:hAnsi="Verdana"/>
                <w:sz w:val="20"/>
                <w:szCs w:val="20"/>
              </w:rPr>
              <w:t>%</w:t>
            </w:r>
          </w:p>
        </w:tc>
        <w:tc>
          <w:tcPr>
            <w:tcW w:w="2188"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37B7B250" w14:textId="77777777" w:rsidR="005030B3" w:rsidRPr="00FA1897" w:rsidRDefault="005030B3"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Pacific</w:t>
            </w:r>
          </w:p>
        </w:tc>
        <w:tc>
          <w:tcPr>
            <w:tcW w:w="1267" w:type="dxa"/>
            <w:tcBorders>
              <w:top w:val="single" w:sz="4" w:space="0" w:color="000000"/>
              <w:left w:val="single" w:sz="8" w:space="0" w:color="0070C0"/>
              <w:bottom w:val="single" w:sz="4" w:space="0" w:color="000000"/>
              <w:right w:val="single" w:sz="12" w:space="0" w:color="auto"/>
            </w:tcBorders>
            <w:shd w:val="clear" w:color="auto" w:fill="EAF1DD" w:themeFill="accent3" w:themeFillTint="33"/>
            <w:vAlign w:val="center"/>
          </w:tcPr>
          <w:p w14:paraId="1D40725E" w14:textId="6EB7B271" w:rsidR="005030B3" w:rsidRPr="00FA1897" w:rsidRDefault="005030B3" w:rsidP="005B42D8">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+2.</w:t>
            </w:r>
            <w:r w:rsidR="000C7CDD">
              <w:rPr>
                <w:rFonts w:ascii="Verdana" w:eastAsia="Times New Roman" w:hAnsi="Verdana"/>
                <w:sz w:val="20"/>
                <w:szCs w:val="20"/>
              </w:rPr>
              <w:t>7</w:t>
            </w:r>
            <w:r>
              <w:rPr>
                <w:rFonts w:ascii="Verdana" w:eastAsia="Times New Roman" w:hAnsi="Verdana"/>
                <w:sz w:val="20"/>
                <w:szCs w:val="20"/>
              </w:rPr>
              <w:t>%</w:t>
            </w:r>
          </w:p>
        </w:tc>
      </w:tr>
      <w:tr w:rsidR="005030B3" w:rsidRPr="00FA1897" w14:paraId="3624B0D7" w14:textId="77777777" w:rsidTr="00F63A9A">
        <w:tblPrEx>
          <w:tblBorders>
            <w:top w:val="none" w:sz="0" w:space="0" w:color="auto"/>
          </w:tblBorders>
        </w:tblPrEx>
        <w:trPr>
          <w:trHeight w:val="249"/>
          <w:jc w:val="center"/>
        </w:trPr>
        <w:tc>
          <w:tcPr>
            <w:tcW w:w="2189" w:type="dxa"/>
            <w:tcBorders>
              <w:top w:val="single" w:sz="4" w:space="0" w:color="000000"/>
              <w:left w:val="single" w:sz="12" w:space="0" w:color="000000"/>
              <w:bottom w:val="single" w:sz="12" w:space="0" w:color="000000"/>
              <w:right w:val="single" w:sz="8" w:space="0" w:color="0070C0"/>
            </w:tcBorders>
            <w:shd w:val="clear" w:color="auto" w:fill="auto"/>
            <w:vAlign w:val="center"/>
          </w:tcPr>
          <w:p w14:paraId="0AA10E76" w14:textId="77777777" w:rsidR="005030B3" w:rsidRPr="00FA1897" w:rsidRDefault="005030B3"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South Atlantic</w:t>
            </w:r>
          </w:p>
        </w:tc>
        <w:tc>
          <w:tcPr>
            <w:tcW w:w="1267" w:type="dxa"/>
            <w:tcBorders>
              <w:top w:val="single" w:sz="4" w:space="0" w:color="000000"/>
              <w:left w:val="single" w:sz="8" w:space="0" w:color="0070C0"/>
              <w:bottom w:val="single" w:sz="12" w:space="0" w:color="000000"/>
              <w:right w:val="single" w:sz="18" w:space="0" w:color="0070C0"/>
            </w:tcBorders>
            <w:shd w:val="clear" w:color="auto" w:fill="C2D69B" w:themeFill="accent3" w:themeFillTint="99"/>
            <w:vAlign w:val="center"/>
          </w:tcPr>
          <w:p w14:paraId="5FB470C6" w14:textId="369B690C" w:rsidR="005030B3" w:rsidRPr="00FA1897" w:rsidRDefault="005030B3" w:rsidP="005B42D8">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w:t>
            </w:r>
            <w:r w:rsidR="000C7CDD">
              <w:rPr>
                <w:rFonts w:ascii="Verdana" w:eastAsia="Times New Roman" w:hAnsi="Verdana"/>
                <w:sz w:val="20"/>
                <w:szCs w:val="20"/>
              </w:rPr>
              <w:t>8.9</w:t>
            </w:r>
            <w:r>
              <w:rPr>
                <w:rFonts w:ascii="Verdana" w:eastAsia="Times New Roman" w:hAnsi="Verdana"/>
                <w:sz w:val="20"/>
                <w:szCs w:val="20"/>
              </w:rPr>
              <w:t>%</w:t>
            </w:r>
          </w:p>
        </w:tc>
        <w:tc>
          <w:tcPr>
            <w:tcW w:w="2188" w:type="dxa"/>
            <w:tcBorders>
              <w:top w:val="single" w:sz="4" w:space="0" w:color="000000"/>
              <w:left w:val="single" w:sz="18" w:space="0" w:color="0070C0"/>
              <w:bottom w:val="single" w:sz="12" w:space="0" w:color="000000"/>
              <w:right w:val="single" w:sz="8" w:space="0" w:color="0070C0"/>
            </w:tcBorders>
            <w:shd w:val="clear" w:color="auto" w:fill="auto"/>
            <w:vAlign w:val="center"/>
          </w:tcPr>
          <w:p w14:paraId="285746B4" w14:textId="77777777" w:rsidR="005030B3" w:rsidRPr="00FA1897" w:rsidRDefault="005030B3"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US Total</w:t>
            </w:r>
          </w:p>
        </w:tc>
        <w:tc>
          <w:tcPr>
            <w:tcW w:w="1267" w:type="dxa"/>
            <w:tcBorders>
              <w:top w:val="single" w:sz="4" w:space="0" w:color="000000"/>
              <w:left w:val="single" w:sz="8" w:space="0" w:color="0070C0"/>
              <w:bottom w:val="single" w:sz="12" w:space="0" w:color="000000"/>
              <w:right w:val="single" w:sz="12" w:space="0" w:color="auto"/>
            </w:tcBorders>
            <w:shd w:val="clear" w:color="auto" w:fill="D6E3BC" w:themeFill="accent3" w:themeFillTint="66"/>
            <w:vAlign w:val="center"/>
          </w:tcPr>
          <w:p w14:paraId="37403B03" w14:textId="40BEE83D" w:rsidR="005030B3" w:rsidRPr="00FA1897" w:rsidRDefault="005030B3" w:rsidP="005B42D8">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+6.</w:t>
            </w:r>
            <w:r w:rsidR="000C7CDD">
              <w:rPr>
                <w:rFonts w:ascii="Verdana" w:eastAsia="Times New Roman" w:hAnsi="Verdana"/>
                <w:sz w:val="20"/>
                <w:szCs w:val="20"/>
              </w:rPr>
              <w:t>4</w:t>
            </w:r>
            <w:r>
              <w:rPr>
                <w:rFonts w:ascii="Verdana" w:eastAsia="Times New Roman" w:hAnsi="Verdana"/>
                <w:sz w:val="20"/>
                <w:szCs w:val="20"/>
              </w:rPr>
              <w:t>%</w:t>
            </w:r>
          </w:p>
        </w:tc>
      </w:tr>
    </w:tbl>
    <w:p w14:paraId="38A0FE46" w14:textId="68606872" w:rsidR="005030B3" w:rsidRDefault="005030B3" w:rsidP="005030B3">
      <w:pPr>
        <w:tabs>
          <w:tab w:val="left" w:pos="1260"/>
        </w:tabs>
        <w:spacing w:after="0" w:line="240" w:lineRule="auto"/>
        <w:contextualSpacing/>
        <w:mirrorIndents/>
        <w:rPr>
          <w:rFonts w:ascii="Verdana" w:hAnsi="Verdana"/>
          <w:sz w:val="20"/>
          <w:szCs w:val="20"/>
        </w:rPr>
      </w:pPr>
      <w:r>
        <w:rPr>
          <w:rFonts w:ascii="Verdana" w:hAnsi="Verdana"/>
          <w:sz w:val="16"/>
          <w:szCs w:val="16"/>
        </w:rPr>
        <w:tab/>
        <w:t>FMI,</w:t>
      </w:r>
      <w:r w:rsidRPr="00FA1897">
        <w:rPr>
          <w:rFonts w:ascii="Verdana" w:hAnsi="Verdana"/>
          <w:sz w:val="16"/>
          <w:szCs w:val="16"/>
        </w:rPr>
        <w:t xml:space="preserve"> </w:t>
      </w:r>
      <w:r>
        <w:rPr>
          <w:rFonts w:ascii="Verdana" w:hAnsi="Verdana"/>
          <w:sz w:val="16"/>
          <w:szCs w:val="16"/>
        </w:rPr>
        <w:t>January 2022</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*change from 2021</w:t>
      </w:r>
    </w:p>
    <w:p w14:paraId="718411C0" w14:textId="77777777" w:rsidR="00F94CE8" w:rsidRDefault="00F94CE8" w:rsidP="00F94CE8">
      <w:pPr>
        <w:pStyle w:val="NoSpacing"/>
        <w:contextualSpacing/>
        <w:rPr>
          <w:sz w:val="20"/>
          <w:szCs w:val="20"/>
        </w:rPr>
      </w:pPr>
    </w:p>
    <w:p w14:paraId="031189E2" w14:textId="7F4999C4" w:rsidR="00F63A9A" w:rsidRPr="00412C44" w:rsidRDefault="00F63A9A" w:rsidP="00F63A9A">
      <w:pPr>
        <w:pStyle w:val="Header"/>
        <w:jc w:val="center"/>
        <w:rPr>
          <w:b/>
          <w:sz w:val="20"/>
          <w:szCs w:val="20"/>
        </w:rPr>
      </w:pPr>
      <w:r>
        <w:rPr>
          <w:b/>
          <w:sz w:val="20"/>
          <w:szCs w:val="20"/>
        </w:rPr>
        <w:t xml:space="preserve">2022 Forecast for Total </w:t>
      </w:r>
      <w:r>
        <w:rPr>
          <w:b/>
          <w:sz w:val="20"/>
          <w:szCs w:val="20"/>
        </w:rPr>
        <w:t>Nonr</w:t>
      </w:r>
      <w:r>
        <w:rPr>
          <w:b/>
          <w:sz w:val="20"/>
          <w:szCs w:val="20"/>
        </w:rPr>
        <w:t>esidential Construction Spending*, by Region</w:t>
      </w:r>
    </w:p>
    <w:tbl>
      <w:tblPr>
        <w:tblW w:w="6911"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189"/>
        <w:gridCol w:w="1267"/>
        <w:gridCol w:w="2188"/>
        <w:gridCol w:w="1267"/>
      </w:tblGrid>
      <w:tr w:rsidR="00F63A9A" w:rsidRPr="00FA1897" w14:paraId="30ED9B24" w14:textId="77777777" w:rsidTr="005B42D8">
        <w:trPr>
          <w:trHeight w:val="249"/>
          <w:jc w:val="center"/>
        </w:trPr>
        <w:tc>
          <w:tcPr>
            <w:tcW w:w="2189" w:type="dxa"/>
            <w:tcBorders>
              <w:top w:val="single" w:sz="12" w:space="0" w:color="000000"/>
              <w:left w:val="single" w:sz="12" w:space="0" w:color="000000"/>
              <w:bottom w:val="single" w:sz="18" w:space="0" w:color="C0504D" w:themeColor="accent2"/>
              <w:right w:val="single" w:sz="8" w:space="0" w:color="0070C0"/>
            </w:tcBorders>
            <w:vAlign w:val="center"/>
          </w:tcPr>
          <w:p w14:paraId="52E36710" w14:textId="77777777" w:rsidR="00F63A9A" w:rsidRPr="00FA1897" w:rsidRDefault="00F63A9A" w:rsidP="005B42D8">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Pr>
                <w:rFonts w:ascii="Verdana" w:eastAsia="Times New Roman" w:hAnsi="Verdana"/>
                <w:sz w:val="20"/>
                <w:szCs w:val="20"/>
              </w:rPr>
              <w:t>Region</w:t>
            </w:r>
          </w:p>
        </w:tc>
        <w:tc>
          <w:tcPr>
            <w:tcW w:w="1267" w:type="dxa"/>
            <w:tcBorders>
              <w:top w:val="single" w:sz="12" w:space="0" w:color="000000"/>
              <w:left w:val="single" w:sz="8" w:space="0" w:color="0070C0"/>
              <w:bottom w:val="single" w:sz="18" w:space="0" w:color="C0504D" w:themeColor="accent2"/>
              <w:right w:val="single" w:sz="18" w:space="0" w:color="0070C0"/>
            </w:tcBorders>
            <w:vAlign w:val="center"/>
          </w:tcPr>
          <w:p w14:paraId="78F5A0FC" w14:textId="77777777" w:rsidR="00F63A9A" w:rsidRPr="00FA1897" w:rsidRDefault="00F63A9A" w:rsidP="005B42D8">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Pr>
                <w:rFonts w:ascii="Verdana" w:eastAsia="Times New Roman" w:hAnsi="Verdana"/>
                <w:sz w:val="20"/>
                <w:szCs w:val="20"/>
              </w:rPr>
              <w:t>Change</w:t>
            </w:r>
          </w:p>
        </w:tc>
        <w:tc>
          <w:tcPr>
            <w:tcW w:w="2188" w:type="dxa"/>
            <w:tcBorders>
              <w:top w:val="single" w:sz="12" w:space="0" w:color="000000"/>
              <w:left w:val="single" w:sz="18" w:space="0" w:color="0070C0"/>
              <w:bottom w:val="single" w:sz="18" w:space="0" w:color="C0504D" w:themeColor="accent2"/>
              <w:right w:val="single" w:sz="8" w:space="0" w:color="0070C0"/>
            </w:tcBorders>
            <w:vAlign w:val="center"/>
          </w:tcPr>
          <w:p w14:paraId="022DE208" w14:textId="77777777" w:rsidR="00F63A9A" w:rsidRPr="00FA1897" w:rsidRDefault="00F63A9A" w:rsidP="005B42D8">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Pr>
                <w:rFonts w:ascii="Verdana" w:eastAsia="Times New Roman" w:hAnsi="Verdana"/>
                <w:sz w:val="20"/>
                <w:szCs w:val="20"/>
              </w:rPr>
              <w:t>Region</w:t>
            </w:r>
          </w:p>
        </w:tc>
        <w:tc>
          <w:tcPr>
            <w:tcW w:w="1267" w:type="dxa"/>
            <w:tcBorders>
              <w:top w:val="single" w:sz="12" w:space="0" w:color="000000"/>
              <w:left w:val="single" w:sz="8" w:space="0" w:color="0070C0"/>
              <w:bottom w:val="single" w:sz="18" w:space="0" w:color="C0504D" w:themeColor="accent2"/>
              <w:right w:val="single" w:sz="12" w:space="0" w:color="auto"/>
            </w:tcBorders>
            <w:vAlign w:val="center"/>
          </w:tcPr>
          <w:p w14:paraId="3544F166" w14:textId="77777777" w:rsidR="00F63A9A" w:rsidRPr="00FA1897" w:rsidRDefault="00F63A9A" w:rsidP="005B42D8">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Pr>
                <w:rFonts w:ascii="Verdana" w:eastAsia="Times New Roman" w:hAnsi="Verdana"/>
                <w:sz w:val="20"/>
                <w:szCs w:val="20"/>
              </w:rPr>
              <w:t>Change</w:t>
            </w:r>
          </w:p>
        </w:tc>
      </w:tr>
      <w:tr w:rsidR="00F63A9A" w:rsidRPr="00FA1897" w14:paraId="0575D936" w14:textId="77777777" w:rsidTr="00157C3D">
        <w:tblPrEx>
          <w:tblBorders>
            <w:top w:val="none" w:sz="0" w:space="0" w:color="auto"/>
          </w:tblBorders>
        </w:tblPrEx>
        <w:trPr>
          <w:trHeight w:val="249"/>
          <w:jc w:val="center"/>
        </w:trPr>
        <w:tc>
          <w:tcPr>
            <w:tcW w:w="2189" w:type="dxa"/>
            <w:tcBorders>
              <w:top w:val="single" w:sz="18" w:space="0" w:color="C0504D" w:themeColor="accent2"/>
              <w:left w:val="single" w:sz="12" w:space="0" w:color="000000"/>
              <w:bottom w:val="single" w:sz="4" w:space="0" w:color="000000"/>
              <w:right w:val="single" w:sz="8" w:space="0" w:color="0070C0"/>
            </w:tcBorders>
            <w:shd w:val="clear" w:color="auto" w:fill="auto"/>
            <w:vAlign w:val="center"/>
          </w:tcPr>
          <w:p w14:paraId="266590B1" w14:textId="77777777" w:rsidR="00F63A9A" w:rsidRPr="00FA1897" w:rsidRDefault="00F63A9A"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New England</w:t>
            </w:r>
          </w:p>
        </w:tc>
        <w:tc>
          <w:tcPr>
            <w:tcW w:w="1267" w:type="dxa"/>
            <w:tcBorders>
              <w:top w:val="single" w:sz="18" w:space="0" w:color="C0504D" w:themeColor="accent2"/>
              <w:left w:val="single" w:sz="8" w:space="0" w:color="0070C0"/>
              <w:bottom w:val="single" w:sz="4" w:space="0" w:color="000000"/>
              <w:right w:val="single" w:sz="18" w:space="0" w:color="0070C0"/>
            </w:tcBorders>
            <w:shd w:val="clear" w:color="auto" w:fill="D6E3BC" w:themeFill="accent3" w:themeFillTint="66"/>
            <w:vAlign w:val="center"/>
          </w:tcPr>
          <w:p w14:paraId="216C9D43" w14:textId="1BB76544" w:rsidR="00F63A9A" w:rsidRPr="00FA1897" w:rsidRDefault="00F63A9A" w:rsidP="005B42D8">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w:t>
            </w:r>
            <w:r>
              <w:rPr>
                <w:rFonts w:ascii="Verdana" w:eastAsia="Times New Roman" w:hAnsi="Verdana"/>
                <w:sz w:val="20"/>
                <w:szCs w:val="20"/>
              </w:rPr>
              <w:t>4.5</w:t>
            </w:r>
            <w:r>
              <w:rPr>
                <w:rFonts w:ascii="Verdana" w:eastAsia="Times New Roman" w:hAnsi="Verdana"/>
                <w:sz w:val="20"/>
                <w:szCs w:val="20"/>
              </w:rPr>
              <w:t>%</w:t>
            </w:r>
          </w:p>
        </w:tc>
        <w:tc>
          <w:tcPr>
            <w:tcW w:w="2188" w:type="dxa"/>
            <w:tcBorders>
              <w:top w:val="single" w:sz="18" w:space="0" w:color="C0504D" w:themeColor="accent2"/>
              <w:left w:val="single" w:sz="18" w:space="0" w:color="0070C0"/>
              <w:bottom w:val="single" w:sz="4" w:space="0" w:color="000000"/>
              <w:right w:val="single" w:sz="8" w:space="0" w:color="0070C0"/>
            </w:tcBorders>
            <w:shd w:val="clear" w:color="auto" w:fill="auto"/>
            <w:vAlign w:val="center"/>
          </w:tcPr>
          <w:p w14:paraId="5ED9C757" w14:textId="77777777" w:rsidR="00F63A9A" w:rsidRPr="00FA1897" w:rsidRDefault="00F63A9A"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East South Central</w:t>
            </w:r>
          </w:p>
        </w:tc>
        <w:tc>
          <w:tcPr>
            <w:tcW w:w="1267" w:type="dxa"/>
            <w:tcBorders>
              <w:top w:val="single" w:sz="18" w:space="0" w:color="C0504D" w:themeColor="accent2"/>
              <w:left w:val="single" w:sz="8" w:space="0" w:color="0070C0"/>
              <w:bottom w:val="single" w:sz="4" w:space="0" w:color="000000"/>
              <w:right w:val="single" w:sz="12" w:space="0" w:color="auto"/>
            </w:tcBorders>
            <w:shd w:val="clear" w:color="auto" w:fill="C2D69B" w:themeFill="accent3" w:themeFillTint="99"/>
            <w:vAlign w:val="center"/>
          </w:tcPr>
          <w:p w14:paraId="63C130B1" w14:textId="1C6FA52B" w:rsidR="00F63A9A" w:rsidRPr="00FA1897" w:rsidRDefault="00F63A9A" w:rsidP="005B42D8">
            <w:pPr>
              <w:widowControl w:val="0"/>
              <w:tabs>
                <w:tab w:val="left" w:pos="220"/>
                <w:tab w:val="left" w:pos="720"/>
              </w:tabs>
              <w:autoSpaceDE w:val="0"/>
              <w:autoSpaceDN w:val="0"/>
              <w:adjustRightInd w:val="0"/>
              <w:spacing w:after="0" w:line="240" w:lineRule="auto"/>
              <w:ind w:left="-113"/>
              <w:jc w:val="right"/>
              <w:rPr>
                <w:rFonts w:ascii="Verdana" w:eastAsia="Times New Roman" w:hAnsi="Verdana"/>
                <w:sz w:val="20"/>
                <w:szCs w:val="20"/>
              </w:rPr>
            </w:pPr>
            <w:r>
              <w:rPr>
                <w:rFonts w:ascii="Verdana" w:eastAsia="Times New Roman" w:hAnsi="Verdana"/>
                <w:sz w:val="20"/>
                <w:szCs w:val="20"/>
              </w:rPr>
              <w:t>+</w:t>
            </w:r>
            <w:r w:rsidR="00157C3D">
              <w:rPr>
                <w:rFonts w:ascii="Verdana" w:eastAsia="Times New Roman" w:hAnsi="Verdana"/>
                <w:sz w:val="20"/>
                <w:szCs w:val="20"/>
              </w:rPr>
              <w:t>6.8</w:t>
            </w:r>
            <w:r>
              <w:rPr>
                <w:rFonts w:ascii="Verdana" w:eastAsia="Times New Roman" w:hAnsi="Verdana"/>
                <w:sz w:val="20"/>
                <w:szCs w:val="20"/>
              </w:rPr>
              <w:t>%</w:t>
            </w:r>
          </w:p>
        </w:tc>
      </w:tr>
      <w:tr w:rsidR="00F63A9A" w:rsidRPr="00FA1897" w14:paraId="4515B603" w14:textId="77777777" w:rsidTr="00157C3D">
        <w:tblPrEx>
          <w:tblBorders>
            <w:top w:val="none" w:sz="0" w:space="0" w:color="auto"/>
          </w:tblBorders>
        </w:tblPrEx>
        <w:trPr>
          <w:trHeight w:val="249"/>
          <w:jc w:val="center"/>
        </w:trPr>
        <w:tc>
          <w:tcPr>
            <w:tcW w:w="2189" w:type="dxa"/>
            <w:tcBorders>
              <w:top w:val="single" w:sz="4" w:space="0" w:color="000000"/>
              <w:left w:val="single" w:sz="12" w:space="0" w:color="000000"/>
              <w:bottom w:val="single" w:sz="4" w:space="0" w:color="000000"/>
              <w:right w:val="single" w:sz="8" w:space="0" w:color="0070C0"/>
            </w:tcBorders>
            <w:shd w:val="clear" w:color="auto" w:fill="auto"/>
            <w:vAlign w:val="center"/>
          </w:tcPr>
          <w:p w14:paraId="151A971B" w14:textId="77777777" w:rsidR="00F63A9A" w:rsidRPr="00FA1897" w:rsidRDefault="00F63A9A"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Mid-Atlantic</w:t>
            </w:r>
          </w:p>
        </w:tc>
        <w:tc>
          <w:tcPr>
            <w:tcW w:w="1267" w:type="dxa"/>
            <w:tcBorders>
              <w:top w:val="single" w:sz="4" w:space="0" w:color="000000"/>
              <w:left w:val="single" w:sz="8" w:space="0" w:color="0070C0"/>
              <w:bottom w:val="single" w:sz="4" w:space="0" w:color="000000"/>
              <w:right w:val="single" w:sz="18" w:space="0" w:color="0070C0"/>
            </w:tcBorders>
            <w:shd w:val="clear" w:color="auto" w:fill="EAF1DD" w:themeFill="accent3" w:themeFillTint="33"/>
            <w:vAlign w:val="center"/>
          </w:tcPr>
          <w:p w14:paraId="382399E9" w14:textId="53C2A243" w:rsidR="00F63A9A" w:rsidRPr="00FA1897" w:rsidRDefault="00F63A9A" w:rsidP="005B42D8">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w:t>
            </w:r>
            <w:r w:rsidR="00157C3D">
              <w:rPr>
                <w:rFonts w:ascii="Verdana" w:eastAsia="Times New Roman" w:hAnsi="Verdana"/>
                <w:sz w:val="20"/>
                <w:szCs w:val="20"/>
              </w:rPr>
              <w:t>3</w:t>
            </w:r>
            <w:r>
              <w:rPr>
                <w:rFonts w:ascii="Verdana" w:eastAsia="Times New Roman" w:hAnsi="Verdana"/>
                <w:sz w:val="20"/>
                <w:szCs w:val="20"/>
              </w:rPr>
              <w:t>.3%</w:t>
            </w:r>
          </w:p>
        </w:tc>
        <w:tc>
          <w:tcPr>
            <w:tcW w:w="2188"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48D454D6" w14:textId="77777777" w:rsidR="00F63A9A" w:rsidRPr="00FA1897" w:rsidRDefault="00F63A9A"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West South Central</w:t>
            </w:r>
          </w:p>
        </w:tc>
        <w:tc>
          <w:tcPr>
            <w:tcW w:w="1267" w:type="dxa"/>
            <w:tcBorders>
              <w:top w:val="single" w:sz="4" w:space="0" w:color="000000"/>
              <w:left w:val="single" w:sz="8" w:space="0" w:color="0070C0"/>
              <w:bottom w:val="single" w:sz="4" w:space="0" w:color="000000"/>
              <w:right w:val="single" w:sz="12" w:space="0" w:color="auto"/>
            </w:tcBorders>
            <w:shd w:val="clear" w:color="auto" w:fill="EAF1DD" w:themeFill="accent3" w:themeFillTint="33"/>
            <w:vAlign w:val="center"/>
          </w:tcPr>
          <w:p w14:paraId="14C783BD" w14:textId="3CE66818" w:rsidR="00F63A9A" w:rsidRPr="00FA1897" w:rsidRDefault="00F63A9A" w:rsidP="005B42D8">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w:t>
            </w:r>
            <w:r w:rsidR="00157C3D">
              <w:rPr>
                <w:rFonts w:ascii="Verdana" w:eastAsia="Times New Roman" w:hAnsi="Verdana"/>
                <w:sz w:val="20"/>
                <w:szCs w:val="20"/>
              </w:rPr>
              <w:t>3.3</w:t>
            </w:r>
            <w:r>
              <w:rPr>
                <w:rFonts w:ascii="Verdana" w:eastAsia="Times New Roman" w:hAnsi="Verdana"/>
                <w:sz w:val="20"/>
                <w:szCs w:val="20"/>
              </w:rPr>
              <w:t>%</w:t>
            </w:r>
          </w:p>
        </w:tc>
      </w:tr>
      <w:tr w:rsidR="00F63A9A" w:rsidRPr="00FA1897" w14:paraId="3576311C" w14:textId="77777777" w:rsidTr="00157C3D">
        <w:tblPrEx>
          <w:tblBorders>
            <w:top w:val="none" w:sz="0" w:space="0" w:color="auto"/>
          </w:tblBorders>
        </w:tblPrEx>
        <w:trPr>
          <w:trHeight w:val="249"/>
          <w:jc w:val="center"/>
        </w:trPr>
        <w:tc>
          <w:tcPr>
            <w:tcW w:w="2189" w:type="dxa"/>
            <w:tcBorders>
              <w:top w:val="single" w:sz="4" w:space="0" w:color="000000"/>
              <w:left w:val="single" w:sz="12" w:space="0" w:color="000000"/>
              <w:bottom w:val="single" w:sz="4" w:space="0" w:color="000000"/>
              <w:right w:val="single" w:sz="8" w:space="0" w:color="0070C0"/>
            </w:tcBorders>
            <w:shd w:val="clear" w:color="auto" w:fill="auto"/>
            <w:vAlign w:val="center"/>
          </w:tcPr>
          <w:p w14:paraId="6CF46E73" w14:textId="77777777" w:rsidR="00F63A9A" w:rsidRPr="00FA1897" w:rsidRDefault="00F63A9A"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East North Central</w:t>
            </w:r>
          </w:p>
        </w:tc>
        <w:tc>
          <w:tcPr>
            <w:tcW w:w="1267" w:type="dxa"/>
            <w:tcBorders>
              <w:top w:val="single" w:sz="4" w:space="0" w:color="000000"/>
              <w:left w:val="single" w:sz="8" w:space="0" w:color="0070C0"/>
              <w:bottom w:val="single" w:sz="4" w:space="0" w:color="000000"/>
              <w:right w:val="single" w:sz="18" w:space="0" w:color="0070C0"/>
            </w:tcBorders>
            <w:shd w:val="clear" w:color="auto" w:fill="C2D69B" w:themeFill="accent3" w:themeFillTint="99"/>
            <w:vAlign w:val="center"/>
          </w:tcPr>
          <w:p w14:paraId="783E180D" w14:textId="2E737C2F" w:rsidR="00F63A9A" w:rsidRPr="00FA1897" w:rsidRDefault="00F63A9A" w:rsidP="005B42D8">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+6.</w:t>
            </w:r>
            <w:r w:rsidR="00157C3D">
              <w:rPr>
                <w:rFonts w:ascii="Verdana" w:eastAsia="Times New Roman" w:hAnsi="Verdana"/>
                <w:sz w:val="20"/>
                <w:szCs w:val="20"/>
              </w:rPr>
              <w:t>5</w:t>
            </w:r>
            <w:r>
              <w:rPr>
                <w:rFonts w:ascii="Verdana" w:eastAsia="Times New Roman" w:hAnsi="Verdana"/>
                <w:sz w:val="20"/>
                <w:szCs w:val="20"/>
              </w:rPr>
              <w:t>%</w:t>
            </w:r>
          </w:p>
        </w:tc>
        <w:tc>
          <w:tcPr>
            <w:tcW w:w="2188"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012DA8AE" w14:textId="77777777" w:rsidR="00F63A9A" w:rsidRPr="00FA1897" w:rsidRDefault="00F63A9A"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Mountain</w:t>
            </w:r>
          </w:p>
        </w:tc>
        <w:tc>
          <w:tcPr>
            <w:tcW w:w="1267" w:type="dxa"/>
            <w:tcBorders>
              <w:top w:val="single" w:sz="4" w:space="0" w:color="000000"/>
              <w:left w:val="single" w:sz="8" w:space="0" w:color="0070C0"/>
              <w:bottom w:val="single" w:sz="4" w:space="0" w:color="000000"/>
              <w:right w:val="single" w:sz="12" w:space="0" w:color="auto"/>
            </w:tcBorders>
            <w:shd w:val="clear" w:color="auto" w:fill="D6E3BC" w:themeFill="accent3" w:themeFillTint="66"/>
            <w:vAlign w:val="center"/>
          </w:tcPr>
          <w:p w14:paraId="4FACDBB9" w14:textId="2F142A65" w:rsidR="00F63A9A" w:rsidRPr="00FA1897" w:rsidRDefault="00F63A9A" w:rsidP="005B42D8">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w:t>
            </w:r>
            <w:r w:rsidR="00157C3D">
              <w:rPr>
                <w:rFonts w:ascii="Verdana" w:eastAsia="Times New Roman" w:hAnsi="Verdana"/>
                <w:sz w:val="20"/>
                <w:szCs w:val="20"/>
              </w:rPr>
              <w:t>4.1</w:t>
            </w:r>
            <w:r>
              <w:rPr>
                <w:rFonts w:ascii="Verdana" w:eastAsia="Times New Roman" w:hAnsi="Verdana"/>
                <w:sz w:val="20"/>
                <w:szCs w:val="20"/>
              </w:rPr>
              <w:t>%</w:t>
            </w:r>
          </w:p>
        </w:tc>
      </w:tr>
      <w:tr w:rsidR="00F63A9A" w:rsidRPr="00FA1897" w14:paraId="1B4D89C4" w14:textId="77777777" w:rsidTr="00157C3D">
        <w:tblPrEx>
          <w:tblBorders>
            <w:top w:val="none" w:sz="0" w:space="0" w:color="auto"/>
          </w:tblBorders>
        </w:tblPrEx>
        <w:trPr>
          <w:trHeight w:val="249"/>
          <w:jc w:val="center"/>
        </w:trPr>
        <w:tc>
          <w:tcPr>
            <w:tcW w:w="2189" w:type="dxa"/>
            <w:tcBorders>
              <w:top w:val="single" w:sz="4" w:space="0" w:color="000000"/>
              <w:left w:val="single" w:sz="12" w:space="0" w:color="000000"/>
              <w:bottom w:val="single" w:sz="4" w:space="0" w:color="000000"/>
              <w:right w:val="single" w:sz="8" w:space="0" w:color="0070C0"/>
            </w:tcBorders>
            <w:shd w:val="clear" w:color="auto" w:fill="auto"/>
            <w:vAlign w:val="center"/>
          </w:tcPr>
          <w:p w14:paraId="1246C981" w14:textId="77777777" w:rsidR="00F63A9A" w:rsidRPr="00FA1897" w:rsidRDefault="00F63A9A"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West North Central</w:t>
            </w:r>
          </w:p>
        </w:tc>
        <w:tc>
          <w:tcPr>
            <w:tcW w:w="1267" w:type="dxa"/>
            <w:tcBorders>
              <w:top w:val="single" w:sz="4" w:space="0" w:color="000000"/>
              <w:left w:val="single" w:sz="8" w:space="0" w:color="0070C0"/>
              <w:bottom w:val="single" w:sz="4" w:space="0" w:color="000000"/>
              <w:right w:val="single" w:sz="18" w:space="0" w:color="0070C0"/>
            </w:tcBorders>
            <w:shd w:val="clear" w:color="auto" w:fill="EAF1DD" w:themeFill="accent3" w:themeFillTint="33"/>
            <w:vAlign w:val="center"/>
          </w:tcPr>
          <w:p w14:paraId="40AD1488" w14:textId="1AF86E04" w:rsidR="00F63A9A" w:rsidRPr="00FA1897" w:rsidRDefault="00F63A9A" w:rsidP="005B42D8">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w:t>
            </w:r>
            <w:r w:rsidR="00157C3D">
              <w:rPr>
                <w:rFonts w:ascii="Verdana" w:eastAsia="Times New Roman" w:hAnsi="Verdana"/>
                <w:sz w:val="20"/>
                <w:szCs w:val="20"/>
              </w:rPr>
              <w:t>2.7</w:t>
            </w:r>
            <w:r>
              <w:rPr>
                <w:rFonts w:ascii="Verdana" w:eastAsia="Times New Roman" w:hAnsi="Verdana"/>
                <w:sz w:val="20"/>
                <w:szCs w:val="20"/>
              </w:rPr>
              <w:t>%</w:t>
            </w:r>
          </w:p>
        </w:tc>
        <w:tc>
          <w:tcPr>
            <w:tcW w:w="2188"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4AF987DD" w14:textId="77777777" w:rsidR="00F63A9A" w:rsidRPr="00FA1897" w:rsidRDefault="00F63A9A"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Pacific</w:t>
            </w:r>
          </w:p>
        </w:tc>
        <w:tc>
          <w:tcPr>
            <w:tcW w:w="1267" w:type="dxa"/>
            <w:tcBorders>
              <w:top w:val="single" w:sz="4" w:space="0" w:color="000000"/>
              <w:left w:val="single" w:sz="8" w:space="0" w:color="0070C0"/>
              <w:bottom w:val="single" w:sz="4" w:space="0" w:color="000000"/>
              <w:right w:val="single" w:sz="12" w:space="0" w:color="auto"/>
            </w:tcBorders>
            <w:shd w:val="clear" w:color="auto" w:fill="F2DBDB" w:themeFill="accent2" w:themeFillTint="33"/>
            <w:vAlign w:val="center"/>
          </w:tcPr>
          <w:p w14:paraId="61DDF6AF" w14:textId="677D631A" w:rsidR="00F63A9A" w:rsidRPr="00FA1897" w:rsidRDefault="00157C3D" w:rsidP="005B42D8">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-0.03</w:t>
            </w:r>
            <w:r w:rsidR="00F63A9A">
              <w:rPr>
                <w:rFonts w:ascii="Verdana" w:eastAsia="Times New Roman" w:hAnsi="Verdana"/>
                <w:sz w:val="20"/>
                <w:szCs w:val="20"/>
              </w:rPr>
              <w:t>%</w:t>
            </w:r>
          </w:p>
        </w:tc>
      </w:tr>
      <w:tr w:rsidR="00F63A9A" w:rsidRPr="00FA1897" w14:paraId="6D36BCBB" w14:textId="77777777" w:rsidTr="00157C3D">
        <w:tblPrEx>
          <w:tblBorders>
            <w:top w:val="none" w:sz="0" w:space="0" w:color="auto"/>
          </w:tblBorders>
        </w:tblPrEx>
        <w:trPr>
          <w:trHeight w:val="249"/>
          <w:jc w:val="center"/>
        </w:trPr>
        <w:tc>
          <w:tcPr>
            <w:tcW w:w="2189" w:type="dxa"/>
            <w:tcBorders>
              <w:top w:val="single" w:sz="4" w:space="0" w:color="000000"/>
              <w:left w:val="single" w:sz="12" w:space="0" w:color="000000"/>
              <w:bottom w:val="single" w:sz="12" w:space="0" w:color="000000"/>
              <w:right w:val="single" w:sz="8" w:space="0" w:color="0070C0"/>
            </w:tcBorders>
            <w:shd w:val="clear" w:color="auto" w:fill="auto"/>
            <w:vAlign w:val="center"/>
          </w:tcPr>
          <w:p w14:paraId="08AAF727" w14:textId="77777777" w:rsidR="00F63A9A" w:rsidRPr="00FA1897" w:rsidRDefault="00F63A9A"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South Atlantic</w:t>
            </w:r>
          </w:p>
        </w:tc>
        <w:tc>
          <w:tcPr>
            <w:tcW w:w="1267" w:type="dxa"/>
            <w:tcBorders>
              <w:top w:val="single" w:sz="4" w:space="0" w:color="000000"/>
              <w:left w:val="single" w:sz="8" w:space="0" w:color="0070C0"/>
              <w:bottom w:val="single" w:sz="12" w:space="0" w:color="000000"/>
              <w:right w:val="single" w:sz="18" w:space="0" w:color="0070C0"/>
            </w:tcBorders>
            <w:shd w:val="clear" w:color="auto" w:fill="EAF1DD" w:themeFill="accent3" w:themeFillTint="33"/>
            <w:vAlign w:val="center"/>
          </w:tcPr>
          <w:p w14:paraId="21D84991" w14:textId="5473E439" w:rsidR="00F63A9A" w:rsidRPr="00FA1897" w:rsidRDefault="00F63A9A" w:rsidP="005B42D8">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w:t>
            </w:r>
            <w:r w:rsidR="00157C3D">
              <w:rPr>
                <w:rFonts w:ascii="Verdana" w:eastAsia="Times New Roman" w:hAnsi="Verdana"/>
                <w:sz w:val="20"/>
                <w:szCs w:val="20"/>
              </w:rPr>
              <w:t>2.2</w:t>
            </w:r>
            <w:r>
              <w:rPr>
                <w:rFonts w:ascii="Verdana" w:eastAsia="Times New Roman" w:hAnsi="Verdana"/>
                <w:sz w:val="20"/>
                <w:szCs w:val="20"/>
              </w:rPr>
              <w:t>%</w:t>
            </w:r>
          </w:p>
        </w:tc>
        <w:tc>
          <w:tcPr>
            <w:tcW w:w="2188" w:type="dxa"/>
            <w:tcBorders>
              <w:top w:val="single" w:sz="4" w:space="0" w:color="000000"/>
              <w:left w:val="single" w:sz="18" w:space="0" w:color="0070C0"/>
              <w:bottom w:val="single" w:sz="12" w:space="0" w:color="000000"/>
              <w:right w:val="single" w:sz="8" w:space="0" w:color="0070C0"/>
            </w:tcBorders>
            <w:shd w:val="clear" w:color="auto" w:fill="auto"/>
            <w:vAlign w:val="center"/>
          </w:tcPr>
          <w:p w14:paraId="018B1493" w14:textId="77777777" w:rsidR="00F63A9A" w:rsidRPr="00FA1897" w:rsidRDefault="00F63A9A"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US Total</w:t>
            </w:r>
          </w:p>
        </w:tc>
        <w:tc>
          <w:tcPr>
            <w:tcW w:w="1267" w:type="dxa"/>
            <w:tcBorders>
              <w:top w:val="single" w:sz="4" w:space="0" w:color="000000"/>
              <w:left w:val="single" w:sz="8" w:space="0" w:color="0070C0"/>
              <w:bottom w:val="single" w:sz="12" w:space="0" w:color="000000"/>
              <w:right w:val="single" w:sz="12" w:space="0" w:color="auto"/>
            </w:tcBorders>
            <w:shd w:val="clear" w:color="auto" w:fill="EAF1DD" w:themeFill="accent3" w:themeFillTint="33"/>
            <w:vAlign w:val="center"/>
          </w:tcPr>
          <w:p w14:paraId="4FA0F729" w14:textId="68B4D500" w:rsidR="00F63A9A" w:rsidRPr="00FA1897" w:rsidRDefault="00F63A9A" w:rsidP="005B42D8">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w:t>
            </w:r>
            <w:r w:rsidR="00157C3D">
              <w:rPr>
                <w:rFonts w:ascii="Verdana" w:eastAsia="Times New Roman" w:hAnsi="Verdana"/>
                <w:sz w:val="20"/>
                <w:szCs w:val="20"/>
              </w:rPr>
              <w:t>3.2</w:t>
            </w:r>
            <w:r>
              <w:rPr>
                <w:rFonts w:ascii="Verdana" w:eastAsia="Times New Roman" w:hAnsi="Verdana"/>
                <w:sz w:val="20"/>
                <w:szCs w:val="20"/>
              </w:rPr>
              <w:t>%</w:t>
            </w:r>
          </w:p>
        </w:tc>
      </w:tr>
    </w:tbl>
    <w:p w14:paraId="67F33942" w14:textId="77777777" w:rsidR="00F63A9A" w:rsidRDefault="00F63A9A" w:rsidP="00F63A9A">
      <w:pPr>
        <w:tabs>
          <w:tab w:val="left" w:pos="1260"/>
        </w:tabs>
        <w:spacing w:after="0" w:line="240" w:lineRule="auto"/>
        <w:contextualSpacing/>
        <w:mirrorIndents/>
        <w:rPr>
          <w:rFonts w:ascii="Verdana" w:hAnsi="Verdana"/>
          <w:sz w:val="20"/>
          <w:szCs w:val="20"/>
        </w:rPr>
      </w:pPr>
      <w:r>
        <w:rPr>
          <w:rFonts w:ascii="Verdana" w:hAnsi="Verdana"/>
          <w:sz w:val="16"/>
          <w:szCs w:val="16"/>
        </w:rPr>
        <w:tab/>
        <w:t>FMI,</w:t>
      </w:r>
      <w:r w:rsidRPr="00FA1897">
        <w:rPr>
          <w:rFonts w:ascii="Verdana" w:hAnsi="Verdana"/>
          <w:sz w:val="16"/>
          <w:szCs w:val="16"/>
        </w:rPr>
        <w:t xml:space="preserve"> </w:t>
      </w:r>
      <w:r>
        <w:rPr>
          <w:rFonts w:ascii="Verdana" w:hAnsi="Verdana"/>
          <w:sz w:val="16"/>
          <w:szCs w:val="16"/>
        </w:rPr>
        <w:t>January 2022</w:t>
      </w:r>
      <w:r>
        <w:rPr>
          <w:rFonts w:ascii="Verdana" w:hAnsi="Verdana"/>
          <w:sz w:val="16"/>
          <w:szCs w:val="16"/>
        </w:rPr>
        <w:tab/>
      </w:r>
      <w:r>
        <w:rPr>
          <w:rFonts w:ascii="Verdana" w:hAnsi="Verdana"/>
          <w:sz w:val="16"/>
          <w:szCs w:val="16"/>
        </w:rPr>
        <w:tab/>
      </w:r>
      <w:r>
        <w:rPr>
          <w:rFonts w:ascii="Verdana" w:hAnsi="Verdana"/>
          <w:sz w:val="16"/>
          <w:szCs w:val="16"/>
        </w:rPr>
        <w:tab/>
        <w:t>*change from 2021</w:t>
      </w:r>
    </w:p>
    <w:p w14:paraId="72A9D893" w14:textId="77777777" w:rsidR="00F94CE8" w:rsidRDefault="00F94CE8" w:rsidP="00F94CE8">
      <w:pPr>
        <w:pStyle w:val="NoSpacing"/>
        <w:contextualSpacing/>
        <w:rPr>
          <w:sz w:val="20"/>
          <w:szCs w:val="20"/>
        </w:rPr>
      </w:pPr>
    </w:p>
    <w:p w14:paraId="78E679E8" w14:textId="710B9CEB" w:rsidR="00F94CE8" w:rsidRDefault="00906EBF" w:rsidP="00F94CE8">
      <w:pPr>
        <w:pStyle w:val="NoSpacing"/>
        <w:contextualSpacing/>
        <w:rPr>
          <w:sz w:val="20"/>
          <w:szCs w:val="20"/>
        </w:rPr>
      </w:pPr>
      <w:r>
        <w:rPr>
          <w:sz w:val="20"/>
          <w:szCs w:val="20"/>
        </w:rPr>
        <w:t>M</w:t>
      </w:r>
      <w:r w:rsidR="00810734">
        <w:rPr>
          <w:sz w:val="20"/>
          <w:szCs w:val="20"/>
        </w:rPr>
        <w:t xml:space="preserve">odular building construction for </w:t>
      </w:r>
      <w:r>
        <w:rPr>
          <w:sz w:val="20"/>
          <w:szCs w:val="20"/>
        </w:rPr>
        <w:t xml:space="preserve">commercial structures was expected to attract the interest of builders and commercial developers and property owners, </w:t>
      </w:r>
      <w:r w:rsidR="006B750A">
        <w:rPr>
          <w:sz w:val="20"/>
          <w:szCs w:val="20"/>
        </w:rPr>
        <w:t xml:space="preserve">yet </w:t>
      </w:r>
      <w:r>
        <w:rPr>
          <w:sz w:val="20"/>
          <w:szCs w:val="20"/>
        </w:rPr>
        <w:t xml:space="preserve">it represented only 5.5% of all new construction during 2021. That share has doubled since 2015 and the Modular Building Institute expects it to double during the next five years. </w:t>
      </w:r>
    </w:p>
    <w:p w14:paraId="482C0B5F" w14:textId="5CBD1CB1" w:rsidR="00906EBF" w:rsidRDefault="00906EBF" w:rsidP="00F94CE8">
      <w:pPr>
        <w:pStyle w:val="NoSpacing"/>
        <w:contextualSpacing/>
        <w:rPr>
          <w:sz w:val="20"/>
          <w:szCs w:val="20"/>
        </w:rPr>
      </w:pPr>
    </w:p>
    <w:p w14:paraId="5E02A2B1" w14:textId="3181B58E" w:rsidR="00906EBF" w:rsidRDefault="00DC75AC" w:rsidP="00F94CE8">
      <w:pPr>
        <w:pStyle w:val="NoSpacing"/>
        <w:contextualSpacing/>
        <w:rPr>
          <w:sz w:val="20"/>
          <w:szCs w:val="20"/>
        </w:rPr>
      </w:pPr>
      <w:r>
        <w:rPr>
          <w:sz w:val="20"/>
          <w:szCs w:val="20"/>
        </w:rPr>
        <w:t xml:space="preserve">Learning the process can be challenging for builders and construction companies that are new to modular construction, but modular is becoming more popular with the healthcare sector since patients’ rooms are essentially identical. More modular construction is occurring in the hospitality industry and gains additional credibility when the likes of Hilton and Marriott are using it. </w:t>
      </w:r>
    </w:p>
    <w:p w14:paraId="581EE3B3" w14:textId="34121F12" w:rsidR="00DC75AC" w:rsidRDefault="00DC75AC" w:rsidP="00F94CE8">
      <w:pPr>
        <w:pStyle w:val="NoSpacing"/>
        <w:contextualSpacing/>
        <w:rPr>
          <w:sz w:val="20"/>
          <w:szCs w:val="20"/>
        </w:rPr>
      </w:pPr>
    </w:p>
    <w:p w14:paraId="363ED599" w14:textId="0C84264F" w:rsidR="00DC75AC" w:rsidRDefault="00DC75AC" w:rsidP="00F94CE8">
      <w:pPr>
        <w:pStyle w:val="NoSpacing"/>
        <w:contextualSpacing/>
        <w:rPr>
          <w:sz w:val="20"/>
          <w:szCs w:val="20"/>
        </w:rPr>
      </w:pPr>
      <w:r>
        <w:rPr>
          <w:sz w:val="20"/>
          <w:szCs w:val="20"/>
        </w:rPr>
        <w:t>The mechanical trades are not champions of modular construction since most of the floors, walls, etc. already have plumbing, electrical and other systems pre-installed.</w:t>
      </w:r>
    </w:p>
    <w:p w14:paraId="3CDFB8E2" w14:textId="77777777" w:rsidR="00F94CE8" w:rsidRDefault="00F94CE8" w:rsidP="00F94CE8">
      <w:pPr>
        <w:pStyle w:val="NoSpacing"/>
        <w:contextualSpacing/>
        <w:rPr>
          <w:sz w:val="20"/>
          <w:szCs w:val="20"/>
        </w:rPr>
      </w:pPr>
    </w:p>
    <w:p w14:paraId="6DC49CD3" w14:textId="77777777" w:rsidR="00F94CE8" w:rsidRDefault="00F94CE8" w:rsidP="00F94CE8">
      <w:pPr>
        <w:pStyle w:val="NoSpacing"/>
        <w:contextualSpacing/>
        <w:rPr>
          <w:sz w:val="20"/>
          <w:szCs w:val="20"/>
        </w:rPr>
      </w:pPr>
    </w:p>
    <w:p w14:paraId="2AC14BFB" w14:textId="77777777" w:rsidR="00F94CE8" w:rsidRDefault="00F94CE8" w:rsidP="00F94CE8">
      <w:pPr>
        <w:pStyle w:val="NoSpacing"/>
        <w:contextualSpacing/>
        <w:rPr>
          <w:sz w:val="20"/>
          <w:szCs w:val="20"/>
        </w:rPr>
      </w:pPr>
    </w:p>
    <w:p w14:paraId="548CA371" w14:textId="77777777" w:rsidR="00F94CE8" w:rsidRDefault="00F94CE8" w:rsidP="00F94CE8">
      <w:pPr>
        <w:pStyle w:val="NoSpacing"/>
        <w:contextualSpacing/>
        <w:rPr>
          <w:sz w:val="20"/>
          <w:szCs w:val="20"/>
        </w:rPr>
      </w:pPr>
    </w:p>
    <w:p w14:paraId="3266F5ED" w14:textId="77777777" w:rsidR="00F94CE8" w:rsidRDefault="00F94CE8" w:rsidP="00F94CE8">
      <w:pPr>
        <w:pStyle w:val="NoSpacing"/>
        <w:contextualSpacing/>
        <w:rPr>
          <w:sz w:val="20"/>
          <w:szCs w:val="20"/>
        </w:rPr>
      </w:pPr>
    </w:p>
    <w:p w14:paraId="777770F7" w14:textId="77777777" w:rsidR="00F94CE8" w:rsidRDefault="00F94CE8" w:rsidP="00F94CE8">
      <w:pPr>
        <w:pStyle w:val="NoSpacing"/>
        <w:contextualSpacing/>
        <w:rPr>
          <w:sz w:val="20"/>
          <w:szCs w:val="20"/>
        </w:rPr>
      </w:pPr>
    </w:p>
    <w:p w14:paraId="3C35B056" w14:textId="77777777" w:rsidR="00F94CE8" w:rsidRDefault="00F94CE8" w:rsidP="00F94CE8">
      <w:pPr>
        <w:pStyle w:val="NoSpacing"/>
        <w:contextualSpacing/>
        <w:rPr>
          <w:sz w:val="20"/>
          <w:szCs w:val="20"/>
        </w:rPr>
      </w:pPr>
    </w:p>
    <w:p w14:paraId="72BAAFC7" w14:textId="14FB6D02" w:rsidR="00F94CE8" w:rsidRPr="00E3337D" w:rsidRDefault="00F94CE8" w:rsidP="00F94CE8">
      <w:pPr>
        <w:spacing w:after="0" w:line="240" w:lineRule="auto"/>
        <w:rPr>
          <w:rFonts w:ascii="Verdana" w:hAnsi="Verdana"/>
          <w:sz w:val="16"/>
          <w:szCs w:val="16"/>
        </w:rPr>
      </w:pPr>
      <w:r w:rsidRPr="00E3337D">
        <w:rPr>
          <w:rFonts w:ascii="Verdana" w:hAnsi="Verdana"/>
          <w:i/>
          <w:sz w:val="16"/>
          <w:szCs w:val="16"/>
        </w:rPr>
        <w:t>Sources:</w:t>
      </w:r>
      <w:r w:rsidRPr="00E3337D">
        <w:rPr>
          <w:rFonts w:ascii="Verdana" w:hAnsi="Verdana"/>
          <w:sz w:val="16"/>
          <w:szCs w:val="16"/>
        </w:rPr>
        <w:t xml:space="preserve"> </w:t>
      </w:r>
      <w:r w:rsidR="00E3337D" w:rsidRPr="00E3337D">
        <w:rPr>
          <w:sz w:val="16"/>
          <w:szCs w:val="16"/>
        </w:rPr>
        <w:t>FMI</w:t>
      </w:r>
      <w:r w:rsidR="00E3337D" w:rsidRPr="00E3337D">
        <w:rPr>
          <w:rFonts w:ascii="Verdana" w:hAnsi="Verdana"/>
          <w:sz w:val="16"/>
          <w:szCs w:val="16"/>
        </w:rPr>
        <w:t xml:space="preserve"> </w:t>
      </w:r>
      <w:r w:rsidRPr="00E3337D">
        <w:rPr>
          <w:rFonts w:ascii="Verdana" w:hAnsi="Verdana"/>
          <w:sz w:val="16"/>
          <w:szCs w:val="16"/>
        </w:rPr>
        <w:t xml:space="preserve">Website, </w:t>
      </w:r>
      <w:r w:rsidR="008058FD" w:rsidRPr="00E3337D">
        <w:rPr>
          <w:rFonts w:ascii="Verdana" w:hAnsi="Verdana"/>
          <w:sz w:val="16"/>
          <w:szCs w:val="16"/>
        </w:rPr>
        <w:t>4</w:t>
      </w:r>
      <w:r w:rsidR="00306D88" w:rsidRPr="00E3337D">
        <w:rPr>
          <w:rFonts w:ascii="Verdana" w:hAnsi="Verdana"/>
          <w:sz w:val="16"/>
          <w:szCs w:val="16"/>
        </w:rPr>
        <w:t>/</w:t>
      </w:r>
      <w:r w:rsidR="00AE6B2A" w:rsidRPr="00E3337D">
        <w:rPr>
          <w:rFonts w:ascii="Verdana" w:hAnsi="Verdana"/>
          <w:sz w:val="16"/>
          <w:szCs w:val="16"/>
        </w:rPr>
        <w:t>2</w:t>
      </w:r>
      <w:r w:rsidR="00C8473A" w:rsidRPr="00E3337D">
        <w:rPr>
          <w:rFonts w:ascii="Verdana" w:hAnsi="Verdana"/>
          <w:sz w:val="16"/>
          <w:szCs w:val="16"/>
        </w:rPr>
        <w:t>2</w:t>
      </w:r>
      <w:r w:rsidRPr="00E3337D">
        <w:rPr>
          <w:rFonts w:ascii="Verdana" w:hAnsi="Verdana"/>
          <w:sz w:val="16"/>
          <w:szCs w:val="16"/>
        </w:rPr>
        <w:t xml:space="preserve">; </w:t>
      </w:r>
      <w:r w:rsidR="00E3337D" w:rsidRPr="00E3337D">
        <w:rPr>
          <w:sz w:val="16"/>
          <w:szCs w:val="16"/>
        </w:rPr>
        <w:t xml:space="preserve">Associated General Contractors of America </w:t>
      </w:r>
      <w:r w:rsidRPr="00E3337D">
        <w:rPr>
          <w:rFonts w:ascii="Verdana" w:hAnsi="Verdana"/>
          <w:sz w:val="16"/>
          <w:szCs w:val="16"/>
        </w:rPr>
        <w:t xml:space="preserve">Website, </w:t>
      </w:r>
      <w:r w:rsidR="008058FD" w:rsidRPr="00E3337D">
        <w:rPr>
          <w:rFonts w:ascii="Verdana" w:hAnsi="Verdana"/>
          <w:sz w:val="16"/>
          <w:szCs w:val="16"/>
        </w:rPr>
        <w:t>4</w:t>
      </w:r>
      <w:r w:rsidR="004E421A" w:rsidRPr="00E3337D">
        <w:rPr>
          <w:rFonts w:ascii="Verdana" w:hAnsi="Verdana"/>
          <w:sz w:val="16"/>
          <w:szCs w:val="16"/>
        </w:rPr>
        <w:t>/</w:t>
      </w:r>
      <w:r w:rsidR="00AE6B2A" w:rsidRPr="00E3337D">
        <w:rPr>
          <w:rFonts w:ascii="Verdana" w:hAnsi="Verdana"/>
          <w:sz w:val="16"/>
          <w:szCs w:val="16"/>
        </w:rPr>
        <w:t>2</w:t>
      </w:r>
      <w:r w:rsidR="00C8473A" w:rsidRPr="00E3337D">
        <w:rPr>
          <w:rFonts w:ascii="Verdana" w:hAnsi="Verdana"/>
          <w:sz w:val="16"/>
          <w:szCs w:val="16"/>
        </w:rPr>
        <w:t>2</w:t>
      </w:r>
      <w:r w:rsidR="00E3337D" w:rsidRPr="00E3337D">
        <w:rPr>
          <w:sz w:val="16"/>
          <w:szCs w:val="16"/>
        </w:rPr>
        <w:t xml:space="preserve"> </w:t>
      </w:r>
      <w:r w:rsidR="00E3337D" w:rsidRPr="00E3337D">
        <w:rPr>
          <w:sz w:val="16"/>
          <w:szCs w:val="16"/>
        </w:rPr>
        <w:t xml:space="preserve">Construction Dive </w:t>
      </w:r>
      <w:r w:rsidRPr="00E3337D">
        <w:rPr>
          <w:rFonts w:ascii="Verdana" w:hAnsi="Verdana"/>
          <w:sz w:val="16"/>
          <w:szCs w:val="16"/>
        </w:rPr>
        <w:t>Website</w:t>
      </w:r>
      <w:r w:rsidR="00A00453" w:rsidRPr="00E3337D">
        <w:rPr>
          <w:rFonts w:ascii="Verdana" w:hAnsi="Verdana"/>
          <w:sz w:val="16"/>
          <w:szCs w:val="16"/>
        </w:rPr>
        <w:t xml:space="preserve">, </w:t>
      </w:r>
      <w:r w:rsidR="008058FD" w:rsidRPr="00E3337D">
        <w:rPr>
          <w:rFonts w:ascii="Verdana" w:hAnsi="Verdana"/>
          <w:sz w:val="16"/>
          <w:szCs w:val="16"/>
        </w:rPr>
        <w:t>4</w:t>
      </w:r>
      <w:r w:rsidR="00306D88" w:rsidRPr="00E3337D">
        <w:rPr>
          <w:rFonts w:ascii="Verdana" w:hAnsi="Verdana"/>
          <w:sz w:val="16"/>
          <w:szCs w:val="16"/>
        </w:rPr>
        <w:t>/</w:t>
      </w:r>
      <w:r w:rsidR="00AE6B2A" w:rsidRPr="00E3337D">
        <w:rPr>
          <w:rFonts w:ascii="Verdana" w:hAnsi="Verdana"/>
          <w:sz w:val="16"/>
          <w:szCs w:val="16"/>
        </w:rPr>
        <w:t>2</w:t>
      </w:r>
      <w:r w:rsidR="00C8473A" w:rsidRPr="00E3337D">
        <w:rPr>
          <w:rFonts w:ascii="Verdana" w:hAnsi="Verdana"/>
          <w:sz w:val="16"/>
          <w:szCs w:val="16"/>
        </w:rPr>
        <w:t>2</w:t>
      </w:r>
      <w:r w:rsidRPr="00E3337D">
        <w:rPr>
          <w:rFonts w:ascii="Verdana" w:hAnsi="Verdana"/>
          <w:sz w:val="16"/>
          <w:szCs w:val="16"/>
        </w:rPr>
        <w:t>.</w:t>
      </w:r>
      <w:r w:rsidR="00E3337D" w:rsidRPr="00E3337D">
        <w:rPr>
          <w:rFonts w:ascii="Verdana" w:hAnsi="Verdana"/>
          <w:sz w:val="16"/>
          <w:szCs w:val="16"/>
        </w:rPr>
        <w:t xml:space="preserve"> </w:t>
      </w:r>
      <w:r w:rsidR="00E3337D" w:rsidRPr="00E3337D">
        <w:rPr>
          <w:sz w:val="16"/>
          <w:szCs w:val="16"/>
        </w:rPr>
        <w:t>Bureau of Labor Statistics Website</w:t>
      </w:r>
      <w:r w:rsidR="00E3337D" w:rsidRPr="00E3337D">
        <w:rPr>
          <w:sz w:val="16"/>
          <w:szCs w:val="16"/>
        </w:rPr>
        <w:t xml:space="preserve"> </w:t>
      </w:r>
      <w:r w:rsidR="00E3337D" w:rsidRPr="00E3337D">
        <w:rPr>
          <w:sz w:val="16"/>
          <w:szCs w:val="16"/>
        </w:rPr>
        <w:t>The Farnsworth Group Website</w:t>
      </w:r>
      <w:r w:rsidR="00E3337D" w:rsidRPr="00E3337D">
        <w:rPr>
          <w:sz w:val="16"/>
          <w:szCs w:val="16"/>
        </w:rPr>
        <w:t xml:space="preserve"> </w:t>
      </w:r>
      <w:r w:rsidR="00E3337D" w:rsidRPr="00E3337D">
        <w:rPr>
          <w:sz w:val="16"/>
          <w:szCs w:val="16"/>
        </w:rPr>
        <w:t>The Media Audit Website</w:t>
      </w:r>
    </w:p>
    <w:p w14:paraId="7EF64BA4" w14:textId="77777777" w:rsidR="00F94CE8" w:rsidRPr="00690E6A" w:rsidRDefault="00F94CE8" w:rsidP="00F94CE8">
      <w:pPr>
        <w:spacing w:after="0" w:line="240" w:lineRule="auto"/>
        <w:rPr>
          <w:rFonts w:ascii="Verdana" w:hAnsi="Verdana"/>
          <w:sz w:val="16"/>
        </w:rPr>
      </w:pPr>
    </w:p>
    <w:p w14:paraId="49C0D793" w14:textId="0605FD25" w:rsidR="00F94CE8" w:rsidRPr="00690E6A" w:rsidRDefault="00F94CE8" w:rsidP="00F94CE8">
      <w:pPr>
        <w:spacing w:after="0" w:line="240" w:lineRule="auto"/>
        <w:rPr>
          <w:rFonts w:ascii="Verdana" w:hAnsi="Verdana"/>
          <w:strike/>
          <w:sz w:val="16"/>
        </w:rPr>
      </w:pPr>
      <w:r w:rsidRPr="00690E6A">
        <w:rPr>
          <w:rFonts w:ascii="Verdana" w:hAnsi="Verdana"/>
          <w:i/>
          <w:sz w:val="16"/>
        </w:rPr>
        <w:t>Updated</w:t>
      </w:r>
      <w:r w:rsidR="003F0FE1">
        <w:rPr>
          <w:rFonts w:ascii="Verdana" w:hAnsi="Verdana"/>
          <w:sz w:val="16"/>
        </w:rPr>
        <w:t xml:space="preserve">: </w:t>
      </w:r>
      <w:r w:rsidR="008058FD">
        <w:rPr>
          <w:rFonts w:ascii="Verdana" w:hAnsi="Verdana"/>
          <w:sz w:val="16"/>
        </w:rPr>
        <w:t>April</w:t>
      </w:r>
      <w:r w:rsidR="00C8473A">
        <w:rPr>
          <w:rFonts w:ascii="Verdana" w:hAnsi="Verdana"/>
          <w:sz w:val="16"/>
        </w:rPr>
        <w:t xml:space="preserve"> 2022</w:t>
      </w:r>
    </w:p>
    <w:p w14:paraId="061B0C21" w14:textId="77777777" w:rsidR="00F94CE8" w:rsidRDefault="00F94CE8" w:rsidP="00F94CE8">
      <w:pPr>
        <w:pStyle w:val="NoSpacing"/>
        <w:contextualSpacing/>
        <w:rPr>
          <w:sz w:val="20"/>
          <w:szCs w:val="20"/>
        </w:rPr>
      </w:pPr>
    </w:p>
    <w:p w14:paraId="56AD0CC7" w14:textId="00868E95" w:rsidR="00F94CE8" w:rsidRPr="00FF1EBA" w:rsidRDefault="00F94CE8" w:rsidP="00F94CE8">
      <w:pPr>
        <w:pStyle w:val="NoSpacing"/>
        <w:contextualSpacing/>
        <w:rPr>
          <w:sz w:val="16"/>
          <w:szCs w:val="16"/>
        </w:rPr>
      </w:pPr>
      <w:r w:rsidRPr="00FF1EBA">
        <w:rPr>
          <w:rFonts w:ascii="Verdana" w:hAnsi="Verdana"/>
          <w:sz w:val="16"/>
          <w:szCs w:val="16"/>
        </w:rPr>
        <w:t>©</w:t>
      </w:r>
      <w:r w:rsidR="00306D88">
        <w:rPr>
          <w:sz w:val="16"/>
          <w:szCs w:val="16"/>
        </w:rPr>
        <w:t xml:space="preserve"> 20</w:t>
      </w:r>
      <w:r w:rsidR="00AE6B2A">
        <w:rPr>
          <w:sz w:val="16"/>
          <w:szCs w:val="16"/>
        </w:rPr>
        <w:t>2</w:t>
      </w:r>
      <w:r w:rsidR="00C8473A">
        <w:rPr>
          <w:sz w:val="16"/>
          <w:szCs w:val="16"/>
        </w:rPr>
        <w:t>2</w:t>
      </w:r>
      <w:r>
        <w:rPr>
          <w:sz w:val="16"/>
          <w:szCs w:val="16"/>
        </w:rPr>
        <w:t xml:space="preserve"> Media Group Online, Inc</w:t>
      </w:r>
      <w:r w:rsidRPr="00FF1EBA">
        <w:rPr>
          <w:sz w:val="16"/>
          <w:szCs w:val="16"/>
        </w:rPr>
        <w:t>. All rights reserved.</w:t>
      </w:r>
    </w:p>
    <w:p w14:paraId="47D01060" w14:textId="64A6C5D5" w:rsidR="00F94CE8" w:rsidRDefault="00F94CE8" w:rsidP="00260DE9">
      <w:pPr>
        <w:pStyle w:val="NoSpacing"/>
        <w:rPr>
          <w:sz w:val="20"/>
          <w:szCs w:val="20"/>
        </w:rPr>
      </w:pPr>
    </w:p>
    <w:p w14:paraId="6D0066ED" w14:textId="4379772D" w:rsidR="00AE1F72" w:rsidRDefault="00AE1F72" w:rsidP="00260DE9">
      <w:pPr>
        <w:pStyle w:val="NoSpacing"/>
        <w:rPr>
          <w:sz w:val="20"/>
          <w:szCs w:val="20"/>
        </w:rPr>
      </w:pPr>
    </w:p>
    <w:p w14:paraId="25DDD48A" w14:textId="4A2F67C8" w:rsidR="00AE1F72" w:rsidRDefault="00AE1F72">
      <w:pPr>
        <w:rPr>
          <w:sz w:val="20"/>
          <w:szCs w:val="20"/>
        </w:rPr>
      </w:pPr>
      <w:r>
        <w:rPr>
          <w:sz w:val="20"/>
          <w:szCs w:val="20"/>
        </w:rPr>
        <w:br w:type="page"/>
      </w:r>
    </w:p>
    <w:p w14:paraId="392FDD45" w14:textId="1FFC3855" w:rsidR="00AE1F72" w:rsidRPr="00720E0B" w:rsidRDefault="00AE1F72" w:rsidP="00AE1F72">
      <w:pPr>
        <w:pStyle w:val="NoSpacing"/>
        <w:jc w:val="center"/>
        <w:rPr>
          <w:b/>
          <w:color w:val="0070C0"/>
          <w:sz w:val="20"/>
          <w:szCs w:val="20"/>
        </w:rPr>
      </w:pPr>
      <w:r w:rsidRPr="00720E0B">
        <w:rPr>
          <w:b/>
          <w:color w:val="0070C0"/>
          <w:sz w:val="20"/>
          <w:szCs w:val="20"/>
        </w:rPr>
        <w:lastRenderedPageBreak/>
        <w:t xml:space="preserve">Local </w:t>
      </w:r>
      <w:r w:rsidR="0050254D">
        <w:rPr>
          <w:b/>
          <w:color w:val="0070C0"/>
          <w:sz w:val="20"/>
          <w:szCs w:val="20"/>
        </w:rPr>
        <w:t xml:space="preserve">Market </w:t>
      </w:r>
      <w:r w:rsidRPr="00720E0B">
        <w:rPr>
          <w:b/>
          <w:color w:val="0070C0"/>
          <w:sz w:val="20"/>
          <w:szCs w:val="20"/>
        </w:rPr>
        <w:t>and Station Information</w:t>
      </w:r>
    </w:p>
    <w:p w14:paraId="17AD3F99" w14:textId="77777777" w:rsidR="00AE1F72" w:rsidRPr="00260DE9" w:rsidRDefault="00AE1F72" w:rsidP="00260DE9">
      <w:pPr>
        <w:pStyle w:val="NoSpacing"/>
        <w:rPr>
          <w:sz w:val="20"/>
          <w:szCs w:val="20"/>
        </w:rPr>
      </w:pPr>
    </w:p>
    <w:sectPr w:rsidR="00AE1F72" w:rsidRPr="00260DE9" w:rsidSect="00260DE9">
      <w:headerReference w:type="default" r:id="rId8"/>
      <w:footerReference w:type="default" r:id="rId9"/>
      <w:pgSz w:w="12240" w:h="15840" w:code="1"/>
      <w:pgMar w:top="2160" w:right="1440" w:bottom="1440" w:left="1440" w:header="144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FA7CC" w14:textId="77777777" w:rsidR="00AF420E" w:rsidRDefault="00AF420E" w:rsidP="00260DE9">
      <w:pPr>
        <w:spacing w:after="0" w:line="240" w:lineRule="auto"/>
      </w:pPr>
      <w:r>
        <w:separator/>
      </w:r>
    </w:p>
  </w:endnote>
  <w:endnote w:type="continuationSeparator" w:id="0">
    <w:p w14:paraId="3B54EE33" w14:textId="77777777" w:rsidR="00AF420E" w:rsidRDefault="00AF420E" w:rsidP="0026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63B7" w14:textId="77777777" w:rsidR="003E2E9B" w:rsidRDefault="003E2E9B" w:rsidP="003E2E9B">
    <w:pPr>
      <w:pStyle w:val="Footer"/>
      <w:jc w:val="center"/>
      <w:rPr>
        <w:rFonts w:ascii="Arial" w:hAnsi="Arial" w:cs="Arial"/>
        <w:sz w:val="16"/>
        <w:szCs w:val="16"/>
      </w:rPr>
    </w:pPr>
    <w:r>
      <w:rPr>
        <w:rFonts w:ascii="Arial" w:hAnsi="Arial" w:cs="Arial"/>
        <w:noProof/>
        <w:sz w:val="16"/>
        <w:szCs w:val="16"/>
      </w:rPr>
      <w:drawing>
        <wp:inline distT="0" distB="0" distL="0" distR="0" wp14:anchorId="4724D9F8" wp14:editId="6BCACCF1">
          <wp:extent cx="300990" cy="300990"/>
          <wp:effectExtent l="19050" t="0" r="3810" b="0"/>
          <wp:docPr id="4" name="Picture 3" descr="MGOlogoBlac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OlogoBlackC.png"/>
                  <pic:cNvPicPr/>
                </pic:nvPicPr>
                <pic:blipFill>
                  <a:blip r:embed="rId1"/>
                  <a:stretch>
                    <a:fillRect/>
                  </a:stretch>
                </pic:blipFill>
                <pic:spPr>
                  <a:xfrm>
                    <a:off x="0" y="0"/>
                    <a:ext cx="300942" cy="300942"/>
                  </a:xfrm>
                  <a:prstGeom prst="rect">
                    <a:avLst/>
                  </a:prstGeom>
                </pic:spPr>
              </pic:pic>
            </a:graphicData>
          </a:graphic>
        </wp:inline>
      </w:drawing>
    </w:r>
  </w:p>
  <w:p w14:paraId="688D5080" w14:textId="77777777" w:rsidR="00260DE9" w:rsidRPr="0097480E" w:rsidRDefault="00EF6AB9" w:rsidP="00EF6AB9">
    <w:pPr>
      <w:pStyle w:val="Footer"/>
      <w:jc w:val="center"/>
      <w:rPr>
        <w:rFonts w:ascii="Arial" w:hAnsi="Arial" w:cs="Arial"/>
        <w:sz w:val="16"/>
        <w:szCs w:val="16"/>
      </w:rPr>
    </w:pPr>
    <w:r w:rsidRPr="0097480E">
      <w:rPr>
        <w:rFonts w:ascii="Arial" w:hAnsi="Arial" w:cs="Arial"/>
        <w:sz w:val="16"/>
        <w:szCs w:val="16"/>
        <w:shd w:val="clear" w:color="auto" w:fill="FFFFFF"/>
      </w:rPr>
      <w:t>Media Group Online, Inc.</w:t>
    </w:r>
    <w:r w:rsidRPr="0097480E">
      <w:rPr>
        <w:rFonts w:ascii="Arial" w:hAnsi="Arial" w:cs="Arial"/>
        <w:sz w:val="16"/>
        <w:szCs w:val="16"/>
      </w:rPr>
      <w:t xml:space="preserve">• </w:t>
    </w:r>
    <w:r w:rsidRPr="0097480E">
      <w:rPr>
        <w:rFonts w:ascii="Arial" w:hAnsi="Arial" w:cs="Arial"/>
        <w:sz w:val="16"/>
        <w:szCs w:val="16"/>
        <w:shd w:val="clear" w:color="auto" w:fill="FFFFFF"/>
      </w:rPr>
      <w:t>103 Sterling Mine Rd.</w:t>
    </w:r>
    <w:r w:rsidRPr="0097480E">
      <w:rPr>
        <w:rFonts w:ascii="Arial" w:hAnsi="Arial" w:cs="Arial"/>
        <w:sz w:val="16"/>
        <w:szCs w:val="16"/>
      </w:rPr>
      <w:t xml:space="preserve">• </w:t>
    </w:r>
    <w:r w:rsidRPr="0097480E">
      <w:rPr>
        <w:rFonts w:ascii="Arial" w:hAnsi="Arial" w:cs="Arial"/>
        <w:sz w:val="16"/>
        <w:szCs w:val="16"/>
        <w:shd w:val="clear" w:color="auto" w:fill="FFFFFF"/>
      </w:rPr>
      <w:t xml:space="preserve">Sloatsburg, NY </w:t>
    </w:r>
    <w:r w:rsidR="0097480E" w:rsidRPr="0097480E">
      <w:rPr>
        <w:rFonts w:ascii="Arial" w:hAnsi="Arial" w:cs="Arial"/>
        <w:sz w:val="16"/>
        <w:szCs w:val="16"/>
        <w:shd w:val="clear" w:color="auto" w:fill="FFFFFF"/>
      </w:rPr>
      <w:t>10974</w:t>
    </w:r>
    <w:r w:rsidRPr="0097480E">
      <w:rPr>
        <w:rFonts w:ascii="Arial" w:hAnsi="Arial" w:cs="Arial"/>
        <w:sz w:val="16"/>
        <w:szCs w:val="16"/>
        <w:shd w:val="clear" w:color="auto" w:fill="FFFFFF"/>
      </w:rPr>
      <w:t xml:space="preserve"> </w:t>
    </w:r>
    <w:r w:rsidRPr="0097480E">
      <w:rPr>
        <w:rFonts w:ascii="Arial" w:hAnsi="Arial" w:cs="Arial"/>
        <w:sz w:val="16"/>
        <w:szCs w:val="16"/>
      </w:rPr>
      <w:t>• Tel 866-921-1026 • Fax 845-712-5168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90B8E" w14:textId="77777777" w:rsidR="00AF420E" w:rsidRDefault="00AF420E" w:rsidP="00260DE9">
      <w:pPr>
        <w:spacing w:after="0" w:line="240" w:lineRule="auto"/>
      </w:pPr>
      <w:r>
        <w:separator/>
      </w:r>
    </w:p>
  </w:footnote>
  <w:footnote w:type="continuationSeparator" w:id="0">
    <w:p w14:paraId="0F54B18C" w14:textId="77777777" w:rsidR="00AF420E" w:rsidRDefault="00AF420E" w:rsidP="0026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DC73" w14:textId="77777777" w:rsidR="00260DE9" w:rsidRDefault="00635FF3">
    <w:pPr>
      <w:pStyle w:val="Header"/>
    </w:pPr>
    <w:r>
      <w:rPr>
        <w:noProof/>
      </w:rPr>
      <w:drawing>
        <wp:anchor distT="0" distB="0" distL="114300" distR="114300" simplePos="0" relativeHeight="251658240" behindDoc="1" locked="0" layoutInCell="1" allowOverlap="1" wp14:anchorId="67BDB21C" wp14:editId="7366BB1A">
          <wp:simplePos x="0" y="0"/>
          <wp:positionH relativeFrom="column">
            <wp:posOffset>-638175</wp:posOffset>
          </wp:positionH>
          <wp:positionV relativeFrom="paragraph">
            <wp:posOffset>-771525</wp:posOffset>
          </wp:positionV>
          <wp:extent cx="5943600" cy="1192530"/>
          <wp:effectExtent l="0" t="0" r="0" b="0"/>
          <wp:wrapTight wrapText="bothSides">
            <wp:wrapPolygon edited="0">
              <wp:start x="1454" y="0"/>
              <wp:lineTo x="1038" y="690"/>
              <wp:lineTo x="69" y="4486"/>
              <wp:lineTo x="0" y="7936"/>
              <wp:lineTo x="0" y="13802"/>
              <wp:lineTo x="138" y="17252"/>
              <wp:lineTo x="1177" y="21393"/>
              <wp:lineTo x="1385" y="21393"/>
              <wp:lineTo x="2838" y="21393"/>
              <wp:lineTo x="8931" y="16907"/>
              <wp:lineTo x="21531" y="15872"/>
              <wp:lineTo x="21531" y="6901"/>
              <wp:lineTo x="19938" y="4831"/>
              <wp:lineTo x="2838" y="0"/>
              <wp:lineTo x="14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OProfilerHeaderSmall.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925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DE9"/>
    <w:rsid w:val="00004575"/>
    <w:rsid w:val="000052A8"/>
    <w:rsid w:val="00006EB7"/>
    <w:rsid w:val="0001428D"/>
    <w:rsid w:val="00030B4A"/>
    <w:rsid w:val="000324FF"/>
    <w:rsid w:val="0003466E"/>
    <w:rsid w:val="00052024"/>
    <w:rsid w:val="0005633E"/>
    <w:rsid w:val="000577D6"/>
    <w:rsid w:val="0007198D"/>
    <w:rsid w:val="000830D7"/>
    <w:rsid w:val="000C4B96"/>
    <w:rsid w:val="000C7821"/>
    <w:rsid w:val="000C7CDD"/>
    <w:rsid w:val="000D2765"/>
    <w:rsid w:val="000D2F3A"/>
    <w:rsid w:val="000D7C07"/>
    <w:rsid w:val="000E1521"/>
    <w:rsid w:val="00112A85"/>
    <w:rsid w:val="0012010F"/>
    <w:rsid w:val="0012786F"/>
    <w:rsid w:val="00142DEE"/>
    <w:rsid w:val="00145DCF"/>
    <w:rsid w:val="001531C2"/>
    <w:rsid w:val="00154344"/>
    <w:rsid w:val="00157C3D"/>
    <w:rsid w:val="00160474"/>
    <w:rsid w:val="00161442"/>
    <w:rsid w:val="0016492E"/>
    <w:rsid w:val="00177D0F"/>
    <w:rsid w:val="00185A33"/>
    <w:rsid w:val="001A05E7"/>
    <w:rsid w:val="001B64B0"/>
    <w:rsid w:val="001C2831"/>
    <w:rsid w:val="001D53A3"/>
    <w:rsid w:val="001F5DFA"/>
    <w:rsid w:val="001F7B27"/>
    <w:rsid w:val="00201EEB"/>
    <w:rsid w:val="00235A73"/>
    <w:rsid w:val="00260DE9"/>
    <w:rsid w:val="00294474"/>
    <w:rsid w:val="002A4A73"/>
    <w:rsid w:val="002A6286"/>
    <w:rsid w:val="002B0BCF"/>
    <w:rsid w:val="002B3E1A"/>
    <w:rsid w:val="002B428E"/>
    <w:rsid w:val="002E1F38"/>
    <w:rsid w:val="00306D88"/>
    <w:rsid w:val="003138B0"/>
    <w:rsid w:val="003176E8"/>
    <w:rsid w:val="00327C87"/>
    <w:rsid w:val="003630CD"/>
    <w:rsid w:val="0038459A"/>
    <w:rsid w:val="003B417B"/>
    <w:rsid w:val="003C15ED"/>
    <w:rsid w:val="003D6958"/>
    <w:rsid w:val="003E2E9B"/>
    <w:rsid w:val="003F0FE1"/>
    <w:rsid w:val="00400606"/>
    <w:rsid w:val="00412473"/>
    <w:rsid w:val="00422A36"/>
    <w:rsid w:val="00424E79"/>
    <w:rsid w:val="00432903"/>
    <w:rsid w:val="0045212B"/>
    <w:rsid w:val="0045797F"/>
    <w:rsid w:val="0046193A"/>
    <w:rsid w:val="00480F76"/>
    <w:rsid w:val="0048482F"/>
    <w:rsid w:val="00493426"/>
    <w:rsid w:val="004942B2"/>
    <w:rsid w:val="00494CA5"/>
    <w:rsid w:val="004B0652"/>
    <w:rsid w:val="004D4671"/>
    <w:rsid w:val="004E421A"/>
    <w:rsid w:val="004F7F58"/>
    <w:rsid w:val="0050254D"/>
    <w:rsid w:val="005030B3"/>
    <w:rsid w:val="00520014"/>
    <w:rsid w:val="00525C61"/>
    <w:rsid w:val="0056258A"/>
    <w:rsid w:val="00563BFC"/>
    <w:rsid w:val="0057012D"/>
    <w:rsid w:val="00571D6A"/>
    <w:rsid w:val="00576127"/>
    <w:rsid w:val="00592462"/>
    <w:rsid w:val="00593AA0"/>
    <w:rsid w:val="00596832"/>
    <w:rsid w:val="005C2C10"/>
    <w:rsid w:val="005C3BA5"/>
    <w:rsid w:val="005D133A"/>
    <w:rsid w:val="005F19E9"/>
    <w:rsid w:val="00600CFD"/>
    <w:rsid w:val="00601F2D"/>
    <w:rsid w:val="0060537E"/>
    <w:rsid w:val="006271B8"/>
    <w:rsid w:val="00635FF3"/>
    <w:rsid w:val="00637CB9"/>
    <w:rsid w:val="006557DC"/>
    <w:rsid w:val="00657B52"/>
    <w:rsid w:val="0067102D"/>
    <w:rsid w:val="0068770F"/>
    <w:rsid w:val="0069436D"/>
    <w:rsid w:val="006B3A10"/>
    <w:rsid w:val="006B750A"/>
    <w:rsid w:val="006D1053"/>
    <w:rsid w:val="006E6275"/>
    <w:rsid w:val="007069BB"/>
    <w:rsid w:val="00707104"/>
    <w:rsid w:val="007139CE"/>
    <w:rsid w:val="007257B5"/>
    <w:rsid w:val="007651A4"/>
    <w:rsid w:val="00775309"/>
    <w:rsid w:val="007862CF"/>
    <w:rsid w:val="007901A3"/>
    <w:rsid w:val="00793BD0"/>
    <w:rsid w:val="007B6E29"/>
    <w:rsid w:val="007D3185"/>
    <w:rsid w:val="008058FD"/>
    <w:rsid w:val="00810734"/>
    <w:rsid w:val="0082749D"/>
    <w:rsid w:val="00875007"/>
    <w:rsid w:val="0088350D"/>
    <w:rsid w:val="0088505B"/>
    <w:rsid w:val="0089324F"/>
    <w:rsid w:val="008D1056"/>
    <w:rsid w:val="00906EBF"/>
    <w:rsid w:val="00910959"/>
    <w:rsid w:val="009229BB"/>
    <w:rsid w:val="00923C8D"/>
    <w:rsid w:val="00931A86"/>
    <w:rsid w:val="009419F0"/>
    <w:rsid w:val="0097289D"/>
    <w:rsid w:val="0097480E"/>
    <w:rsid w:val="00975786"/>
    <w:rsid w:val="00984DF0"/>
    <w:rsid w:val="00990680"/>
    <w:rsid w:val="0099377F"/>
    <w:rsid w:val="009A3728"/>
    <w:rsid w:val="009A3EBE"/>
    <w:rsid w:val="009A4526"/>
    <w:rsid w:val="009A6479"/>
    <w:rsid w:val="009C6A17"/>
    <w:rsid w:val="009F3C8C"/>
    <w:rsid w:val="00A00453"/>
    <w:rsid w:val="00A031C1"/>
    <w:rsid w:val="00A12BB9"/>
    <w:rsid w:val="00A30B01"/>
    <w:rsid w:val="00A54CAF"/>
    <w:rsid w:val="00A55AAE"/>
    <w:rsid w:val="00A55AB4"/>
    <w:rsid w:val="00A61F9B"/>
    <w:rsid w:val="00A71026"/>
    <w:rsid w:val="00A820F9"/>
    <w:rsid w:val="00A90E57"/>
    <w:rsid w:val="00A96AE2"/>
    <w:rsid w:val="00AB01D8"/>
    <w:rsid w:val="00AD2911"/>
    <w:rsid w:val="00AE087E"/>
    <w:rsid w:val="00AE1F72"/>
    <w:rsid w:val="00AE6B2A"/>
    <w:rsid w:val="00AE71B7"/>
    <w:rsid w:val="00AF420E"/>
    <w:rsid w:val="00B12A59"/>
    <w:rsid w:val="00B33B46"/>
    <w:rsid w:val="00B36421"/>
    <w:rsid w:val="00B4203D"/>
    <w:rsid w:val="00B6421F"/>
    <w:rsid w:val="00B741C4"/>
    <w:rsid w:val="00BB2165"/>
    <w:rsid w:val="00BB2EF2"/>
    <w:rsid w:val="00BC0DB8"/>
    <w:rsid w:val="00BC2144"/>
    <w:rsid w:val="00BE4BEC"/>
    <w:rsid w:val="00BE6652"/>
    <w:rsid w:val="00BF12D2"/>
    <w:rsid w:val="00BF6563"/>
    <w:rsid w:val="00C11931"/>
    <w:rsid w:val="00C147E3"/>
    <w:rsid w:val="00C20878"/>
    <w:rsid w:val="00C21D13"/>
    <w:rsid w:val="00C412D4"/>
    <w:rsid w:val="00C54007"/>
    <w:rsid w:val="00C65128"/>
    <w:rsid w:val="00C77B54"/>
    <w:rsid w:val="00C8473A"/>
    <w:rsid w:val="00CB64FA"/>
    <w:rsid w:val="00CE3B31"/>
    <w:rsid w:val="00CE7889"/>
    <w:rsid w:val="00CF11EF"/>
    <w:rsid w:val="00D16971"/>
    <w:rsid w:val="00D17DB0"/>
    <w:rsid w:val="00D2124B"/>
    <w:rsid w:val="00D22E81"/>
    <w:rsid w:val="00D26223"/>
    <w:rsid w:val="00D37649"/>
    <w:rsid w:val="00D8342E"/>
    <w:rsid w:val="00D93E11"/>
    <w:rsid w:val="00DA1474"/>
    <w:rsid w:val="00DC4F7C"/>
    <w:rsid w:val="00DC75AC"/>
    <w:rsid w:val="00DD5A41"/>
    <w:rsid w:val="00DE0FDD"/>
    <w:rsid w:val="00E060B5"/>
    <w:rsid w:val="00E13B28"/>
    <w:rsid w:val="00E20F93"/>
    <w:rsid w:val="00E21202"/>
    <w:rsid w:val="00E31C88"/>
    <w:rsid w:val="00E3337D"/>
    <w:rsid w:val="00E45F8D"/>
    <w:rsid w:val="00E80C14"/>
    <w:rsid w:val="00E926A9"/>
    <w:rsid w:val="00EA0874"/>
    <w:rsid w:val="00EC1978"/>
    <w:rsid w:val="00ED42A4"/>
    <w:rsid w:val="00EF37F2"/>
    <w:rsid w:val="00EF6801"/>
    <w:rsid w:val="00EF6AB9"/>
    <w:rsid w:val="00F056FA"/>
    <w:rsid w:val="00F2704A"/>
    <w:rsid w:val="00F63A9A"/>
    <w:rsid w:val="00F66EA8"/>
    <w:rsid w:val="00F70E29"/>
    <w:rsid w:val="00F94CE8"/>
    <w:rsid w:val="00FA158E"/>
    <w:rsid w:val="00FA495C"/>
    <w:rsid w:val="00FB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0252B"/>
  <w15:docId w15:val="{00033884-83A0-4105-8CD5-C8A13830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5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DE9"/>
  </w:style>
  <w:style w:type="paragraph" w:styleId="Footer">
    <w:name w:val="footer"/>
    <w:basedOn w:val="Normal"/>
    <w:link w:val="FooterChar"/>
    <w:uiPriority w:val="99"/>
    <w:unhideWhenUsed/>
    <w:rsid w:val="0026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DE9"/>
  </w:style>
  <w:style w:type="paragraph" w:styleId="NoSpacing">
    <w:name w:val="No Spacing"/>
    <w:uiPriority w:val="1"/>
    <w:qFormat/>
    <w:rsid w:val="00260DE9"/>
    <w:pPr>
      <w:spacing w:after="0" w:line="240" w:lineRule="auto"/>
    </w:pPr>
  </w:style>
  <w:style w:type="paragraph" w:styleId="BalloonText">
    <w:name w:val="Balloon Text"/>
    <w:basedOn w:val="Normal"/>
    <w:link w:val="BalloonTextChar"/>
    <w:uiPriority w:val="99"/>
    <w:semiHidden/>
    <w:unhideWhenUsed/>
    <w:rsid w:val="003E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ABECD-D5BF-8A47-B41B-5E66C68C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Whelan</dc:creator>
  <cp:lastModifiedBy>Bob Sillick</cp:lastModifiedBy>
  <cp:revision>2</cp:revision>
  <dcterms:created xsi:type="dcterms:W3CDTF">2022-04-12T17:46:00Z</dcterms:created>
  <dcterms:modified xsi:type="dcterms:W3CDTF">2022-04-12T17:46:00Z</dcterms:modified>
</cp:coreProperties>
</file>