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0ADDE461" w:rsidR="00F94CE8" w:rsidRPr="005F19E9" w:rsidRDefault="00F613D6" w:rsidP="00C11931">
      <w:pPr>
        <w:pStyle w:val="NoSpacing"/>
        <w:contextualSpacing/>
        <w:mirrorIndents/>
        <w:rPr>
          <w:rFonts w:ascii="Verdana" w:hAnsi="Verdana"/>
          <w:b/>
          <w:bCs/>
          <w:color w:val="FF0000"/>
          <w:sz w:val="20"/>
          <w:szCs w:val="20"/>
        </w:rPr>
      </w:pPr>
      <w:r>
        <w:rPr>
          <w:rFonts w:ascii="Verdana" w:hAnsi="Verdana"/>
          <w:b/>
          <w:bCs/>
          <w:color w:val="FF0000"/>
          <w:sz w:val="20"/>
          <w:szCs w:val="20"/>
        </w:rPr>
        <w:t>Beer</w:t>
      </w:r>
      <w:r w:rsidR="005F19E9" w:rsidRPr="005F19E9">
        <w:rPr>
          <w:rFonts w:ascii="Verdana" w:hAnsi="Verdana"/>
          <w:b/>
          <w:bCs/>
          <w:color w:val="FF0000"/>
          <w:sz w:val="20"/>
          <w:szCs w:val="20"/>
        </w:rPr>
        <w:t xml:space="preserve"> Market 2022</w:t>
      </w:r>
    </w:p>
    <w:p w14:paraId="11DB62D2" w14:textId="77777777" w:rsidR="00F94CE8" w:rsidRPr="009E4880" w:rsidRDefault="00F94CE8" w:rsidP="009E4880">
      <w:pPr>
        <w:pStyle w:val="NoSpacing"/>
        <w:contextualSpacing/>
        <w:mirrorIndents/>
        <w:rPr>
          <w:rFonts w:ascii="Verdana" w:hAnsi="Verdana"/>
          <w:sz w:val="20"/>
          <w:szCs w:val="20"/>
        </w:rPr>
      </w:pPr>
    </w:p>
    <w:p w14:paraId="58A88108" w14:textId="77777777" w:rsidR="009E4880" w:rsidRPr="009E4880" w:rsidRDefault="009E4880" w:rsidP="009E4880">
      <w:pPr>
        <w:spacing w:after="0" w:line="240" w:lineRule="auto"/>
        <w:contextualSpacing/>
        <w:mirrorIndents/>
        <w:jc w:val="center"/>
        <w:rPr>
          <w:rFonts w:ascii="Verdana" w:hAnsi="Verdana"/>
          <w:b/>
          <w:bCs/>
          <w:color w:val="0070C0"/>
          <w:sz w:val="20"/>
          <w:szCs w:val="20"/>
        </w:rPr>
      </w:pPr>
      <w:r w:rsidRPr="009E4880">
        <w:rPr>
          <w:rFonts w:ascii="Verdana" w:hAnsi="Verdana"/>
          <w:b/>
          <w:bCs/>
          <w:color w:val="0070C0"/>
          <w:sz w:val="20"/>
          <w:szCs w:val="20"/>
        </w:rPr>
        <w:t>Evolving Tastes Cause Domestic Brands’ Decline</w:t>
      </w:r>
    </w:p>
    <w:p w14:paraId="536AEB2B" w14:textId="77777777" w:rsidR="009E4880" w:rsidRPr="009E4880" w:rsidRDefault="009E4880" w:rsidP="009E4880">
      <w:pPr>
        <w:spacing w:after="0" w:line="240" w:lineRule="auto"/>
        <w:contextualSpacing/>
        <w:mirrorIndents/>
        <w:rPr>
          <w:rFonts w:ascii="Verdana" w:hAnsi="Verdana"/>
          <w:sz w:val="20"/>
          <w:szCs w:val="20"/>
        </w:rPr>
      </w:pPr>
    </w:p>
    <w:p w14:paraId="6D0F48E1" w14:textId="1ED26FEA" w:rsidR="009E4880" w:rsidRDefault="009E4880" w:rsidP="009E4880">
      <w:pPr>
        <w:spacing w:after="0" w:line="240" w:lineRule="auto"/>
        <w:contextualSpacing/>
        <w:mirrorIndents/>
        <w:rPr>
          <w:rFonts w:ascii="Verdana" w:hAnsi="Verdana"/>
          <w:sz w:val="20"/>
          <w:szCs w:val="20"/>
        </w:rPr>
      </w:pPr>
      <w:r>
        <w:rPr>
          <w:rFonts w:ascii="Verdana" w:hAnsi="Verdana"/>
          <w:sz w:val="20"/>
          <w:szCs w:val="20"/>
        </w:rPr>
        <w:t xml:space="preserve">Although the US domestic beer sector has an approximately 60% share of the entire beer market, total sales for the sector decreased 5.2% for the 52 weeks ending 12/26/21, </w:t>
      </w:r>
      <w:r w:rsidR="000A3A5D">
        <w:rPr>
          <w:rFonts w:ascii="Verdana" w:hAnsi="Verdana"/>
          <w:sz w:val="20"/>
          <w:szCs w:val="20"/>
        </w:rPr>
        <w:t xml:space="preserve">as </w:t>
      </w:r>
      <w:r>
        <w:rPr>
          <w:rFonts w:ascii="Verdana" w:hAnsi="Verdana"/>
          <w:sz w:val="20"/>
          <w:szCs w:val="20"/>
        </w:rPr>
        <w:t>drinkers are seeking more variety and unique tastes among smaller sectors.</w:t>
      </w:r>
    </w:p>
    <w:p w14:paraId="25936353" w14:textId="22562D70" w:rsidR="009E4880" w:rsidRDefault="009E4880" w:rsidP="009E4880">
      <w:pPr>
        <w:spacing w:after="0" w:line="240" w:lineRule="auto"/>
        <w:contextualSpacing/>
        <w:mirrorIndents/>
        <w:rPr>
          <w:rFonts w:ascii="Verdana" w:hAnsi="Verdana"/>
          <w:sz w:val="20"/>
          <w:szCs w:val="20"/>
        </w:rPr>
      </w:pPr>
    </w:p>
    <w:p w14:paraId="5F19E3B3" w14:textId="28AF950A" w:rsidR="009E4880" w:rsidRDefault="009E4880" w:rsidP="009E4880">
      <w:pPr>
        <w:spacing w:after="0" w:line="240" w:lineRule="auto"/>
        <w:contextualSpacing/>
        <w:mirrorIndents/>
        <w:rPr>
          <w:rFonts w:ascii="Verdana" w:hAnsi="Verdana"/>
          <w:sz w:val="20"/>
          <w:szCs w:val="20"/>
        </w:rPr>
      </w:pPr>
      <w:r>
        <w:rPr>
          <w:rFonts w:ascii="Verdana" w:hAnsi="Verdana"/>
          <w:sz w:val="20"/>
          <w:szCs w:val="20"/>
        </w:rPr>
        <w:t xml:space="preserve">Younger adults are attracted to </w:t>
      </w:r>
      <w:r w:rsidR="00715CE0">
        <w:rPr>
          <w:rFonts w:ascii="Verdana" w:hAnsi="Verdana"/>
          <w:sz w:val="20"/>
          <w:szCs w:val="20"/>
        </w:rPr>
        <w:t>flavored malt beverages</w:t>
      </w:r>
      <w:r w:rsidR="000A3A5D">
        <w:rPr>
          <w:rFonts w:ascii="Verdana" w:hAnsi="Verdana"/>
          <w:sz w:val="20"/>
          <w:szCs w:val="20"/>
        </w:rPr>
        <w:t xml:space="preserve"> (FMBs)</w:t>
      </w:r>
      <w:r w:rsidR="00715CE0">
        <w:rPr>
          <w:rFonts w:ascii="Verdana" w:hAnsi="Verdana"/>
          <w:sz w:val="20"/>
          <w:szCs w:val="20"/>
        </w:rPr>
        <w:t xml:space="preserve"> and hard seltzers as well as the convenience of ready-to-drink (RTD) cocktails and other canned alcoholic beverages. An increased interest in </w:t>
      </w:r>
      <w:r w:rsidR="001F2EAC">
        <w:rPr>
          <w:rFonts w:ascii="Verdana" w:hAnsi="Verdana"/>
          <w:sz w:val="20"/>
          <w:szCs w:val="20"/>
        </w:rPr>
        <w:t xml:space="preserve">the </w:t>
      </w:r>
      <w:r w:rsidR="00715CE0">
        <w:rPr>
          <w:rFonts w:ascii="Verdana" w:hAnsi="Verdana"/>
          <w:sz w:val="20"/>
          <w:szCs w:val="20"/>
        </w:rPr>
        <w:t>consumption of healthy beverages is also a factor.</w:t>
      </w:r>
    </w:p>
    <w:p w14:paraId="1113A264" w14:textId="39499E1C" w:rsidR="00715CE0" w:rsidRDefault="00715CE0" w:rsidP="009E4880">
      <w:pPr>
        <w:spacing w:after="0" w:line="240" w:lineRule="auto"/>
        <w:contextualSpacing/>
        <w:mirrorIndents/>
        <w:rPr>
          <w:rFonts w:ascii="Verdana" w:hAnsi="Verdana"/>
          <w:sz w:val="20"/>
          <w:szCs w:val="20"/>
        </w:rPr>
      </w:pPr>
    </w:p>
    <w:p w14:paraId="1B5C20EC" w14:textId="77777777" w:rsidR="0032316A" w:rsidRDefault="00715CE0" w:rsidP="009E4880">
      <w:pPr>
        <w:spacing w:after="0" w:line="240" w:lineRule="auto"/>
        <w:contextualSpacing/>
        <w:mirrorIndents/>
        <w:rPr>
          <w:rFonts w:ascii="Verdana" w:hAnsi="Verdana"/>
          <w:sz w:val="20"/>
          <w:szCs w:val="20"/>
        </w:rPr>
      </w:pPr>
      <w:r>
        <w:rPr>
          <w:rFonts w:ascii="Verdana" w:hAnsi="Verdana"/>
          <w:sz w:val="20"/>
          <w:szCs w:val="20"/>
        </w:rPr>
        <w:t>With bars, nightclubs and other on-premise venues now open again and offering a great variety of craft beers and new, innovative products, the maj</w:t>
      </w:r>
      <w:r w:rsidR="0032316A">
        <w:rPr>
          <w:rFonts w:ascii="Verdana" w:hAnsi="Verdana"/>
          <w:sz w:val="20"/>
          <w:szCs w:val="20"/>
        </w:rPr>
        <w:t xml:space="preserve">or domestic brands are introducing new flavors to compete in the rapidly evolving beer market. </w:t>
      </w:r>
    </w:p>
    <w:p w14:paraId="01058841" w14:textId="77777777" w:rsidR="0032316A" w:rsidRDefault="0032316A" w:rsidP="009E4880">
      <w:pPr>
        <w:spacing w:after="0" w:line="240" w:lineRule="auto"/>
        <w:contextualSpacing/>
        <w:mirrorIndents/>
        <w:rPr>
          <w:rFonts w:ascii="Verdana" w:hAnsi="Verdana"/>
          <w:sz w:val="20"/>
          <w:szCs w:val="20"/>
        </w:rPr>
      </w:pPr>
    </w:p>
    <w:p w14:paraId="51053A39" w14:textId="27B43BD3" w:rsidR="00923815" w:rsidRPr="000D772C" w:rsidRDefault="00923815" w:rsidP="00923815">
      <w:pPr>
        <w:pStyle w:val="Header"/>
        <w:contextualSpacing/>
        <w:jc w:val="center"/>
        <w:rPr>
          <w:rFonts w:ascii="Verdana" w:hAnsi="Verdana"/>
          <w:b/>
          <w:sz w:val="20"/>
          <w:szCs w:val="20"/>
        </w:rPr>
      </w:pPr>
      <w:r w:rsidRPr="000D772C">
        <w:rPr>
          <w:rFonts w:ascii="Verdana" w:hAnsi="Verdana"/>
          <w:b/>
          <w:sz w:val="20"/>
          <w:szCs w:val="20"/>
        </w:rPr>
        <w:t xml:space="preserve">Top </w:t>
      </w:r>
      <w:r>
        <w:rPr>
          <w:rFonts w:ascii="Verdana" w:hAnsi="Verdana"/>
          <w:b/>
          <w:sz w:val="20"/>
          <w:szCs w:val="20"/>
        </w:rPr>
        <w:t>10</w:t>
      </w:r>
      <w:r w:rsidRPr="000D772C">
        <w:rPr>
          <w:rFonts w:ascii="Verdana" w:hAnsi="Verdana"/>
          <w:b/>
          <w:sz w:val="20"/>
          <w:szCs w:val="20"/>
        </w:rPr>
        <w:t xml:space="preserve"> Domestic Beer Brands, by Dollar Sales, 20</w:t>
      </w:r>
      <w:r>
        <w:rPr>
          <w:rFonts w:ascii="Verdana" w:hAnsi="Verdana"/>
          <w:b/>
          <w:sz w:val="20"/>
          <w:szCs w:val="20"/>
        </w:rPr>
        <w:t>21</w:t>
      </w:r>
      <w:r w:rsidRPr="000D772C">
        <w:rPr>
          <w:rFonts w:ascii="Verdana" w:hAnsi="Verdana"/>
          <w:b/>
          <w:sz w:val="20"/>
          <w:szCs w:val="20"/>
        </w:rPr>
        <w:t>*</w:t>
      </w:r>
    </w:p>
    <w:tbl>
      <w:tblPr>
        <w:tblW w:w="9447" w:type="dxa"/>
        <w:jc w:val="center"/>
        <w:tblBorders>
          <w:left w:val="single" w:sz="8" w:space="0" w:color="000000"/>
          <w:right w:val="single" w:sz="8" w:space="0" w:color="000000"/>
        </w:tblBorders>
        <w:tblLayout w:type="fixed"/>
        <w:tblLook w:val="0000" w:firstRow="0" w:lastRow="0" w:firstColumn="0" w:lastColumn="0" w:noHBand="0" w:noVBand="0"/>
      </w:tblPr>
      <w:tblGrid>
        <w:gridCol w:w="2190"/>
        <w:gridCol w:w="1267"/>
        <w:gridCol w:w="1267"/>
        <w:gridCol w:w="2189"/>
        <w:gridCol w:w="1267"/>
        <w:gridCol w:w="1267"/>
      </w:tblGrid>
      <w:tr w:rsidR="00923815" w:rsidRPr="000D772C" w14:paraId="5F1356F9" w14:textId="77777777" w:rsidTr="000A3A5D">
        <w:trPr>
          <w:trHeight w:val="243"/>
          <w:jc w:val="center"/>
        </w:trPr>
        <w:tc>
          <w:tcPr>
            <w:tcW w:w="2190" w:type="dxa"/>
            <w:tcBorders>
              <w:top w:val="single" w:sz="12" w:space="0" w:color="000000"/>
              <w:left w:val="single" w:sz="12" w:space="0" w:color="000000"/>
              <w:bottom w:val="single" w:sz="18" w:space="0" w:color="C0504D" w:themeColor="accent2"/>
              <w:right w:val="single" w:sz="12" w:space="0" w:color="0070C0"/>
            </w:tcBorders>
            <w:vAlign w:val="center"/>
          </w:tcPr>
          <w:p w14:paraId="50977426" w14:textId="77777777" w:rsidR="00923815" w:rsidRPr="000D772C" w:rsidRDefault="00923815" w:rsidP="000A3A5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xml:space="preserve">Domestic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5D4FAEAB" w14:textId="13C6808E" w:rsidR="00923815" w:rsidRPr="000D772C" w:rsidRDefault="00923815" w:rsidP="000A3A5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Dollar Sales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4ECC04B" w14:textId="77777777" w:rsidR="00923815" w:rsidRPr="000D772C" w:rsidRDefault="00923815" w:rsidP="000A3A5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c>
          <w:tcPr>
            <w:tcW w:w="2189" w:type="dxa"/>
            <w:tcBorders>
              <w:top w:val="single" w:sz="12" w:space="0" w:color="000000"/>
              <w:left w:val="single" w:sz="18" w:space="0" w:color="0070C0"/>
              <w:bottom w:val="single" w:sz="18" w:space="0" w:color="C0504D" w:themeColor="accent2"/>
              <w:right w:val="single" w:sz="12" w:space="0" w:color="0070C0"/>
            </w:tcBorders>
            <w:vAlign w:val="center"/>
          </w:tcPr>
          <w:p w14:paraId="1999E5D9" w14:textId="77777777" w:rsidR="00923815" w:rsidRPr="000D772C" w:rsidRDefault="00923815" w:rsidP="000A3A5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xml:space="preserve">Domestic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40137F30" w14:textId="413E7D3C" w:rsidR="00923815" w:rsidRPr="000D772C" w:rsidRDefault="00923815" w:rsidP="000A3A5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Dollar 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703279C" w14:textId="77777777" w:rsidR="00923815" w:rsidRPr="000D772C" w:rsidRDefault="00923815" w:rsidP="000A3A5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r>
      <w:tr w:rsidR="00923815" w:rsidRPr="000D772C" w14:paraId="7D79E311" w14:textId="77777777" w:rsidTr="000A3A5D">
        <w:trPr>
          <w:trHeight w:val="243"/>
          <w:jc w:val="center"/>
        </w:trPr>
        <w:tc>
          <w:tcPr>
            <w:tcW w:w="2190" w:type="dxa"/>
            <w:tcBorders>
              <w:top w:val="single" w:sz="18" w:space="0" w:color="C0504D" w:themeColor="accent2"/>
              <w:left w:val="single" w:sz="12" w:space="0" w:color="000000"/>
              <w:bottom w:val="single" w:sz="4" w:space="0" w:color="auto"/>
              <w:right w:val="single" w:sz="12" w:space="0" w:color="0070C0"/>
            </w:tcBorders>
            <w:vAlign w:val="center"/>
          </w:tcPr>
          <w:p w14:paraId="03FC7D5B"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Bud</w:t>
            </w:r>
          </w:p>
        </w:tc>
        <w:tc>
          <w:tcPr>
            <w:tcW w:w="1267" w:type="dxa"/>
            <w:tcBorders>
              <w:top w:val="single" w:sz="18" w:space="0" w:color="C0504D" w:themeColor="accent2"/>
              <w:left w:val="single" w:sz="12" w:space="0" w:color="0070C0"/>
              <w:bottom w:val="single" w:sz="4" w:space="0" w:color="auto"/>
              <w:right w:val="single" w:sz="8" w:space="0" w:color="0070C0"/>
            </w:tcBorders>
            <w:vAlign w:val="center"/>
          </w:tcPr>
          <w:p w14:paraId="0861B8F2" w14:textId="43D95BA8"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$6.77 B</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2DBDB" w:themeFill="accent2" w:themeFillTint="33"/>
            <w:vAlign w:val="center"/>
          </w:tcPr>
          <w:p w14:paraId="2800C7D3" w14:textId="4B3CC1A4"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-7.0%</w:t>
            </w:r>
          </w:p>
        </w:tc>
        <w:tc>
          <w:tcPr>
            <w:tcW w:w="2189" w:type="dxa"/>
            <w:tcBorders>
              <w:top w:val="single" w:sz="18" w:space="0" w:color="C0504D" w:themeColor="accent2"/>
              <w:left w:val="single" w:sz="18" w:space="0" w:color="0070C0"/>
              <w:bottom w:val="single" w:sz="4" w:space="0" w:color="000000"/>
              <w:right w:val="single" w:sz="12" w:space="0" w:color="0070C0"/>
            </w:tcBorders>
            <w:vAlign w:val="center"/>
          </w:tcPr>
          <w:p w14:paraId="40FEAE10"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Natural</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05686F70" w14:textId="00BE05F5"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$1.34 B</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1287C414" w14:textId="4A1D43CD"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r>
      <w:tr w:rsidR="00923815" w:rsidRPr="000D772C" w14:paraId="68D1508E" w14:textId="77777777" w:rsidTr="000A3A5D">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4808FF08"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 xml:space="preserve">#2: </w:t>
            </w:r>
            <w:r w:rsidRPr="000D772C">
              <w:rPr>
                <w:rFonts w:ascii="Verdana" w:eastAsia="Times New Roman" w:hAnsi="Verdana"/>
                <w:sz w:val="20"/>
                <w:szCs w:val="20"/>
              </w:rPr>
              <w:t>Michelob</w:t>
            </w:r>
          </w:p>
        </w:tc>
        <w:tc>
          <w:tcPr>
            <w:tcW w:w="1267" w:type="dxa"/>
            <w:tcBorders>
              <w:top w:val="single" w:sz="4" w:space="0" w:color="auto"/>
              <w:left w:val="single" w:sz="12" w:space="0" w:color="0070C0"/>
              <w:bottom w:val="single" w:sz="4" w:space="0" w:color="000000"/>
              <w:right w:val="single" w:sz="8" w:space="0" w:color="0070C0"/>
            </w:tcBorders>
            <w:vAlign w:val="center"/>
          </w:tcPr>
          <w:p w14:paraId="1C2CB97D" w14:textId="601676D7"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$3.32 B</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7AD4B33E" w14:textId="21D72741"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+4.4%</w:t>
            </w:r>
          </w:p>
        </w:tc>
        <w:tc>
          <w:tcPr>
            <w:tcW w:w="2189" w:type="dxa"/>
            <w:tcBorders>
              <w:top w:val="single" w:sz="4" w:space="0" w:color="000000"/>
              <w:left w:val="single" w:sz="18" w:space="0" w:color="0070C0"/>
              <w:bottom w:val="single" w:sz="4" w:space="0" w:color="000000"/>
              <w:right w:val="single" w:sz="12" w:space="0" w:color="0070C0"/>
            </w:tcBorders>
            <w:vAlign w:val="center"/>
          </w:tcPr>
          <w:p w14:paraId="4CED52A0"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Bud Specialty</w:t>
            </w:r>
          </w:p>
        </w:tc>
        <w:tc>
          <w:tcPr>
            <w:tcW w:w="1267" w:type="dxa"/>
            <w:tcBorders>
              <w:top w:val="single" w:sz="4" w:space="0" w:color="000000"/>
              <w:left w:val="single" w:sz="12" w:space="0" w:color="0070C0"/>
              <w:bottom w:val="single" w:sz="4" w:space="0" w:color="000000"/>
              <w:right w:val="single" w:sz="8" w:space="0" w:color="0070C0"/>
            </w:tcBorders>
            <w:vAlign w:val="center"/>
          </w:tcPr>
          <w:p w14:paraId="47879CC4" w14:textId="5956E2A1"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$680</w:t>
            </w:r>
            <w:r w:rsidR="00574B22">
              <w:rPr>
                <w:rFonts w:ascii="Verdana" w:eastAsia="Times New Roman" w:hAnsi="Verdana"/>
                <w:sz w:val="20"/>
                <w:szCs w:val="20"/>
              </w:rPr>
              <w:t>.1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3895E079" w14:textId="480D0166"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-12.7%</w:t>
            </w:r>
          </w:p>
        </w:tc>
      </w:tr>
      <w:tr w:rsidR="00923815" w:rsidRPr="000D772C" w14:paraId="254156C0" w14:textId="77777777" w:rsidTr="000A3A5D">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410C462E"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Pr="000D772C">
              <w:rPr>
                <w:sz w:val="20"/>
                <w:szCs w:val="20"/>
              </w:rPr>
              <w:t>Coors</w:t>
            </w:r>
          </w:p>
        </w:tc>
        <w:tc>
          <w:tcPr>
            <w:tcW w:w="1267" w:type="dxa"/>
            <w:tcBorders>
              <w:top w:val="single" w:sz="4" w:space="0" w:color="auto"/>
              <w:left w:val="single" w:sz="12" w:space="0" w:color="0070C0"/>
              <w:bottom w:val="single" w:sz="4" w:space="0" w:color="000000"/>
              <w:right w:val="single" w:sz="8" w:space="0" w:color="0070C0"/>
            </w:tcBorders>
            <w:vAlign w:val="center"/>
          </w:tcPr>
          <w:p w14:paraId="0EED3073" w14:textId="0736F09E"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$2.65 B</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3C68682C" w14:textId="1752A046"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-2.5%</w:t>
            </w:r>
          </w:p>
        </w:tc>
        <w:tc>
          <w:tcPr>
            <w:tcW w:w="2189" w:type="dxa"/>
            <w:tcBorders>
              <w:top w:val="single" w:sz="4" w:space="0" w:color="000000"/>
              <w:left w:val="single" w:sz="18" w:space="0" w:color="0070C0"/>
              <w:bottom w:val="single" w:sz="4" w:space="0" w:color="000000"/>
              <w:right w:val="single" w:sz="12" w:space="0" w:color="0070C0"/>
            </w:tcBorders>
            <w:vAlign w:val="center"/>
          </w:tcPr>
          <w:p w14:paraId="0C7122E6"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Keystone</w:t>
            </w:r>
          </w:p>
        </w:tc>
        <w:tc>
          <w:tcPr>
            <w:tcW w:w="1267" w:type="dxa"/>
            <w:tcBorders>
              <w:top w:val="single" w:sz="4" w:space="0" w:color="000000"/>
              <w:left w:val="single" w:sz="12" w:space="0" w:color="0070C0"/>
              <w:bottom w:val="single" w:sz="4" w:space="0" w:color="000000"/>
              <w:right w:val="single" w:sz="8" w:space="0" w:color="0070C0"/>
            </w:tcBorders>
            <w:vAlign w:val="center"/>
          </w:tcPr>
          <w:p w14:paraId="6B548CE5" w14:textId="4B5FBCB1"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$428.5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25AE2800" w14:textId="6CF8964C"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-13.2%</w:t>
            </w:r>
          </w:p>
        </w:tc>
      </w:tr>
      <w:tr w:rsidR="00923815" w:rsidRPr="000D772C" w14:paraId="7934FE50" w14:textId="77777777" w:rsidTr="000A3A5D">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56A9D9EB"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 xml:space="preserve">#4: </w:t>
            </w:r>
            <w:r w:rsidRPr="000D772C">
              <w:rPr>
                <w:sz w:val="20"/>
                <w:szCs w:val="20"/>
              </w:rPr>
              <w:t>Miller Lite</w:t>
            </w:r>
          </w:p>
        </w:tc>
        <w:tc>
          <w:tcPr>
            <w:tcW w:w="1267" w:type="dxa"/>
            <w:tcBorders>
              <w:top w:val="single" w:sz="4" w:space="0" w:color="auto"/>
              <w:left w:val="single" w:sz="12" w:space="0" w:color="0070C0"/>
              <w:bottom w:val="single" w:sz="4" w:space="0" w:color="000000"/>
              <w:right w:val="single" w:sz="8" w:space="0" w:color="0070C0"/>
            </w:tcBorders>
            <w:vAlign w:val="center"/>
          </w:tcPr>
          <w:p w14:paraId="4D19E1DD" w14:textId="1E94C07A"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$2.13 B</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74FABEC9" w14:textId="32571B21"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-5.5%</w:t>
            </w:r>
          </w:p>
        </w:tc>
        <w:tc>
          <w:tcPr>
            <w:tcW w:w="2189" w:type="dxa"/>
            <w:tcBorders>
              <w:top w:val="single" w:sz="4" w:space="0" w:color="000000"/>
              <w:left w:val="single" w:sz="18" w:space="0" w:color="0070C0"/>
              <w:bottom w:val="single" w:sz="4" w:space="0" w:color="000000"/>
              <w:right w:val="single" w:sz="12" w:space="0" w:color="0070C0"/>
            </w:tcBorders>
            <w:vAlign w:val="center"/>
          </w:tcPr>
          <w:p w14:paraId="52762D9D"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Miller High Life</w:t>
            </w:r>
          </w:p>
        </w:tc>
        <w:tc>
          <w:tcPr>
            <w:tcW w:w="1267" w:type="dxa"/>
            <w:tcBorders>
              <w:top w:val="single" w:sz="4" w:space="0" w:color="000000"/>
              <w:left w:val="single" w:sz="12" w:space="0" w:color="0070C0"/>
              <w:bottom w:val="single" w:sz="4" w:space="0" w:color="000000"/>
              <w:right w:val="single" w:sz="8" w:space="0" w:color="0070C0"/>
            </w:tcBorders>
            <w:vAlign w:val="center"/>
          </w:tcPr>
          <w:p w14:paraId="1AC0BEF9" w14:textId="49EDDD13"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$400.7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F6B0F40" w14:textId="4D5CE5B4"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-11.3%</w:t>
            </w:r>
          </w:p>
        </w:tc>
      </w:tr>
      <w:tr w:rsidR="00923815" w:rsidRPr="000D772C" w14:paraId="36FBA9AB" w14:textId="77777777" w:rsidTr="000A3A5D">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010D2AD8"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Busch</w:t>
            </w:r>
          </w:p>
        </w:tc>
        <w:tc>
          <w:tcPr>
            <w:tcW w:w="1267" w:type="dxa"/>
            <w:tcBorders>
              <w:top w:val="single" w:sz="4" w:space="0" w:color="auto"/>
              <w:left w:val="single" w:sz="12" w:space="0" w:color="0070C0"/>
              <w:bottom w:val="single" w:sz="4" w:space="0" w:color="000000"/>
              <w:right w:val="single" w:sz="8" w:space="0" w:color="0070C0"/>
            </w:tcBorders>
            <w:vAlign w:val="center"/>
          </w:tcPr>
          <w:p w14:paraId="7131439C" w14:textId="04E5FEA3"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$1.73 B</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09FB98C9" w14:textId="7CE31745"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-0.3%</w:t>
            </w:r>
          </w:p>
        </w:tc>
        <w:tc>
          <w:tcPr>
            <w:tcW w:w="2189" w:type="dxa"/>
            <w:tcBorders>
              <w:top w:val="single" w:sz="4" w:space="0" w:color="000000"/>
              <w:left w:val="single" w:sz="18" w:space="0" w:color="0070C0"/>
              <w:bottom w:val="single" w:sz="4" w:space="0" w:color="000000"/>
              <w:right w:val="single" w:sz="12" w:space="0" w:color="0070C0"/>
            </w:tcBorders>
            <w:vAlign w:val="center"/>
          </w:tcPr>
          <w:p w14:paraId="1420FF42" w14:textId="16CF26D3"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#10: </w:t>
            </w:r>
            <w:r w:rsidR="00574B22">
              <w:rPr>
                <w:rFonts w:ascii="Verdana" w:eastAsia="Times New Roman" w:hAnsi="Verdana"/>
                <w:sz w:val="20"/>
                <w:szCs w:val="20"/>
              </w:rPr>
              <w:t>Yuengling</w:t>
            </w:r>
          </w:p>
        </w:tc>
        <w:tc>
          <w:tcPr>
            <w:tcW w:w="1267" w:type="dxa"/>
            <w:tcBorders>
              <w:top w:val="single" w:sz="4" w:space="0" w:color="000000"/>
              <w:left w:val="single" w:sz="12" w:space="0" w:color="0070C0"/>
              <w:bottom w:val="single" w:sz="4" w:space="0" w:color="000000"/>
              <w:right w:val="single" w:sz="8" w:space="0" w:color="0070C0"/>
            </w:tcBorders>
            <w:vAlign w:val="center"/>
          </w:tcPr>
          <w:p w14:paraId="50ED4F35" w14:textId="50DBF7BF"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$376.5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3B0481FD" w14:textId="156F0608"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r>
      <w:tr w:rsidR="00923815" w:rsidRPr="000D772C" w14:paraId="0778FF02" w14:textId="77777777" w:rsidTr="000A3A5D">
        <w:trPr>
          <w:trHeight w:val="243"/>
          <w:jc w:val="center"/>
        </w:trPr>
        <w:tc>
          <w:tcPr>
            <w:tcW w:w="2190" w:type="dxa"/>
            <w:tcBorders>
              <w:top w:val="single" w:sz="4" w:space="0" w:color="000000"/>
              <w:left w:val="single" w:sz="12" w:space="0" w:color="000000"/>
              <w:bottom w:val="single" w:sz="12" w:space="0" w:color="000000"/>
              <w:right w:val="single" w:sz="12" w:space="0" w:color="0070C0"/>
            </w:tcBorders>
            <w:shd w:val="clear" w:color="auto" w:fill="D9D9D9" w:themeFill="background1" w:themeFillShade="D9"/>
            <w:vAlign w:val="center"/>
          </w:tcPr>
          <w:p w14:paraId="6FA8C808"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vAlign w:val="center"/>
          </w:tcPr>
          <w:p w14:paraId="390EBC9D"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8" w:space="0" w:color="0070C0"/>
            </w:tcBorders>
            <w:shd w:val="clear" w:color="auto" w:fill="D9D9D9" w:themeFill="background1" w:themeFillShade="D9"/>
            <w:vAlign w:val="center"/>
          </w:tcPr>
          <w:p w14:paraId="0566A77C"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2189" w:type="dxa"/>
            <w:tcBorders>
              <w:top w:val="single" w:sz="4" w:space="0" w:color="000000"/>
              <w:left w:val="single" w:sz="18" w:space="0" w:color="0070C0"/>
              <w:bottom w:val="single" w:sz="12" w:space="0" w:color="000000"/>
              <w:right w:val="single" w:sz="12" w:space="0" w:color="0070C0"/>
            </w:tcBorders>
            <w:shd w:val="clear" w:color="auto" w:fill="DBE5F1" w:themeFill="accent1" w:themeFillTint="33"/>
            <w:vAlign w:val="center"/>
          </w:tcPr>
          <w:p w14:paraId="4E33E85C" w14:textId="77777777" w:rsidR="00923815" w:rsidRPr="000D772C" w:rsidRDefault="0092381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0D772C">
              <w:rPr>
                <w:sz w:val="20"/>
                <w:szCs w:val="20"/>
              </w:rPr>
              <w:t>Total</w:t>
            </w:r>
            <w:r w:rsidRPr="000D772C">
              <w:rPr>
                <w:rFonts w:ascii="Verdana" w:hAnsi="Verdana"/>
                <w:sz w:val="20"/>
                <w:szCs w:val="20"/>
              </w:rPr>
              <w:t>†</w:t>
            </w:r>
          </w:p>
        </w:tc>
        <w:tc>
          <w:tcPr>
            <w:tcW w:w="1267" w:type="dxa"/>
            <w:tcBorders>
              <w:top w:val="single" w:sz="4" w:space="0" w:color="000000"/>
              <w:left w:val="single" w:sz="12" w:space="0" w:color="0070C0"/>
              <w:bottom w:val="single" w:sz="12" w:space="0" w:color="000000"/>
              <w:right w:val="single" w:sz="8" w:space="0" w:color="0070C0"/>
            </w:tcBorders>
            <w:shd w:val="clear" w:color="auto" w:fill="DBE5F1" w:themeFill="accent1" w:themeFillTint="33"/>
            <w:vAlign w:val="center"/>
          </w:tcPr>
          <w:p w14:paraId="3865E09F" w14:textId="72CE2075"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$26.49 B</w:t>
            </w:r>
          </w:p>
        </w:tc>
        <w:tc>
          <w:tcPr>
            <w:tcW w:w="1267"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37670D60" w14:textId="797879BA" w:rsidR="00923815" w:rsidRPr="000D772C" w:rsidRDefault="00574B22"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r>
    </w:tbl>
    <w:p w14:paraId="47DBAF1E" w14:textId="3D67DF24" w:rsidR="00923815" w:rsidRPr="000D772C" w:rsidRDefault="00923815" w:rsidP="00923815">
      <w:pPr>
        <w:spacing w:after="0" w:line="240" w:lineRule="auto"/>
        <w:contextualSpacing/>
        <w:mirrorIndents/>
        <w:rPr>
          <w:rFonts w:ascii="Verdana" w:hAnsi="Verdana"/>
          <w:sz w:val="20"/>
          <w:szCs w:val="20"/>
        </w:rPr>
      </w:pPr>
      <w:r w:rsidRPr="000D772C">
        <w:rPr>
          <w:i/>
          <w:sz w:val="16"/>
          <w:szCs w:val="16"/>
        </w:rPr>
        <w:t>Beverage Industry</w:t>
      </w:r>
      <w:r w:rsidRPr="000D772C">
        <w:rPr>
          <w:sz w:val="16"/>
          <w:szCs w:val="16"/>
        </w:rPr>
        <w:t xml:space="preserve"> (IRI), March 202</w:t>
      </w:r>
      <w:r>
        <w:rPr>
          <w:sz w:val="16"/>
          <w:szCs w:val="16"/>
        </w:rPr>
        <w:t>2</w:t>
      </w:r>
      <w:r w:rsidRPr="000D772C">
        <w:rPr>
          <w:sz w:val="16"/>
          <w:szCs w:val="16"/>
        </w:rPr>
        <w:tab/>
        <w:t>*52 weeks ending December 2</w:t>
      </w:r>
      <w:r>
        <w:rPr>
          <w:sz w:val="16"/>
          <w:szCs w:val="16"/>
        </w:rPr>
        <w:t>6</w:t>
      </w:r>
      <w:r w:rsidRPr="000D772C">
        <w:rPr>
          <w:sz w:val="16"/>
          <w:szCs w:val="16"/>
        </w:rPr>
        <w:t>, 20</w:t>
      </w:r>
      <w:r>
        <w:rPr>
          <w:sz w:val="16"/>
          <w:szCs w:val="16"/>
        </w:rPr>
        <w:t>21</w:t>
      </w:r>
      <w:r w:rsidRPr="000D772C">
        <w:rPr>
          <w:sz w:val="16"/>
          <w:szCs w:val="16"/>
        </w:rPr>
        <w:t xml:space="preserve">      </w:t>
      </w:r>
      <w:r w:rsidRPr="000D772C">
        <w:rPr>
          <w:rFonts w:ascii="Verdana" w:hAnsi="Verdana"/>
          <w:sz w:val="16"/>
          <w:szCs w:val="16"/>
        </w:rPr>
        <w:t>†includes brands not listed</w:t>
      </w:r>
      <w:r w:rsidRPr="000D772C">
        <w:rPr>
          <w:rFonts w:ascii="Verdana" w:hAnsi="Verdana"/>
          <w:sz w:val="16"/>
          <w:szCs w:val="16"/>
        </w:rPr>
        <w:tab/>
      </w:r>
    </w:p>
    <w:p w14:paraId="58437276" w14:textId="3867CBE3" w:rsidR="00715CE0" w:rsidRDefault="0032316A" w:rsidP="009E4880">
      <w:pPr>
        <w:spacing w:after="0" w:line="240" w:lineRule="auto"/>
        <w:contextualSpacing/>
        <w:mirrorIndents/>
        <w:rPr>
          <w:rFonts w:ascii="Verdana" w:hAnsi="Verdana"/>
          <w:sz w:val="20"/>
          <w:szCs w:val="20"/>
        </w:rPr>
      </w:pPr>
      <w:r>
        <w:rPr>
          <w:rFonts w:ascii="Verdana" w:hAnsi="Verdana"/>
          <w:sz w:val="20"/>
          <w:szCs w:val="20"/>
        </w:rPr>
        <w:t xml:space="preserve"> </w:t>
      </w:r>
    </w:p>
    <w:p w14:paraId="47CCB39A" w14:textId="75902977" w:rsidR="009E4880" w:rsidRPr="00D64DA1" w:rsidRDefault="009E4880" w:rsidP="00D64DA1">
      <w:pPr>
        <w:spacing w:after="0" w:line="240" w:lineRule="auto"/>
        <w:contextualSpacing/>
        <w:mirrorIndents/>
        <w:jc w:val="center"/>
        <w:rPr>
          <w:rFonts w:ascii="Verdana" w:hAnsi="Verdana"/>
          <w:b/>
          <w:bCs/>
          <w:color w:val="0070C0"/>
          <w:sz w:val="20"/>
          <w:szCs w:val="20"/>
        </w:rPr>
      </w:pPr>
      <w:r w:rsidRPr="00D64DA1">
        <w:rPr>
          <w:rFonts w:ascii="Verdana" w:hAnsi="Verdana"/>
          <w:b/>
          <w:bCs/>
          <w:color w:val="0070C0"/>
          <w:sz w:val="20"/>
          <w:szCs w:val="20"/>
        </w:rPr>
        <w:t>Craft Beer and Hard Cider Improves Among Competitive Headwinds</w:t>
      </w:r>
    </w:p>
    <w:p w14:paraId="1312F2C4" w14:textId="77777777" w:rsidR="009E4880" w:rsidRPr="009E4880" w:rsidRDefault="009E4880" w:rsidP="009E4880">
      <w:pPr>
        <w:spacing w:after="0" w:line="240" w:lineRule="auto"/>
        <w:contextualSpacing/>
        <w:mirrorIndents/>
        <w:rPr>
          <w:rFonts w:ascii="Verdana" w:hAnsi="Verdana"/>
          <w:sz w:val="20"/>
          <w:szCs w:val="20"/>
        </w:rPr>
      </w:pPr>
    </w:p>
    <w:p w14:paraId="7B3D02F4" w14:textId="3260C7D6" w:rsidR="00D64DA1" w:rsidRDefault="00BE494D" w:rsidP="009E4880">
      <w:pPr>
        <w:spacing w:after="0" w:line="240" w:lineRule="auto"/>
        <w:contextualSpacing/>
        <w:mirrorIndents/>
        <w:rPr>
          <w:rFonts w:ascii="Verdana" w:hAnsi="Verdana"/>
          <w:sz w:val="20"/>
          <w:szCs w:val="20"/>
        </w:rPr>
      </w:pPr>
      <w:r>
        <w:rPr>
          <w:rFonts w:ascii="Verdana" w:hAnsi="Verdana"/>
          <w:sz w:val="20"/>
          <w:szCs w:val="20"/>
        </w:rPr>
        <w:t>Total sales for t</w:t>
      </w:r>
      <w:r w:rsidR="007A5F4B">
        <w:rPr>
          <w:rFonts w:ascii="Verdana" w:hAnsi="Verdana"/>
          <w:sz w:val="20"/>
          <w:szCs w:val="20"/>
        </w:rPr>
        <w:t xml:space="preserve">he craft beer market for the 52 weeks ending 12/26/21 decreased by 4.6%. Nonetheless, new products continue to be introduced, which are expected to be a boost. </w:t>
      </w:r>
    </w:p>
    <w:p w14:paraId="70219EE8" w14:textId="54DA0D8F" w:rsidR="00724D22" w:rsidRDefault="00724D22" w:rsidP="009E4880">
      <w:pPr>
        <w:spacing w:after="0" w:line="240" w:lineRule="auto"/>
        <w:contextualSpacing/>
        <w:mirrorIndents/>
        <w:rPr>
          <w:rFonts w:ascii="Verdana" w:hAnsi="Verdana"/>
          <w:sz w:val="20"/>
          <w:szCs w:val="20"/>
        </w:rPr>
      </w:pPr>
    </w:p>
    <w:p w14:paraId="4C471AB7" w14:textId="7C4693F3" w:rsidR="00724D22" w:rsidRDefault="0098317F" w:rsidP="009E4880">
      <w:pPr>
        <w:spacing w:after="0" w:line="240" w:lineRule="auto"/>
        <w:contextualSpacing/>
        <w:mirrorIndents/>
        <w:rPr>
          <w:rFonts w:ascii="Verdana" w:hAnsi="Verdana"/>
          <w:sz w:val="20"/>
          <w:szCs w:val="20"/>
        </w:rPr>
      </w:pPr>
      <w:r>
        <w:rPr>
          <w:rFonts w:ascii="Verdana" w:hAnsi="Verdana"/>
          <w:sz w:val="20"/>
          <w:szCs w:val="20"/>
        </w:rPr>
        <w:t>I</w:t>
      </w:r>
      <w:r w:rsidR="00724D22">
        <w:rPr>
          <w:rFonts w:ascii="Verdana" w:hAnsi="Verdana"/>
          <w:sz w:val="20"/>
          <w:szCs w:val="20"/>
        </w:rPr>
        <w:t xml:space="preserve">ndustry analysts </w:t>
      </w:r>
      <w:r w:rsidR="00D67475">
        <w:rPr>
          <w:rFonts w:ascii="Verdana" w:hAnsi="Verdana"/>
          <w:sz w:val="20"/>
          <w:szCs w:val="20"/>
        </w:rPr>
        <w:t xml:space="preserve">suggest the popularity of RTD cocktails and other canned alcoholic beverages </w:t>
      </w:r>
      <w:r w:rsidR="001F2EAC">
        <w:rPr>
          <w:rFonts w:ascii="Verdana" w:hAnsi="Verdana"/>
          <w:sz w:val="20"/>
          <w:szCs w:val="20"/>
        </w:rPr>
        <w:t>is</w:t>
      </w:r>
      <w:r w:rsidR="00D67475">
        <w:rPr>
          <w:rFonts w:ascii="Verdana" w:hAnsi="Verdana"/>
          <w:sz w:val="20"/>
          <w:szCs w:val="20"/>
        </w:rPr>
        <w:t xml:space="preserve"> providing stiff competition for craft beers. </w:t>
      </w:r>
    </w:p>
    <w:p w14:paraId="0550C39A" w14:textId="066CB14F" w:rsidR="007A5F4B" w:rsidRDefault="007A5F4B" w:rsidP="009E4880">
      <w:pPr>
        <w:spacing w:after="0" w:line="240" w:lineRule="auto"/>
        <w:contextualSpacing/>
        <w:mirrorIndents/>
        <w:rPr>
          <w:rFonts w:ascii="Verdana" w:hAnsi="Verdana"/>
          <w:sz w:val="20"/>
          <w:szCs w:val="20"/>
        </w:rPr>
      </w:pPr>
    </w:p>
    <w:p w14:paraId="12DAC652" w14:textId="4897C6FB" w:rsidR="007A5F4B" w:rsidRDefault="00536979" w:rsidP="009E4880">
      <w:pPr>
        <w:spacing w:after="0" w:line="240" w:lineRule="auto"/>
        <w:contextualSpacing/>
        <w:mirrorIndents/>
        <w:rPr>
          <w:rFonts w:ascii="Verdana" w:hAnsi="Verdana"/>
          <w:sz w:val="20"/>
          <w:szCs w:val="20"/>
        </w:rPr>
      </w:pPr>
      <w:r>
        <w:rPr>
          <w:rFonts w:ascii="Verdana" w:hAnsi="Verdana"/>
          <w:sz w:val="20"/>
          <w:szCs w:val="20"/>
        </w:rPr>
        <w:t>Total sales for the much smaller hard cider category decreased by 2.4% for the 52 weeks ending 12/26/21. Seasonal (+31%) and standard ciders (+17%) have increased by double-digits, but semi-sweet (-61%) and dry ciders (-12.2%) have decreased by double-digits.</w:t>
      </w:r>
    </w:p>
    <w:p w14:paraId="01B96F24" w14:textId="41E97765" w:rsidR="00536979" w:rsidRDefault="00536979" w:rsidP="009E4880">
      <w:pPr>
        <w:spacing w:after="0" w:line="240" w:lineRule="auto"/>
        <w:contextualSpacing/>
        <w:mirrorIndents/>
        <w:rPr>
          <w:rFonts w:ascii="Verdana" w:hAnsi="Verdana"/>
          <w:sz w:val="20"/>
          <w:szCs w:val="20"/>
        </w:rPr>
      </w:pPr>
    </w:p>
    <w:p w14:paraId="2CA78A96" w14:textId="092C49AC" w:rsidR="0098317F" w:rsidRPr="000D772C" w:rsidRDefault="0098317F" w:rsidP="0098317F">
      <w:pPr>
        <w:pStyle w:val="Header"/>
        <w:contextualSpacing/>
        <w:jc w:val="center"/>
        <w:rPr>
          <w:rFonts w:ascii="Verdana" w:hAnsi="Verdana"/>
          <w:b/>
          <w:sz w:val="20"/>
          <w:szCs w:val="20"/>
        </w:rPr>
      </w:pPr>
      <w:r w:rsidRPr="000D772C">
        <w:rPr>
          <w:rFonts w:ascii="Verdana" w:hAnsi="Verdana"/>
          <w:b/>
          <w:sz w:val="20"/>
          <w:szCs w:val="20"/>
        </w:rPr>
        <w:t xml:space="preserve">Top </w:t>
      </w:r>
      <w:r>
        <w:rPr>
          <w:rFonts w:ascii="Verdana" w:hAnsi="Verdana"/>
          <w:b/>
          <w:sz w:val="20"/>
          <w:szCs w:val="20"/>
        </w:rPr>
        <w:t>10</w:t>
      </w:r>
      <w:r w:rsidRPr="000D772C">
        <w:rPr>
          <w:rFonts w:ascii="Verdana" w:hAnsi="Verdana"/>
          <w:b/>
          <w:sz w:val="20"/>
          <w:szCs w:val="20"/>
        </w:rPr>
        <w:t xml:space="preserve"> </w:t>
      </w:r>
      <w:r>
        <w:rPr>
          <w:rFonts w:ascii="Verdana" w:hAnsi="Verdana"/>
          <w:b/>
          <w:sz w:val="20"/>
          <w:szCs w:val="20"/>
        </w:rPr>
        <w:t>Craft</w:t>
      </w:r>
      <w:r w:rsidRPr="000D772C">
        <w:rPr>
          <w:rFonts w:ascii="Verdana" w:hAnsi="Verdana"/>
          <w:b/>
          <w:sz w:val="20"/>
          <w:szCs w:val="20"/>
        </w:rPr>
        <w:t xml:space="preserve"> Beer Brands, by Dollar Sales, 20</w:t>
      </w:r>
      <w:r>
        <w:rPr>
          <w:rFonts w:ascii="Verdana" w:hAnsi="Verdana"/>
          <w:b/>
          <w:sz w:val="20"/>
          <w:szCs w:val="20"/>
        </w:rPr>
        <w:t>21</w:t>
      </w:r>
      <w:r w:rsidRPr="000D772C">
        <w:rPr>
          <w:rFonts w:ascii="Verdana" w:hAnsi="Verdana"/>
          <w:b/>
          <w:sz w:val="20"/>
          <w:szCs w:val="20"/>
        </w:rPr>
        <w:t>*</w:t>
      </w:r>
    </w:p>
    <w:tbl>
      <w:tblPr>
        <w:tblW w:w="9447" w:type="dxa"/>
        <w:jc w:val="center"/>
        <w:tblBorders>
          <w:left w:val="single" w:sz="8" w:space="0" w:color="000000"/>
          <w:right w:val="single" w:sz="8" w:space="0" w:color="000000"/>
        </w:tblBorders>
        <w:tblLayout w:type="fixed"/>
        <w:tblLook w:val="0000" w:firstRow="0" w:lastRow="0" w:firstColumn="0" w:lastColumn="0" w:noHBand="0" w:noVBand="0"/>
      </w:tblPr>
      <w:tblGrid>
        <w:gridCol w:w="2190"/>
        <w:gridCol w:w="1267"/>
        <w:gridCol w:w="1267"/>
        <w:gridCol w:w="2189"/>
        <w:gridCol w:w="1267"/>
        <w:gridCol w:w="1267"/>
      </w:tblGrid>
      <w:tr w:rsidR="0098317F" w:rsidRPr="000D772C" w14:paraId="570B4F4C" w14:textId="77777777" w:rsidTr="00863CB0">
        <w:trPr>
          <w:trHeight w:val="243"/>
          <w:jc w:val="center"/>
        </w:trPr>
        <w:tc>
          <w:tcPr>
            <w:tcW w:w="2190" w:type="dxa"/>
            <w:tcBorders>
              <w:top w:val="single" w:sz="12" w:space="0" w:color="000000"/>
              <w:left w:val="single" w:sz="12" w:space="0" w:color="000000"/>
              <w:bottom w:val="single" w:sz="18" w:space="0" w:color="C0504D" w:themeColor="accent2"/>
              <w:right w:val="single" w:sz="12" w:space="0" w:color="0070C0"/>
            </w:tcBorders>
            <w:vAlign w:val="center"/>
          </w:tcPr>
          <w:p w14:paraId="327C6B05"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Craft Beer</w:t>
            </w:r>
            <w:r w:rsidRPr="000D772C">
              <w:rPr>
                <w:rFonts w:ascii="Verdana" w:eastAsia="Times New Roman" w:hAnsi="Verdana"/>
                <w:sz w:val="20"/>
                <w:szCs w:val="20"/>
              </w:rPr>
              <w:t xml:space="preserve">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6A226014"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Dollar Sales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3CCC11F"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c>
          <w:tcPr>
            <w:tcW w:w="2189" w:type="dxa"/>
            <w:tcBorders>
              <w:top w:val="single" w:sz="12" w:space="0" w:color="000000"/>
              <w:left w:val="single" w:sz="18" w:space="0" w:color="0070C0"/>
              <w:bottom w:val="single" w:sz="18" w:space="0" w:color="C0504D" w:themeColor="accent2"/>
              <w:right w:val="single" w:sz="12" w:space="0" w:color="0070C0"/>
            </w:tcBorders>
            <w:vAlign w:val="center"/>
          </w:tcPr>
          <w:p w14:paraId="2119A4A5"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Craft Beer</w:t>
            </w:r>
            <w:r w:rsidRPr="000D772C">
              <w:rPr>
                <w:rFonts w:ascii="Verdana" w:eastAsia="Times New Roman" w:hAnsi="Verdana"/>
                <w:sz w:val="20"/>
                <w:szCs w:val="20"/>
              </w:rPr>
              <w:t xml:space="preserve">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6FCE145F"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Dollar 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FF076D3"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r>
      <w:tr w:rsidR="0098317F" w:rsidRPr="000D772C" w14:paraId="44AE4F20" w14:textId="77777777" w:rsidTr="00863CB0">
        <w:trPr>
          <w:trHeight w:val="243"/>
          <w:jc w:val="center"/>
        </w:trPr>
        <w:tc>
          <w:tcPr>
            <w:tcW w:w="2190" w:type="dxa"/>
            <w:tcBorders>
              <w:top w:val="single" w:sz="18" w:space="0" w:color="C0504D" w:themeColor="accent2"/>
              <w:left w:val="single" w:sz="12" w:space="0" w:color="000000"/>
              <w:bottom w:val="single" w:sz="4" w:space="0" w:color="auto"/>
              <w:right w:val="single" w:sz="12" w:space="0" w:color="0070C0"/>
            </w:tcBorders>
            <w:vAlign w:val="center"/>
          </w:tcPr>
          <w:p w14:paraId="67EDFDDC"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Blue Moon</w:t>
            </w:r>
          </w:p>
        </w:tc>
        <w:tc>
          <w:tcPr>
            <w:tcW w:w="1267" w:type="dxa"/>
            <w:tcBorders>
              <w:top w:val="single" w:sz="18" w:space="0" w:color="C0504D" w:themeColor="accent2"/>
              <w:left w:val="single" w:sz="12" w:space="0" w:color="0070C0"/>
              <w:bottom w:val="single" w:sz="4" w:space="0" w:color="auto"/>
              <w:right w:val="single" w:sz="8" w:space="0" w:color="0070C0"/>
            </w:tcBorders>
            <w:vAlign w:val="center"/>
          </w:tcPr>
          <w:p w14:paraId="3030C64D" w14:textId="2E38E97D"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$370.9 M</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E5B8B7" w:themeFill="accent2" w:themeFillTint="66"/>
            <w:vAlign w:val="center"/>
          </w:tcPr>
          <w:p w14:paraId="5A344898" w14:textId="2DDB287A"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-7.8%</w:t>
            </w:r>
          </w:p>
        </w:tc>
        <w:tc>
          <w:tcPr>
            <w:tcW w:w="2189"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22D1DA25"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Shiner</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67AA78A2" w14:textId="30A09F83"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$141.8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11E2CBBA" w14:textId="5CA74EFA"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-6.1%</w:t>
            </w:r>
          </w:p>
        </w:tc>
      </w:tr>
      <w:tr w:rsidR="0098317F" w:rsidRPr="000D772C" w14:paraId="576CF320"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6E1E4D13" w14:textId="21E73730"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#2: New Belgium</w:t>
            </w:r>
            <w:r>
              <w:rPr>
                <w:rFonts w:ascii="Verdana" w:eastAsia="Times New Roman" w:hAnsi="Verdana"/>
                <w:sz w:val="20"/>
                <w:szCs w:val="20"/>
              </w:rPr>
              <w:t xml:space="preserve"> </w:t>
            </w:r>
          </w:p>
        </w:tc>
        <w:tc>
          <w:tcPr>
            <w:tcW w:w="1267" w:type="dxa"/>
            <w:tcBorders>
              <w:top w:val="single" w:sz="4" w:space="0" w:color="auto"/>
              <w:left w:val="single" w:sz="12" w:space="0" w:color="0070C0"/>
              <w:bottom w:val="single" w:sz="4" w:space="0" w:color="000000"/>
              <w:right w:val="single" w:sz="8" w:space="0" w:color="0070C0"/>
            </w:tcBorders>
            <w:vAlign w:val="center"/>
          </w:tcPr>
          <w:p w14:paraId="1B7FB290" w14:textId="4A9D1088"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$351.8 M</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0CF1FE14" w14:textId="335ACAE9"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+14.9%</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AAD0ED9" w14:textId="133AC4F2"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Firestone</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1C1F5C8C" w14:textId="0D7DBD93"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$121.2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A2E25CC" w14:textId="6729D4BD" w:rsidR="0098317F" w:rsidRPr="000D772C" w:rsidRDefault="00BE494D"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r w:rsidR="0098317F">
              <w:rPr>
                <w:rFonts w:ascii="Verdana" w:eastAsia="Times New Roman" w:hAnsi="Verdana"/>
                <w:sz w:val="20"/>
                <w:szCs w:val="20"/>
              </w:rPr>
              <w:t>%</w:t>
            </w:r>
          </w:p>
        </w:tc>
      </w:tr>
      <w:tr w:rsidR="0098317F" w:rsidRPr="000D772C" w14:paraId="4B0E4BEF"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09B801BF" w14:textId="3E3D018E"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Sierra Nevada</w:t>
            </w:r>
          </w:p>
        </w:tc>
        <w:tc>
          <w:tcPr>
            <w:tcW w:w="1267" w:type="dxa"/>
            <w:tcBorders>
              <w:top w:val="single" w:sz="4" w:space="0" w:color="auto"/>
              <w:left w:val="single" w:sz="12" w:space="0" w:color="0070C0"/>
              <w:bottom w:val="single" w:sz="4" w:space="0" w:color="000000"/>
              <w:right w:val="single" w:sz="8" w:space="0" w:color="0070C0"/>
            </w:tcBorders>
            <w:vAlign w:val="center"/>
          </w:tcPr>
          <w:p w14:paraId="7327BE2C" w14:textId="2B5F39DB"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$317.7 M</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56B78A41" w14:textId="63C57B46"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-2.4%</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A3FCB95" w14:textId="48F5E4CB"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Founders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C720984" w14:textId="4BC51088"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$121</w:t>
            </w:r>
            <w:r w:rsidR="00BE494D">
              <w:rPr>
                <w:rFonts w:ascii="Verdana" w:eastAsia="Times New Roman" w:hAnsi="Verdana"/>
                <w:sz w:val="20"/>
                <w:szCs w:val="20"/>
              </w:rPr>
              <w:t>.1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1DE3E67F" w14:textId="065933BE" w:rsidR="0098317F" w:rsidRPr="000D772C" w:rsidRDefault="00BE494D"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-10.5%</w:t>
            </w:r>
          </w:p>
        </w:tc>
      </w:tr>
      <w:tr w:rsidR="0098317F" w:rsidRPr="000D772C" w14:paraId="75399AE6"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7E83F9B2"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#4: Samuel Adams</w:t>
            </w:r>
          </w:p>
        </w:tc>
        <w:tc>
          <w:tcPr>
            <w:tcW w:w="1267" w:type="dxa"/>
            <w:tcBorders>
              <w:top w:val="single" w:sz="4" w:space="0" w:color="auto"/>
              <w:left w:val="single" w:sz="12" w:space="0" w:color="0070C0"/>
              <w:bottom w:val="single" w:sz="4" w:space="0" w:color="000000"/>
              <w:right w:val="single" w:sz="8" w:space="0" w:color="0070C0"/>
            </w:tcBorders>
            <w:vAlign w:val="center"/>
          </w:tcPr>
          <w:p w14:paraId="280F14C1" w14:textId="1BFA0C79"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$234.3 M</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659C09F3" w14:textId="574502A3"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E36A750"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Elysian</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01BD8175" w14:textId="25C9EFB7"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$119.</w:t>
            </w:r>
            <w:r w:rsidR="00BE494D">
              <w:rPr>
                <w:rFonts w:ascii="Verdana" w:eastAsia="Times New Roman" w:hAnsi="Verdana"/>
                <w:sz w:val="20"/>
                <w:szCs w:val="20"/>
              </w:rPr>
              <w:t>8</w:t>
            </w:r>
            <w:r>
              <w:rPr>
                <w:rFonts w:ascii="Verdana" w:eastAsia="Times New Roman" w:hAnsi="Verdana"/>
                <w:sz w:val="20"/>
                <w:szCs w:val="20"/>
              </w:rPr>
              <w:t xml:space="preserve">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5E1C0D5D" w14:textId="19563993" w:rsidR="0098317F" w:rsidRPr="000D772C" w:rsidRDefault="00F40B78"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BE494D">
              <w:rPr>
                <w:rFonts w:ascii="Verdana" w:eastAsia="Times New Roman" w:hAnsi="Verdana"/>
                <w:sz w:val="20"/>
                <w:szCs w:val="20"/>
              </w:rPr>
              <w:t>0.9%</w:t>
            </w:r>
          </w:p>
        </w:tc>
      </w:tr>
      <w:tr w:rsidR="0098317F" w:rsidRPr="000D772C" w14:paraId="0916D1F2"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3DF872E6"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Pr>
                <w:sz w:val="20"/>
                <w:szCs w:val="20"/>
              </w:rPr>
              <w:t>Lagunitas</w:t>
            </w:r>
          </w:p>
        </w:tc>
        <w:tc>
          <w:tcPr>
            <w:tcW w:w="1267" w:type="dxa"/>
            <w:tcBorders>
              <w:top w:val="single" w:sz="4" w:space="0" w:color="auto"/>
              <w:left w:val="single" w:sz="12" w:space="0" w:color="0070C0"/>
              <w:bottom w:val="single" w:sz="4" w:space="0" w:color="000000"/>
              <w:right w:val="single" w:sz="8" w:space="0" w:color="0070C0"/>
            </w:tcBorders>
            <w:vAlign w:val="center"/>
          </w:tcPr>
          <w:p w14:paraId="7F5CB971" w14:textId="650DA7B4"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$182.8 M</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234326BA" w14:textId="192DF6F3"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-12.2%</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2317F04" w14:textId="222EA803"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#10: </w:t>
            </w:r>
            <w:r w:rsidR="00BE494D">
              <w:rPr>
                <w:rFonts w:ascii="Verdana" w:eastAsia="Times New Roman" w:hAnsi="Verdana"/>
                <w:sz w:val="20"/>
                <w:szCs w:val="20"/>
              </w:rPr>
              <w:t>Bell’s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1FE2A74E" w14:textId="2B2E58FD" w:rsidR="0098317F" w:rsidRPr="000D772C" w:rsidRDefault="00BE494D"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$108.9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55390F8F" w14:textId="14061539" w:rsidR="0098317F" w:rsidRPr="000D772C" w:rsidRDefault="00BE494D"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r>
      <w:tr w:rsidR="0098317F" w:rsidRPr="000D772C" w14:paraId="755D8F36" w14:textId="77777777" w:rsidTr="00863CB0">
        <w:trPr>
          <w:trHeight w:val="243"/>
          <w:jc w:val="center"/>
        </w:trPr>
        <w:tc>
          <w:tcPr>
            <w:tcW w:w="2190" w:type="dxa"/>
            <w:tcBorders>
              <w:top w:val="single" w:sz="4" w:space="0" w:color="000000"/>
              <w:left w:val="single" w:sz="12" w:space="0" w:color="000000"/>
              <w:bottom w:val="single" w:sz="12" w:space="0" w:color="000000"/>
              <w:right w:val="single" w:sz="12" w:space="0" w:color="0070C0"/>
            </w:tcBorders>
            <w:shd w:val="clear" w:color="auto" w:fill="D9D9D9" w:themeFill="background1" w:themeFillShade="D9"/>
            <w:vAlign w:val="center"/>
          </w:tcPr>
          <w:p w14:paraId="4B80E118"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vAlign w:val="center"/>
          </w:tcPr>
          <w:p w14:paraId="2A4827B1"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8" w:space="0" w:color="0070C0"/>
            </w:tcBorders>
            <w:shd w:val="clear" w:color="auto" w:fill="D9D9D9" w:themeFill="background1" w:themeFillShade="D9"/>
            <w:vAlign w:val="center"/>
          </w:tcPr>
          <w:p w14:paraId="2D278034"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2189" w:type="dxa"/>
            <w:tcBorders>
              <w:top w:val="single" w:sz="4" w:space="0" w:color="000000"/>
              <w:left w:val="single" w:sz="18" w:space="0" w:color="0070C0"/>
              <w:bottom w:val="single" w:sz="12" w:space="0" w:color="000000"/>
              <w:right w:val="single" w:sz="12" w:space="0" w:color="0070C0"/>
            </w:tcBorders>
            <w:shd w:val="clear" w:color="auto" w:fill="DBE5F1" w:themeFill="accent1" w:themeFillTint="33"/>
            <w:vAlign w:val="center"/>
          </w:tcPr>
          <w:p w14:paraId="5F6E08A1" w14:textId="77777777" w:rsidR="0098317F" w:rsidRPr="000D772C" w:rsidRDefault="0098317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0D772C">
              <w:rPr>
                <w:sz w:val="20"/>
                <w:szCs w:val="20"/>
              </w:rPr>
              <w:t>Total</w:t>
            </w:r>
            <w:r w:rsidRPr="000D772C">
              <w:rPr>
                <w:rFonts w:ascii="Verdana" w:hAnsi="Verdana"/>
                <w:sz w:val="20"/>
                <w:szCs w:val="20"/>
              </w:rPr>
              <w:t>†</w:t>
            </w:r>
          </w:p>
        </w:tc>
        <w:tc>
          <w:tcPr>
            <w:tcW w:w="1267" w:type="dxa"/>
            <w:tcBorders>
              <w:top w:val="single" w:sz="4" w:space="0" w:color="000000"/>
              <w:left w:val="single" w:sz="12" w:space="0" w:color="0070C0"/>
              <w:bottom w:val="single" w:sz="12" w:space="0" w:color="000000"/>
              <w:right w:val="single" w:sz="8" w:space="0" w:color="0070C0"/>
            </w:tcBorders>
            <w:shd w:val="clear" w:color="auto" w:fill="DBE5F1" w:themeFill="accent1" w:themeFillTint="33"/>
            <w:vAlign w:val="center"/>
          </w:tcPr>
          <w:p w14:paraId="1B4DFC1B" w14:textId="19B55131" w:rsidR="0098317F" w:rsidRPr="000D772C" w:rsidRDefault="00BE494D"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$4.99 B</w:t>
            </w:r>
          </w:p>
        </w:tc>
        <w:tc>
          <w:tcPr>
            <w:tcW w:w="1267"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19CD55B4" w14:textId="06C10FB6" w:rsidR="0098317F" w:rsidRPr="000D772C" w:rsidRDefault="00BE494D"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w:t>
            </w:r>
          </w:p>
        </w:tc>
      </w:tr>
    </w:tbl>
    <w:p w14:paraId="214C0CFF" w14:textId="6F88765F" w:rsidR="0098317F" w:rsidRDefault="0098317F" w:rsidP="0098317F">
      <w:pPr>
        <w:spacing w:after="0" w:line="240" w:lineRule="auto"/>
        <w:contextualSpacing/>
        <w:mirrorIndents/>
        <w:rPr>
          <w:rFonts w:ascii="Verdana" w:hAnsi="Verdana"/>
          <w:sz w:val="20"/>
          <w:szCs w:val="20"/>
        </w:rPr>
      </w:pPr>
      <w:r w:rsidRPr="000D772C">
        <w:rPr>
          <w:i/>
          <w:sz w:val="16"/>
          <w:szCs w:val="16"/>
        </w:rPr>
        <w:t>Beverage Industry</w:t>
      </w:r>
      <w:r w:rsidRPr="000D772C">
        <w:rPr>
          <w:sz w:val="16"/>
          <w:szCs w:val="16"/>
        </w:rPr>
        <w:t xml:space="preserve"> (IRI), </w:t>
      </w:r>
      <w:r w:rsidR="008F0023">
        <w:rPr>
          <w:sz w:val="16"/>
          <w:szCs w:val="16"/>
        </w:rPr>
        <w:t>March</w:t>
      </w:r>
      <w:r w:rsidRPr="000D772C">
        <w:rPr>
          <w:sz w:val="16"/>
          <w:szCs w:val="16"/>
        </w:rPr>
        <w:t xml:space="preserve"> 202</w:t>
      </w:r>
      <w:r w:rsidR="008F0023">
        <w:rPr>
          <w:sz w:val="16"/>
          <w:szCs w:val="16"/>
        </w:rPr>
        <w:t>2</w:t>
      </w:r>
      <w:r w:rsidRPr="000D772C">
        <w:rPr>
          <w:sz w:val="16"/>
          <w:szCs w:val="16"/>
        </w:rPr>
        <w:tab/>
        <w:t>*52 weeks ending December 2</w:t>
      </w:r>
      <w:r>
        <w:rPr>
          <w:sz w:val="16"/>
          <w:szCs w:val="16"/>
        </w:rPr>
        <w:t>6</w:t>
      </w:r>
      <w:r w:rsidRPr="000D772C">
        <w:rPr>
          <w:sz w:val="16"/>
          <w:szCs w:val="16"/>
        </w:rPr>
        <w:t>, 20</w:t>
      </w:r>
      <w:r>
        <w:rPr>
          <w:sz w:val="16"/>
          <w:szCs w:val="16"/>
        </w:rPr>
        <w:t>21</w:t>
      </w:r>
      <w:r w:rsidRPr="000D772C">
        <w:rPr>
          <w:sz w:val="16"/>
          <w:szCs w:val="16"/>
        </w:rPr>
        <w:t xml:space="preserve">      </w:t>
      </w:r>
      <w:r w:rsidRPr="000D772C">
        <w:rPr>
          <w:rFonts w:ascii="Verdana" w:hAnsi="Verdana"/>
          <w:sz w:val="16"/>
          <w:szCs w:val="16"/>
        </w:rPr>
        <w:t>†includes brands not listed</w:t>
      </w:r>
    </w:p>
    <w:p w14:paraId="58F7F82F" w14:textId="75A814A5" w:rsidR="009E4880" w:rsidRPr="007B6F90" w:rsidRDefault="009E4880" w:rsidP="007B6F90">
      <w:pPr>
        <w:spacing w:after="0" w:line="240" w:lineRule="auto"/>
        <w:contextualSpacing/>
        <w:mirrorIndents/>
        <w:jc w:val="center"/>
        <w:rPr>
          <w:rFonts w:ascii="Verdana" w:hAnsi="Verdana"/>
          <w:b/>
          <w:bCs/>
          <w:color w:val="0070C0"/>
          <w:sz w:val="20"/>
          <w:szCs w:val="20"/>
        </w:rPr>
      </w:pPr>
      <w:r w:rsidRPr="007B6F90">
        <w:rPr>
          <w:rFonts w:ascii="Verdana" w:hAnsi="Verdana"/>
          <w:b/>
          <w:bCs/>
          <w:color w:val="0070C0"/>
          <w:sz w:val="20"/>
          <w:szCs w:val="20"/>
        </w:rPr>
        <w:lastRenderedPageBreak/>
        <w:t xml:space="preserve">A Demand for Variety Drives Import </w:t>
      </w:r>
      <w:r w:rsidR="00863CB0">
        <w:rPr>
          <w:rFonts w:ascii="Verdana" w:hAnsi="Verdana"/>
          <w:b/>
          <w:bCs/>
          <w:color w:val="0070C0"/>
          <w:sz w:val="20"/>
          <w:szCs w:val="20"/>
        </w:rPr>
        <w:t>Category</w:t>
      </w:r>
    </w:p>
    <w:p w14:paraId="3BF8F8A5" w14:textId="77777777" w:rsidR="009E4880" w:rsidRPr="009E4880" w:rsidRDefault="009E4880" w:rsidP="009E4880">
      <w:pPr>
        <w:spacing w:after="0" w:line="240" w:lineRule="auto"/>
        <w:contextualSpacing/>
        <w:mirrorIndents/>
        <w:rPr>
          <w:rFonts w:ascii="Verdana" w:hAnsi="Verdana"/>
          <w:sz w:val="20"/>
          <w:szCs w:val="20"/>
        </w:rPr>
      </w:pPr>
    </w:p>
    <w:p w14:paraId="3AD51177" w14:textId="65544CC9" w:rsidR="007B6F90" w:rsidRDefault="00D41026" w:rsidP="009E4880">
      <w:pPr>
        <w:spacing w:after="0" w:line="240" w:lineRule="auto"/>
        <w:contextualSpacing/>
        <w:mirrorIndents/>
        <w:rPr>
          <w:rFonts w:ascii="Verdana" w:hAnsi="Verdana"/>
          <w:sz w:val="20"/>
          <w:szCs w:val="20"/>
        </w:rPr>
      </w:pPr>
      <w:r>
        <w:rPr>
          <w:rFonts w:ascii="Verdana" w:hAnsi="Verdana"/>
          <w:sz w:val="20"/>
          <w:szCs w:val="20"/>
        </w:rPr>
        <w:t>Import beers ha</w:t>
      </w:r>
      <w:r w:rsidR="00F33BD5">
        <w:rPr>
          <w:rFonts w:ascii="Verdana" w:hAnsi="Verdana"/>
          <w:sz w:val="20"/>
          <w:szCs w:val="20"/>
        </w:rPr>
        <w:t>ve</w:t>
      </w:r>
      <w:r>
        <w:rPr>
          <w:rFonts w:ascii="Verdana" w:hAnsi="Verdana"/>
          <w:sz w:val="20"/>
          <w:szCs w:val="20"/>
        </w:rPr>
        <w:t xml:space="preserve"> been a bright spot for traditional beers, as total sales increased by 4.8% for the 52 weeks ending 12/26/21; however, 2022 sales are forecast to decline slightly primarily because of a depreciation of the US dollar in the global currency market.</w:t>
      </w:r>
    </w:p>
    <w:p w14:paraId="624085A7" w14:textId="605450D3" w:rsidR="00D41026" w:rsidRDefault="00D41026" w:rsidP="009E4880">
      <w:pPr>
        <w:spacing w:after="0" w:line="240" w:lineRule="auto"/>
        <w:contextualSpacing/>
        <w:mirrorIndents/>
        <w:rPr>
          <w:rFonts w:ascii="Verdana" w:hAnsi="Verdana"/>
          <w:sz w:val="20"/>
          <w:szCs w:val="20"/>
        </w:rPr>
      </w:pPr>
    </w:p>
    <w:p w14:paraId="4B81A71C" w14:textId="4F35B5B3" w:rsidR="008F0023" w:rsidRDefault="00D41026" w:rsidP="009E4880">
      <w:pPr>
        <w:spacing w:after="0" w:line="240" w:lineRule="auto"/>
        <w:contextualSpacing/>
        <w:mirrorIndents/>
        <w:rPr>
          <w:rFonts w:ascii="Verdana" w:hAnsi="Verdana"/>
          <w:sz w:val="20"/>
          <w:szCs w:val="20"/>
        </w:rPr>
      </w:pPr>
      <w:r>
        <w:rPr>
          <w:rFonts w:ascii="Verdana" w:hAnsi="Verdana"/>
          <w:sz w:val="20"/>
          <w:szCs w:val="20"/>
        </w:rPr>
        <w:t xml:space="preserve">The proliferation of many new flavors, styles and brands, especially FMBs, is a competitive factor. The popularity of premium brands and </w:t>
      </w:r>
      <w:r w:rsidR="008F0023">
        <w:rPr>
          <w:rFonts w:ascii="Verdana" w:hAnsi="Verdana"/>
          <w:sz w:val="20"/>
          <w:szCs w:val="20"/>
        </w:rPr>
        <w:t xml:space="preserve">Mexican imports, which more Latinx American consumers are purchasing, are positive growth signs. </w:t>
      </w:r>
    </w:p>
    <w:p w14:paraId="0FFE83AC" w14:textId="77777777" w:rsidR="008F0023" w:rsidRDefault="008F0023" w:rsidP="009E4880">
      <w:pPr>
        <w:spacing w:after="0" w:line="240" w:lineRule="auto"/>
        <w:contextualSpacing/>
        <w:mirrorIndents/>
        <w:rPr>
          <w:rFonts w:ascii="Verdana" w:hAnsi="Verdana"/>
          <w:sz w:val="20"/>
          <w:szCs w:val="20"/>
        </w:rPr>
      </w:pPr>
    </w:p>
    <w:p w14:paraId="1DADA3D8" w14:textId="43A90C25" w:rsidR="00D41026" w:rsidRDefault="008F0023" w:rsidP="009E4880">
      <w:pPr>
        <w:spacing w:after="0" w:line="240" w:lineRule="auto"/>
        <w:contextualSpacing/>
        <w:mirrorIndents/>
        <w:rPr>
          <w:rFonts w:ascii="Verdana" w:hAnsi="Verdana"/>
          <w:sz w:val="20"/>
          <w:szCs w:val="20"/>
        </w:rPr>
      </w:pPr>
      <w:r>
        <w:rPr>
          <w:rFonts w:ascii="Verdana" w:hAnsi="Verdana"/>
          <w:sz w:val="20"/>
          <w:szCs w:val="20"/>
        </w:rPr>
        <w:t xml:space="preserve">Mexican imports account for almost 70% of the import category. Brands from The Netherlands, Belgium and Ireland are also maintaining strong market positions. </w:t>
      </w:r>
    </w:p>
    <w:p w14:paraId="32B59CD0" w14:textId="77777777" w:rsidR="007B6F90" w:rsidRDefault="007B6F90" w:rsidP="009E4880">
      <w:pPr>
        <w:spacing w:after="0" w:line="240" w:lineRule="auto"/>
        <w:contextualSpacing/>
        <w:mirrorIndents/>
        <w:rPr>
          <w:rFonts w:ascii="Verdana" w:hAnsi="Verdana"/>
          <w:sz w:val="20"/>
          <w:szCs w:val="20"/>
        </w:rPr>
      </w:pPr>
    </w:p>
    <w:p w14:paraId="1FE41C00" w14:textId="4F1CE3A1" w:rsidR="008F0023" w:rsidRPr="000D772C" w:rsidRDefault="008F0023" w:rsidP="008F0023">
      <w:pPr>
        <w:pStyle w:val="Header"/>
        <w:contextualSpacing/>
        <w:jc w:val="center"/>
        <w:rPr>
          <w:rFonts w:ascii="Verdana" w:hAnsi="Verdana"/>
          <w:b/>
          <w:sz w:val="20"/>
          <w:szCs w:val="20"/>
        </w:rPr>
      </w:pPr>
      <w:r w:rsidRPr="000D772C">
        <w:rPr>
          <w:rFonts w:ascii="Verdana" w:hAnsi="Verdana"/>
          <w:b/>
          <w:sz w:val="20"/>
          <w:szCs w:val="20"/>
        </w:rPr>
        <w:t xml:space="preserve">Top </w:t>
      </w:r>
      <w:r>
        <w:rPr>
          <w:rFonts w:ascii="Verdana" w:hAnsi="Verdana"/>
          <w:b/>
          <w:sz w:val="20"/>
          <w:szCs w:val="20"/>
        </w:rPr>
        <w:t>10</w:t>
      </w:r>
      <w:r w:rsidRPr="000D772C">
        <w:rPr>
          <w:rFonts w:ascii="Verdana" w:hAnsi="Verdana"/>
          <w:b/>
          <w:sz w:val="20"/>
          <w:szCs w:val="20"/>
        </w:rPr>
        <w:t xml:space="preserve"> </w:t>
      </w:r>
      <w:r>
        <w:rPr>
          <w:rFonts w:ascii="Verdana" w:hAnsi="Verdana"/>
          <w:b/>
          <w:sz w:val="20"/>
          <w:szCs w:val="20"/>
        </w:rPr>
        <w:t>Import</w:t>
      </w:r>
      <w:r w:rsidRPr="000D772C">
        <w:rPr>
          <w:rFonts w:ascii="Verdana" w:hAnsi="Verdana"/>
          <w:b/>
          <w:sz w:val="20"/>
          <w:szCs w:val="20"/>
        </w:rPr>
        <w:t xml:space="preserve"> Beer Brands, by Dollar Sales, 20</w:t>
      </w:r>
      <w:r>
        <w:rPr>
          <w:rFonts w:ascii="Verdana" w:hAnsi="Verdana"/>
          <w:b/>
          <w:sz w:val="20"/>
          <w:szCs w:val="20"/>
        </w:rPr>
        <w:t>21</w:t>
      </w:r>
      <w:r w:rsidRPr="000D772C">
        <w:rPr>
          <w:rFonts w:ascii="Verdana" w:hAnsi="Verdana"/>
          <w:b/>
          <w:sz w:val="20"/>
          <w:szCs w:val="20"/>
        </w:rPr>
        <w:t>*</w:t>
      </w:r>
    </w:p>
    <w:tbl>
      <w:tblPr>
        <w:tblW w:w="9447" w:type="dxa"/>
        <w:jc w:val="center"/>
        <w:tblBorders>
          <w:left w:val="single" w:sz="8" w:space="0" w:color="000000"/>
          <w:right w:val="single" w:sz="8" w:space="0" w:color="000000"/>
        </w:tblBorders>
        <w:tblLayout w:type="fixed"/>
        <w:tblLook w:val="0000" w:firstRow="0" w:lastRow="0" w:firstColumn="0" w:lastColumn="0" w:noHBand="0" w:noVBand="0"/>
      </w:tblPr>
      <w:tblGrid>
        <w:gridCol w:w="2190"/>
        <w:gridCol w:w="1267"/>
        <w:gridCol w:w="1267"/>
        <w:gridCol w:w="2189"/>
        <w:gridCol w:w="1267"/>
        <w:gridCol w:w="1267"/>
      </w:tblGrid>
      <w:tr w:rsidR="008F0023" w:rsidRPr="000D772C" w14:paraId="1F8B3B15" w14:textId="77777777" w:rsidTr="00863CB0">
        <w:trPr>
          <w:trHeight w:val="243"/>
          <w:jc w:val="center"/>
        </w:trPr>
        <w:tc>
          <w:tcPr>
            <w:tcW w:w="2190" w:type="dxa"/>
            <w:tcBorders>
              <w:top w:val="single" w:sz="12" w:space="0" w:color="000000"/>
              <w:left w:val="single" w:sz="12" w:space="0" w:color="000000"/>
              <w:bottom w:val="single" w:sz="18" w:space="0" w:color="C0504D" w:themeColor="accent2"/>
              <w:right w:val="single" w:sz="12" w:space="0" w:color="0070C0"/>
            </w:tcBorders>
            <w:vAlign w:val="center"/>
          </w:tcPr>
          <w:p w14:paraId="0D12DF67"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Import</w:t>
            </w:r>
            <w:r w:rsidRPr="000D772C">
              <w:rPr>
                <w:rFonts w:ascii="Verdana" w:eastAsia="Times New Roman" w:hAnsi="Verdana"/>
                <w:sz w:val="20"/>
                <w:szCs w:val="20"/>
              </w:rPr>
              <w:t xml:space="preserve">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28113D20"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xml:space="preserve">Dollar Sales </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862ABC6"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c>
          <w:tcPr>
            <w:tcW w:w="2189" w:type="dxa"/>
            <w:tcBorders>
              <w:top w:val="single" w:sz="12" w:space="0" w:color="000000"/>
              <w:left w:val="single" w:sz="18" w:space="0" w:color="0070C0"/>
              <w:bottom w:val="single" w:sz="18" w:space="0" w:color="C0504D" w:themeColor="accent2"/>
              <w:right w:val="single" w:sz="12" w:space="0" w:color="0070C0"/>
            </w:tcBorders>
            <w:vAlign w:val="center"/>
          </w:tcPr>
          <w:p w14:paraId="3C6498C8"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Import</w:t>
            </w:r>
            <w:r w:rsidRPr="000D772C">
              <w:rPr>
                <w:rFonts w:ascii="Verdana" w:eastAsia="Times New Roman" w:hAnsi="Verdana"/>
                <w:sz w:val="20"/>
                <w:szCs w:val="20"/>
              </w:rPr>
              <w:t xml:space="preserve">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7A45FFED"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xml:space="preserve">Dollar Sales </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6A782E0B"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r>
      <w:tr w:rsidR="008F0023" w:rsidRPr="000D772C" w14:paraId="1D41EA95" w14:textId="77777777" w:rsidTr="00863CB0">
        <w:trPr>
          <w:trHeight w:val="243"/>
          <w:jc w:val="center"/>
        </w:trPr>
        <w:tc>
          <w:tcPr>
            <w:tcW w:w="2190" w:type="dxa"/>
            <w:tcBorders>
              <w:top w:val="single" w:sz="18" w:space="0" w:color="C0504D" w:themeColor="accent2"/>
              <w:left w:val="single" w:sz="12" w:space="0" w:color="000000"/>
              <w:bottom w:val="single" w:sz="4" w:space="0" w:color="auto"/>
              <w:right w:val="single" w:sz="12" w:space="0" w:color="0070C0"/>
            </w:tcBorders>
            <w:vAlign w:val="center"/>
          </w:tcPr>
          <w:p w14:paraId="3B665B5D"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Modelo</w:t>
            </w:r>
          </w:p>
        </w:tc>
        <w:tc>
          <w:tcPr>
            <w:tcW w:w="1267" w:type="dxa"/>
            <w:tcBorders>
              <w:top w:val="single" w:sz="18" w:space="0" w:color="C0504D" w:themeColor="accent2"/>
              <w:left w:val="single" w:sz="12" w:space="0" w:color="0070C0"/>
              <w:bottom w:val="single" w:sz="4" w:space="0" w:color="auto"/>
              <w:right w:val="single" w:sz="8" w:space="0" w:color="0070C0"/>
            </w:tcBorders>
            <w:vAlign w:val="center"/>
          </w:tcPr>
          <w:p w14:paraId="60CBC43E" w14:textId="40E2392C"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$3.35 B</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D6E3BC" w:themeFill="accent3" w:themeFillTint="66"/>
            <w:vAlign w:val="center"/>
          </w:tcPr>
          <w:p w14:paraId="043466FA" w14:textId="3BB9740B"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+14.0%</w:t>
            </w:r>
          </w:p>
        </w:tc>
        <w:tc>
          <w:tcPr>
            <w:tcW w:w="2189"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695F403C"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Pacifico</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06303F94" w14:textId="6C97E7B5"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$208.2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0403B4F6" w14:textId="72CE1252"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r>
      <w:tr w:rsidR="008F0023" w:rsidRPr="000D772C" w14:paraId="738460A8"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04D105DD"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 xml:space="preserve">#2: </w:t>
            </w:r>
            <w:r>
              <w:rPr>
                <w:rFonts w:ascii="Verdana" w:eastAsia="Times New Roman" w:hAnsi="Verdana"/>
                <w:sz w:val="20"/>
                <w:szCs w:val="20"/>
              </w:rPr>
              <w:t>Corona</w:t>
            </w:r>
          </w:p>
        </w:tc>
        <w:tc>
          <w:tcPr>
            <w:tcW w:w="1267" w:type="dxa"/>
            <w:tcBorders>
              <w:top w:val="single" w:sz="4" w:space="0" w:color="auto"/>
              <w:left w:val="single" w:sz="12" w:space="0" w:color="0070C0"/>
              <w:bottom w:val="single" w:sz="4" w:space="0" w:color="000000"/>
              <w:right w:val="single" w:sz="8" w:space="0" w:color="0070C0"/>
            </w:tcBorders>
            <w:vAlign w:val="center"/>
          </w:tcPr>
          <w:p w14:paraId="61DA9772" w14:textId="5034E425"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$2.85 B</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19F0D80B" w14:textId="14C5142E"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+2.2%</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79CD97D"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Guinness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675072CA" w14:textId="5C928576"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$184.1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14509C2F" w14:textId="1ACB988E"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w:t>
            </w:r>
          </w:p>
        </w:tc>
      </w:tr>
      <w:tr w:rsidR="008F0023" w:rsidRPr="000D772C" w14:paraId="68E5CA02"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387D05F7"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Pr>
                <w:sz w:val="20"/>
                <w:szCs w:val="20"/>
              </w:rPr>
              <w:t>Heineken</w:t>
            </w:r>
          </w:p>
        </w:tc>
        <w:tc>
          <w:tcPr>
            <w:tcW w:w="1267" w:type="dxa"/>
            <w:tcBorders>
              <w:top w:val="single" w:sz="4" w:space="0" w:color="auto"/>
              <w:left w:val="single" w:sz="12" w:space="0" w:color="0070C0"/>
              <w:bottom w:val="single" w:sz="4" w:space="0" w:color="000000"/>
              <w:right w:val="single" w:sz="8" w:space="0" w:color="0070C0"/>
            </w:tcBorders>
            <w:vAlign w:val="center"/>
          </w:tcPr>
          <w:p w14:paraId="2F5AB52A" w14:textId="124D5B81"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$916.2 M</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45E4DD55" w14:textId="16F9A0FE" w:rsidR="008F0023" w:rsidRPr="000D772C" w:rsidRDefault="007A37D6"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w:t>
            </w:r>
            <w:r w:rsidR="008F0023">
              <w:rPr>
                <w:sz w:val="20"/>
                <w:szCs w:val="20"/>
              </w:rPr>
              <w:t>0.2%</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80BCDE2" w14:textId="632608CD"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#8: </w:t>
            </w:r>
            <w:r w:rsidR="000C2120">
              <w:rPr>
                <w:rFonts w:ascii="Verdana" w:eastAsia="Times New Roman" w:hAnsi="Verdana"/>
                <w:sz w:val="20"/>
                <w:szCs w:val="20"/>
              </w:rPr>
              <w:t xml:space="preserve">Labatt </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7E6464B" w14:textId="6C5A146D"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$148.7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58239A5D" w14:textId="51882AA7"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w:t>
            </w:r>
          </w:p>
        </w:tc>
      </w:tr>
      <w:tr w:rsidR="008F0023" w:rsidRPr="000D772C" w14:paraId="03B9EC88"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5283A1F7" w14:textId="743AB10A"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 xml:space="preserve">#4: </w:t>
            </w:r>
            <w:r>
              <w:rPr>
                <w:rFonts w:ascii="Verdana" w:eastAsia="Times New Roman" w:hAnsi="Verdana"/>
                <w:sz w:val="20"/>
                <w:szCs w:val="20"/>
              </w:rPr>
              <w:t>Dos Equis XX</w:t>
            </w:r>
            <w:r>
              <w:rPr>
                <w:sz w:val="20"/>
                <w:szCs w:val="20"/>
              </w:rPr>
              <w:t xml:space="preserve"> </w:t>
            </w:r>
          </w:p>
        </w:tc>
        <w:tc>
          <w:tcPr>
            <w:tcW w:w="1267" w:type="dxa"/>
            <w:tcBorders>
              <w:top w:val="single" w:sz="4" w:space="0" w:color="auto"/>
              <w:left w:val="single" w:sz="12" w:space="0" w:color="0070C0"/>
              <w:bottom w:val="single" w:sz="4" w:space="0" w:color="000000"/>
              <w:right w:val="single" w:sz="8" w:space="0" w:color="0070C0"/>
            </w:tcBorders>
            <w:vAlign w:val="center"/>
          </w:tcPr>
          <w:p w14:paraId="1EE96882" w14:textId="5B388B17"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$463.9 M</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7B5B0CA7" w14:textId="52CE9C59"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+5.7%</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F01632B" w14:textId="452C8A7F"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#9: </w:t>
            </w:r>
            <w:r w:rsidR="000C2120">
              <w:rPr>
                <w:rFonts w:ascii="Verdana" w:eastAsia="Times New Roman" w:hAnsi="Verdana"/>
                <w:sz w:val="20"/>
                <w:szCs w:val="20"/>
              </w:rPr>
              <w:t>Tecate</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2346563E" w14:textId="123C7823"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$145.2 M</w:t>
            </w:r>
          </w:p>
        </w:tc>
        <w:tc>
          <w:tcPr>
            <w:tcW w:w="1267" w:type="dxa"/>
            <w:tcBorders>
              <w:top w:val="single" w:sz="4" w:space="0" w:color="000000"/>
              <w:left w:val="single" w:sz="8" w:space="0" w:color="0070C0"/>
              <w:bottom w:val="single" w:sz="4" w:space="0" w:color="000000"/>
              <w:right w:val="single" w:sz="12" w:space="0" w:color="000000"/>
            </w:tcBorders>
            <w:shd w:val="clear" w:color="auto" w:fill="auto"/>
            <w:vAlign w:val="center"/>
          </w:tcPr>
          <w:p w14:paraId="5C675878" w14:textId="0F9561BE"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-14.1%</w:t>
            </w:r>
          </w:p>
        </w:tc>
      </w:tr>
      <w:tr w:rsidR="008F0023" w:rsidRPr="000D772C" w14:paraId="080C4F54" w14:textId="77777777" w:rsidTr="00863CB0">
        <w:trPr>
          <w:trHeight w:val="243"/>
          <w:jc w:val="center"/>
        </w:trPr>
        <w:tc>
          <w:tcPr>
            <w:tcW w:w="2190" w:type="dxa"/>
            <w:tcBorders>
              <w:top w:val="single" w:sz="4" w:space="0" w:color="auto"/>
              <w:left w:val="single" w:sz="12" w:space="0" w:color="000000"/>
              <w:bottom w:val="single" w:sz="4" w:space="0" w:color="000000"/>
              <w:right w:val="single" w:sz="12" w:space="0" w:color="0070C0"/>
            </w:tcBorders>
            <w:vAlign w:val="center"/>
          </w:tcPr>
          <w:p w14:paraId="0EB3D754" w14:textId="0AA6BA7B"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Pr>
                <w:sz w:val="20"/>
                <w:szCs w:val="20"/>
              </w:rPr>
              <w:t>Stella Artois</w:t>
            </w:r>
          </w:p>
        </w:tc>
        <w:tc>
          <w:tcPr>
            <w:tcW w:w="1267" w:type="dxa"/>
            <w:tcBorders>
              <w:top w:val="single" w:sz="4" w:space="0" w:color="auto"/>
              <w:left w:val="single" w:sz="12" w:space="0" w:color="0070C0"/>
              <w:bottom w:val="single" w:sz="4" w:space="0" w:color="000000"/>
              <w:right w:val="single" w:sz="8" w:space="0" w:color="0070C0"/>
            </w:tcBorders>
            <w:vAlign w:val="center"/>
          </w:tcPr>
          <w:p w14:paraId="245874A7" w14:textId="08CD851A"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$434.3 M</w:t>
            </w:r>
          </w:p>
        </w:tc>
        <w:tc>
          <w:tcPr>
            <w:tcW w:w="1267" w:type="dxa"/>
            <w:tcBorders>
              <w:top w:val="single" w:sz="4" w:space="0" w:color="auto"/>
              <w:left w:val="single" w:sz="8" w:space="0" w:color="0070C0"/>
              <w:bottom w:val="single" w:sz="4" w:space="0" w:color="000000"/>
              <w:right w:val="single" w:sz="18" w:space="0" w:color="0070C0"/>
            </w:tcBorders>
            <w:shd w:val="clear" w:color="auto" w:fill="F2DBDB" w:themeFill="accent2" w:themeFillTint="33"/>
            <w:vAlign w:val="center"/>
          </w:tcPr>
          <w:p w14:paraId="707FFAEA" w14:textId="611462C3" w:rsidR="008F0023" w:rsidRPr="000D772C" w:rsidRDefault="000C21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-3.7%</w:t>
            </w:r>
          </w:p>
        </w:tc>
        <w:tc>
          <w:tcPr>
            <w:tcW w:w="218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8C9D173"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Foster’s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1751F16"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$78.3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35368801" w14:textId="79DF2108"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r w:rsidR="000C2120">
              <w:rPr>
                <w:rFonts w:ascii="Verdana" w:eastAsia="Times New Roman" w:hAnsi="Verdana"/>
                <w:sz w:val="20"/>
                <w:szCs w:val="20"/>
              </w:rPr>
              <w:t>7</w:t>
            </w:r>
            <w:r>
              <w:rPr>
                <w:rFonts w:ascii="Verdana" w:eastAsia="Times New Roman" w:hAnsi="Verdana"/>
                <w:sz w:val="20"/>
                <w:szCs w:val="20"/>
              </w:rPr>
              <w:t>%</w:t>
            </w:r>
          </w:p>
        </w:tc>
      </w:tr>
      <w:tr w:rsidR="008F0023" w:rsidRPr="000D772C" w14:paraId="6CC88333" w14:textId="77777777" w:rsidTr="00863CB0">
        <w:trPr>
          <w:trHeight w:val="243"/>
          <w:jc w:val="center"/>
        </w:trPr>
        <w:tc>
          <w:tcPr>
            <w:tcW w:w="2190" w:type="dxa"/>
            <w:tcBorders>
              <w:top w:val="single" w:sz="4" w:space="0" w:color="000000"/>
              <w:left w:val="single" w:sz="12" w:space="0" w:color="000000"/>
              <w:bottom w:val="single" w:sz="12" w:space="0" w:color="000000"/>
              <w:right w:val="single" w:sz="12" w:space="0" w:color="0070C0"/>
            </w:tcBorders>
            <w:shd w:val="clear" w:color="auto" w:fill="D9D9D9" w:themeFill="background1" w:themeFillShade="D9"/>
            <w:vAlign w:val="center"/>
          </w:tcPr>
          <w:p w14:paraId="5B4C0F7F"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vAlign w:val="center"/>
          </w:tcPr>
          <w:p w14:paraId="0FFB6E01"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8" w:space="0" w:color="0070C0"/>
            </w:tcBorders>
            <w:shd w:val="clear" w:color="auto" w:fill="D9D9D9" w:themeFill="background1" w:themeFillShade="D9"/>
            <w:vAlign w:val="center"/>
          </w:tcPr>
          <w:p w14:paraId="3BB7E14C"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2189" w:type="dxa"/>
            <w:tcBorders>
              <w:top w:val="single" w:sz="4" w:space="0" w:color="000000"/>
              <w:left w:val="single" w:sz="18" w:space="0" w:color="0070C0"/>
              <w:bottom w:val="single" w:sz="12" w:space="0" w:color="000000"/>
              <w:right w:val="single" w:sz="12" w:space="0" w:color="0070C0"/>
            </w:tcBorders>
            <w:shd w:val="clear" w:color="auto" w:fill="DBE5F1" w:themeFill="accent1" w:themeFillTint="33"/>
            <w:vAlign w:val="center"/>
          </w:tcPr>
          <w:p w14:paraId="184AFEA6" w14:textId="77777777" w:rsidR="008F0023" w:rsidRPr="000D772C" w:rsidRDefault="008F002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0D772C">
              <w:rPr>
                <w:sz w:val="20"/>
                <w:szCs w:val="20"/>
              </w:rPr>
              <w:t>Total</w:t>
            </w:r>
            <w:r w:rsidRPr="000D772C">
              <w:rPr>
                <w:rFonts w:ascii="Verdana" w:hAnsi="Verdana"/>
                <w:sz w:val="20"/>
                <w:szCs w:val="20"/>
              </w:rPr>
              <w:t>†</w:t>
            </w:r>
          </w:p>
        </w:tc>
        <w:tc>
          <w:tcPr>
            <w:tcW w:w="1267" w:type="dxa"/>
            <w:tcBorders>
              <w:top w:val="single" w:sz="4" w:space="0" w:color="000000"/>
              <w:left w:val="single" w:sz="12" w:space="0" w:color="0070C0"/>
              <w:bottom w:val="single" w:sz="12" w:space="0" w:color="000000"/>
              <w:right w:val="single" w:sz="8" w:space="0" w:color="0070C0"/>
            </w:tcBorders>
            <w:shd w:val="clear" w:color="auto" w:fill="DBE5F1" w:themeFill="accent1" w:themeFillTint="33"/>
            <w:vAlign w:val="center"/>
          </w:tcPr>
          <w:p w14:paraId="1017D836" w14:textId="0B527C4E"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0C2120">
              <w:rPr>
                <w:rFonts w:ascii="Verdana" w:eastAsia="Times New Roman" w:hAnsi="Verdana"/>
                <w:sz w:val="20"/>
                <w:szCs w:val="20"/>
              </w:rPr>
              <w:t>9.24</w:t>
            </w:r>
            <w:r>
              <w:rPr>
                <w:rFonts w:ascii="Verdana" w:eastAsia="Times New Roman" w:hAnsi="Verdana"/>
                <w:sz w:val="20"/>
                <w:szCs w:val="20"/>
              </w:rPr>
              <w:t xml:space="preserve"> B</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7DCE420A" w14:textId="21F7AB36" w:rsidR="008F0023" w:rsidRPr="000D772C" w:rsidRDefault="008F002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0C2120">
              <w:rPr>
                <w:rFonts w:ascii="Verdana" w:eastAsia="Times New Roman" w:hAnsi="Verdana"/>
                <w:sz w:val="20"/>
                <w:szCs w:val="20"/>
              </w:rPr>
              <w:t>4.8</w:t>
            </w:r>
            <w:r>
              <w:rPr>
                <w:rFonts w:ascii="Verdana" w:eastAsia="Times New Roman" w:hAnsi="Verdana"/>
                <w:sz w:val="20"/>
                <w:szCs w:val="20"/>
              </w:rPr>
              <w:t>%</w:t>
            </w:r>
          </w:p>
        </w:tc>
      </w:tr>
    </w:tbl>
    <w:p w14:paraId="635E283F" w14:textId="135066A7" w:rsidR="008F0023" w:rsidRDefault="008F0023" w:rsidP="008F0023">
      <w:pPr>
        <w:spacing w:after="0" w:line="240" w:lineRule="auto"/>
        <w:contextualSpacing/>
        <w:mirrorIndents/>
        <w:rPr>
          <w:rFonts w:ascii="Verdana" w:hAnsi="Verdana"/>
          <w:sz w:val="20"/>
          <w:szCs w:val="20"/>
        </w:rPr>
      </w:pPr>
      <w:r w:rsidRPr="000D772C">
        <w:rPr>
          <w:i/>
          <w:sz w:val="16"/>
          <w:szCs w:val="16"/>
        </w:rPr>
        <w:t>Beverage Industry</w:t>
      </w:r>
      <w:r w:rsidRPr="000D772C">
        <w:rPr>
          <w:sz w:val="16"/>
          <w:szCs w:val="16"/>
        </w:rPr>
        <w:t xml:space="preserve"> (IRI), </w:t>
      </w:r>
      <w:r>
        <w:rPr>
          <w:sz w:val="16"/>
          <w:szCs w:val="16"/>
        </w:rPr>
        <w:t>February</w:t>
      </w:r>
      <w:r w:rsidRPr="000D772C">
        <w:rPr>
          <w:sz w:val="16"/>
          <w:szCs w:val="16"/>
        </w:rPr>
        <w:t xml:space="preserve"> 202</w:t>
      </w:r>
      <w:r>
        <w:rPr>
          <w:sz w:val="16"/>
          <w:szCs w:val="16"/>
        </w:rPr>
        <w:t>2</w:t>
      </w:r>
      <w:r w:rsidRPr="000D772C">
        <w:rPr>
          <w:sz w:val="16"/>
          <w:szCs w:val="16"/>
        </w:rPr>
        <w:tab/>
        <w:t>*52 weeks ending December 2</w:t>
      </w:r>
      <w:r>
        <w:rPr>
          <w:sz w:val="16"/>
          <w:szCs w:val="16"/>
        </w:rPr>
        <w:t>6</w:t>
      </w:r>
      <w:r w:rsidRPr="000D772C">
        <w:rPr>
          <w:sz w:val="16"/>
          <w:szCs w:val="16"/>
        </w:rPr>
        <w:t>, 20</w:t>
      </w:r>
      <w:r>
        <w:rPr>
          <w:sz w:val="16"/>
          <w:szCs w:val="16"/>
        </w:rPr>
        <w:t>21</w:t>
      </w:r>
      <w:r w:rsidRPr="000D772C">
        <w:rPr>
          <w:sz w:val="16"/>
          <w:szCs w:val="16"/>
        </w:rPr>
        <w:t xml:space="preserve">      </w:t>
      </w:r>
      <w:r w:rsidRPr="000D772C">
        <w:rPr>
          <w:rFonts w:ascii="Verdana" w:hAnsi="Verdana"/>
          <w:sz w:val="16"/>
          <w:szCs w:val="16"/>
        </w:rPr>
        <w:t>†includes brands not listed</w:t>
      </w:r>
    </w:p>
    <w:p w14:paraId="4AE3965E" w14:textId="77777777" w:rsidR="007B6F90" w:rsidRDefault="007B6F90" w:rsidP="009E4880">
      <w:pPr>
        <w:spacing w:after="0" w:line="240" w:lineRule="auto"/>
        <w:contextualSpacing/>
        <w:mirrorIndents/>
        <w:rPr>
          <w:rFonts w:ascii="Verdana" w:hAnsi="Verdana"/>
          <w:sz w:val="20"/>
          <w:szCs w:val="20"/>
        </w:rPr>
      </w:pPr>
    </w:p>
    <w:p w14:paraId="5967960D" w14:textId="7C4DAC9A" w:rsidR="009E4880" w:rsidRPr="003F4C76" w:rsidRDefault="009E4880" w:rsidP="003F4C76">
      <w:pPr>
        <w:spacing w:after="0" w:line="240" w:lineRule="auto"/>
        <w:contextualSpacing/>
        <w:mirrorIndents/>
        <w:jc w:val="center"/>
        <w:rPr>
          <w:rFonts w:ascii="Verdana" w:hAnsi="Verdana"/>
          <w:b/>
          <w:bCs/>
          <w:color w:val="0070C0"/>
          <w:sz w:val="20"/>
          <w:szCs w:val="20"/>
        </w:rPr>
      </w:pPr>
      <w:r w:rsidRPr="003F4C76">
        <w:rPr>
          <w:rFonts w:ascii="Verdana" w:hAnsi="Verdana"/>
          <w:b/>
          <w:bCs/>
          <w:color w:val="0070C0"/>
          <w:sz w:val="20"/>
          <w:szCs w:val="20"/>
        </w:rPr>
        <w:t>The Health and Wellness Trend</w:t>
      </w:r>
    </w:p>
    <w:p w14:paraId="75F44ED4" w14:textId="37562F81" w:rsidR="009E4880" w:rsidRDefault="009E4880" w:rsidP="009E4880">
      <w:pPr>
        <w:spacing w:after="0" w:line="240" w:lineRule="auto"/>
        <w:contextualSpacing/>
        <w:mirrorIndents/>
        <w:rPr>
          <w:rFonts w:ascii="Verdana" w:hAnsi="Verdana"/>
          <w:sz w:val="20"/>
          <w:szCs w:val="20"/>
        </w:rPr>
      </w:pPr>
    </w:p>
    <w:p w14:paraId="0069344B" w14:textId="0B5683AB" w:rsidR="003F4C76" w:rsidRDefault="00421648" w:rsidP="009E4880">
      <w:pPr>
        <w:spacing w:after="0" w:line="240" w:lineRule="auto"/>
        <w:contextualSpacing/>
        <w:mirrorIndents/>
        <w:rPr>
          <w:rFonts w:ascii="Verdana" w:hAnsi="Verdana"/>
          <w:sz w:val="20"/>
          <w:szCs w:val="20"/>
        </w:rPr>
      </w:pPr>
      <w:r>
        <w:rPr>
          <w:rFonts w:ascii="Verdana" w:hAnsi="Verdana"/>
          <w:sz w:val="20"/>
          <w:szCs w:val="20"/>
        </w:rPr>
        <w:t xml:space="preserve">Health and wellness </w:t>
      </w:r>
      <w:r w:rsidR="00F33BD5">
        <w:rPr>
          <w:rFonts w:ascii="Verdana" w:hAnsi="Verdana"/>
          <w:sz w:val="20"/>
          <w:szCs w:val="20"/>
        </w:rPr>
        <w:t>is</w:t>
      </w:r>
      <w:r>
        <w:rPr>
          <w:rFonts w:ascii="Verdana" w:hAnsi="Verdana"/>
          <w:sz w:val="20"/>
          <w:szCs w:val="20"/>
        </w:rPr>
        <w:t xml:space="preserve"> a major focus of more Americans. Nielsen reports a 49% increase in the plant-based food and beverage category during the past two years and alcohol-free beverage sales increase</w:t>
      </w:r>
      <w:r w:rsidR="00F33BD5">
        <w:rPr>
          <w:rFonts w:ascii="Verdana" w:hAnsi="Verdana"/>
          <w:sz w:val="20"/>
          <w:szCs w:val="20"/>
        </w:rPr>
        <w:t>d</w:t>
      </w:r>
      <w:r>
        <w:rPr>
          <w:rFonts w:ascii="Verdana" w:hAnsi="Verdana"/>
          <w:sz w:val="20"/>
          <w:szCs w:val="20"/>
        </w:rPr>
        <w:t xml:space="preserve"> by 131% for the 52 weeks ending 11/27.21.</w:t>
      </w:r>
    </w:p>
    <w:p w14:paraId="0E002297" w14:textId="363BA7BD" w:rsidR="00421648" w:rsidRDefault="00421648" w:rsidP="009E4880">
      <w:pPr>
        <w:spacing w:after="0" w:line="240" w:lineRule="auto"/>
        <w:contextualSpacing/>
        <w:mirrorIndents/>
        <w:rPr>
          <w:rFonts w:ascii="Verdana" w:hAnsi="Verdana"/>
          <w:sz w:val="20"/>
          <w:szCs w:val="20"/>
        </w:rPr>
      </w:pPr>
    </w:p>
    <w:p w14:paraId="299ECFEF" w14:textId="76F5151C" w:rsidR="00421648" w:rsidRDefault="00076BDD" w:rsidP="009E4880">
      <w:pPr>
        <w:spacing w:after="0" w:line="240" w:lineRule="auto"/>
        <w:contextualSpacing/>
        <w:mirrorIndents/>
        <w:rPr>
          <w:rFonts w:ascii="Verdana" w:hAnsi="Verdana"/>
          <w:sz w:val="20"/>
          <w:szCs w:val="20"/>
        </w:rPr>
      </w:pPr>
      <w:r>
        <w:rPr>
          <w:rFonts w:ascii="Verdana" w:hAnsi="Verdana"/>
          <w:sz w:val="20"/>
          <w:szCs w:val="20"/>
        </w:rPr>
        <w:t>Hard seltzers brands are benefiting from consumers’ demand for low-calorie, low-sugar and low-carb alcoholic beverages. Industry analysts expect more brands</w:t>
      </w:r>
      <w:r w:rsidR="00F33BD5">
        <w:rPr>
          <w:rFonts w:ascii="Verdana" w:hAnsi="Verdana"/>
          <w:sz w:val="20"/>
          <w:szCs w:val="20"/>
        </w:rPr>
        <w:t xml:space="preserve"> to</w:t>
      </w:r>
      <w:r>
        <w:rPr>
          <w:rFonts w:ascii="Verdana" w:hAnsi="Verdana"/>
          <w:sz w:val="20"/>
          <w:szCs w:val="20"/>
        </w:rPr>
        <w:t xml:space="preserve"> introduc</w:t>
      </w:r>
      <w:r w:rsidR="00F33BD5">
        <w:rPr>
          <w:rFonts w:ascii="Verdana" w:hAnsi="Verdana"/>
          <w:sz w:val="20"/>
          <w:szCs w:val="20"/>
        </w:rPr>
        <w:t>e</w:t>
      </w:r>
      <w:r>
        <w:rPr>
          <w:rFonts w:ascii="Verdana" w:hAnsi="Verdana"/>
          <w:sz w:val="20"/>
          <w:szCs w:val="20"/>
        </w:rPr>
        <w:t xml:space="preserve"> hard tea, hard kombucha and fruit-flavored FMBs.</w:t>
      </w:r>
    </w:p>
    <w:p w14:paraId="6E13B372" w14:textId="04D7FF2C" w:rsidR="00076BDD" w:rsidRDefault="00076BDD" w:rsidP="009E4880">
      <w:pPr>
        <w:spacing w:after="0" w:line="240" w:lineRule="auto"/>
        <w:contextualSpacing/>
        <w:mirrorIndents/>
        <w:rPr>
          <w:rFonts w:ascii="Verdana" w:hAnsi="Verdana"/>
          <w:sz w:val="20"/>
          <w:szCs w:val="20"/>
        </w:rPr>
      </w:pPr>
    </w:p>
    <w:p w14:paraId="6D64FE0B" w14:textId="3337C60A" w:rsidR="00076BDD" w:rsidRDefault="00076BDD" w:rsidP="009E4880">
      <w:pPr>
        <w:spacing w:after="0" w:line="240" w:lineRule="auto"/>
        <w:contextualSpacing/>
        <w:mirrorIndents/>
        <w:rPr>
          <w:rFonts w:ascii="Verdana" w:hAnsi="Verdana"/>
          <w:sz w:val="20"/>
          <w:szCs w:val="20"/>
        </w:rPr>
      </w:pPr>
      <w:r>
        <w:rPr>
          <w:rFonts w:ascii="Verdana" w:hAnsi="Verdana"/>
          <w:sz w:val="20"/>
          <w:szCs w:val="20"/>
        </w:rPr>
        <w:t>Total sales in the beer seltzer-centric category increase</w:t>
      </w:r>
      <w:r w:rsidR="00F33BD5">
        <w:rPr>
          <w:rFonts w:ascii="Verdana" w:hAnsi="Verdana"/>
          <w:sz w:val="20"/>
          <w:szCs w:val="20"/>
        </w:rPr>
        <w:t>d</w:t>
      </w:r>
      <w:r>
        <w:rPr>
          <w:rFonts w:ascii="Verdana" w:hAnsi="Verdana"/>
          <w:sz w:val="20"/>
          <w:szCs w:val="20"/>
        </w:rPr>
        <w:t xml:space="preserve"> by 16.8% for the 52 weeks ending 12/26/21 and led</w:t>
      </w:r>
      <w:r w:rsidR="008A0A9C">
        <w:rPr>
          <w:rFonts w:ascii="Verdana" w:hAnsi="Verdana"/>
          <w:sz w:val="20"/>
          <w:szCs w:val="20"/>
        </w:rPr>
        <w:t xml:space="preserve"> by Truly’s 35.6% increase while the FMB category’s sales increase 5.5% during the same period, with Twisted driving the category with an increase of 31.9%.</w:t>
      </w:r>
    </w:p>
    <w:p w14:paraId="4C0AFCC6" w14:textId="5C901E35" w:rsidR="003F4C76" w:rsidRDefault="003F4C76" w:rsidP="009E4880">
      <w:pPr>
        <w:spacing w:after="0" w:line="240" w:lineRule="auto"/>
        <w:contextualSpacing/>
        <w:mirrorIndents/>
        <w:rPr>
          <w:rFonts w:ascii="Verdana" w:hAnsi="Verdana"/>
          <w:sz w:val="20"/>
          <w:szCs w:val="20"/>
        </w:rPr>
      </w:pPr>
    </w:p>
    <w:p w14:paraId="02B97F20" w14:textId="2FEBA349" w:rsidR="008A0A9C" w:rsidRDefault="008A0A9C" w:rsidP="008A0A9C">
      <w:pPr>
        <w:pStyle w:val="Header"/>
        <w:contextualSpacing/>
        <w:jc w:val="center"/>
        <w:rPr>
          <w:rFonts w:ascii="Verdana" w:hAnsi="Verdana"/>
          <w:b/>
          <w:sz w:val="20"/>
          <w:szCs w:val="20"/>
        </w:rPr>
      </w:pPr>
      <w:r w:rsidRPr="000D772C">
        <w:rPr>
          <w:rFonts w:ascii="Verdana" w:hAnsi="Verdana"/>
          <w:b/>
          <w:sz w:val="20"/>
          <w:szCs w:val="20"/>
        </w:rPr>
        <w:t xml:space="preserve">Top </w:t>
      </w:r>
      <w:r>
        <w:rPr>
          <w:rFonts w:ascii="Verdana" w:hAnsi="Verdana"/>
          <w:b/>
          <w:sz w:val="20"/>
          <w:szCs w:val="20"/>
        </w:rPr>
        <w:t>5 Beer Seltzer-Centric and Top 5</w:t>
      </w:r>
      <w:r w:rsidRPr="000D772C">
        <w:rPr>
          <w:rFonts w:ascii="Verdana" w:hAnsi="Verdana"/>
          <w:b/>
          <w:sz w:val="20"/>
          <w:szCs w:val="20"/>
        </w:rPr>
        <w:t xml:space="preserve"> </w:t>
      </w:r>
      <w:r>
        <w:rPr>
          <w:rFonts w:ascii="Verdana" w:hAnsi="Verdana"/>
          <w:b/>
          <w:sz w:val="20"/>
          <w:szCs w:val="20"/>
        </w:rPr>
        <w:t xml:space="preserve">Flavored </w:t>
      </w:r>
    </w:p>
    <w:p w14:paraId="414A8E7C" w14:textId="6448FA8B" w:rsidR="00682C6F" w:rsidRPr="000D772C" w:rsidRDefault="008A0A9C" w:rsidP="00682C6F">
      <w:pPr>
        <w:pStyle w:val="Header"/>
        <w:contextualSpacing/>
        <w:jc w:val="center"/>
        <w:rPr>
          <w:rFonts w:ascii="Verdana" w:hAnsi="Verdana"/>
          <w:b/>
          <w:sz w:val="20"/>
          <w:szCs w:val="20"/>
        </w:rPr>
      </w:pPr>
      <w:r>
        <w:rPr>
          <w:rFonts w:ascii="Verdana" w:hAnsi="Verdana"/>
          <w:b/>
          <w:sz w:val="20"/>
          <w:szCs w:val="20"/>
        </w:rPr>
        <w:t>Malt Beverage</w:t>
      </w:r>
      <w:r w:rsidRPr="000D772C">
        <w:rPr>
          <w:rFonts w:ascii="Verdana" w:hAnsi="Verdana"/>
          <w:b/>
          <w:sz w:val="20"/>
          <w:szCs w:val="20"/>
        </w:rPr>
        <w:t xml:space="preserve"> Brands, by Dollar Sales, 20</w:t>
      </w:r>
      <w:r>
        <w:rPr>
          <w:rFonts w:ascii="Verdana" w:hAnsi="Verdana"/>
          <w:b/>
          <w:sz w:val="20"/>
          <w:szCs w:val="20"/>
        </w:rPr>
        <w:t>21</w:t>
      </w:r>
      <w:r w:rsidRPr="000D772C">
        <w:rPr>
          <w:rFonts w:ascii="Verdana" w:hAnsi="Verdana"/>
          <w:b/>
          <w:sz w:val="20"/>
          <w:szCs w:val="20"/>
        </w:rPr>
        <w:t>*</w:t>
      </w:r>
    </w:p>
    <w:tbl>
      <w:tblPr>
        <w:tblW w:w="10198" w:type="dxa"/>
        <w:jc w:val="center"/>
        <w:tblBorders>
          <w:left w:val="single" w:sz="8" w:space="0" w:color="000000"/>
          <w:right w:val="single" w:sz="8" w:space="0" w:color="000000"/>
        </w:tblBorders>
        <w:tblLayout w:type="fixed"/>
        <w:tblLook w:val="0000" w:firstRow="0" w:lastRow="0" w:firstColumn="0" w:lastColumn="0" w:noHBand="0" w:noVBand="0"/>
      </w:tblPr>
      <w:tblGrid>
        <w:gridCol w:w="2563"/>
        <w:gridCol w:w="1267"/>
        <w:gridCol w:w="1267"/>
        <w:gridCol w:w="2567"/>
        <w:gridCol w:w="1267"/>
        <w:gridCol w:w="1267"/>
      </w:tblGrid>
      <w:tr w:rsidR="008A0A9C" w:rsidRPr="000D772C" w14:paraId="3234EA77" w14:textId="77777777" w:rsidTr="00863CB0">
        <w:trPr>
          <w:trHeight w:val="243"/>
          <w:jc w:val="center"/>
        </w:trPr>
        <w:tc>
          <w:tcPr>
            <w:tcW w:w="2563" w:type="dxa"/>
            <w:tcBorders>
              <w:top w:val="single" w:sz="12" w:space="0" w:color="000000"/>
              <w:left w:val="single" w:sz="12" w:space="0" w:color="000000"/>
              <w:bottom w:val="single" w:sz="18" w:space="0" w:color="C0504D" w:themeColor="accent2"/>
              <w:right w:val="single" w:sz="12" w:space="0" w:color="0070C0"/>
            </w:tcBorders>
            <w:vAlign w:val="center"/>
          </w:tcPr>
          <w:p w14:paraId="5CD7A769" w14:textId="34924783" w:rsidR="008A0A9C" w:rsidRPr="000D772C" w:rsidRDefault="008A0A9C"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Beer Seltzer-Centric 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583E5B48"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xml:space="preserve">Dollar Sales </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6B40C7D3"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c>
          <w:tcPr>
            <w:tcW w:w="2567" w:type="dxa"/>
            <w:tcBorders>
              <w:top w:val="single" w:sz="12" w:space="0" w:color="000000"/>
              <w:left w:val="single" w:sz="18" w:space="0" w:color="0070C0"/>
              <w:bottom w:val="single" w:sz="18" w:space="0" w:color="C0504D" w:themeColor="accent2"/>
              <w:right w:val="single" w:sz="12" w:space="0" w:color="0070C0"/>
            </w:tcBorders>
            <w:vAlign w:val="center"/>
          </w:tcPr>
          <w:p w14:paraId="2F3ECE5B"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FMB</w:t>
            </w:r>
            <w:r w:rsidRPr="000D772C">
              <w:rPr>
                <w:rFonts w:ascii="Verdana" w:eastAsia="Times New Roman" w:hAnsi="Verdana"/>
                <w:sz w:val="20"/>
                <w:szCs w:val="20"/>
              </w:rPr>
              <w:t xml:space="preserve"> </w:t>
            </w:r>
            <w:r>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177F57B2"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xml:space="preserve">Dollar Sales </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0B540AF4"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0D772C">
              <w:rPr>
                <w:rFonts w:ascii="Verdana" w:eastAsia="Times New Roman" w:hAnsi="Verdana"/>
                <w:sz w:val="20"/>
                <w:szCs w:val="20"/>
              </w:rPr>
              <w:t>% Change</w:t>
            </w:r>
          </w:p>
        </w:tc>
      </w:tr>
      <w:tr w:rsidR="008A0A9C" w:rsidRPr="000D772C" w14:paraId="181DE74D" w14:textId="77777777" w:rsidTr="00863CB0">
        <w:trPr>
          <w:trHeight w:val="243"/>
          <w:jc w:val="center"/>
        </w:trPr>
        <w:tc>
          <w:tcPr>
            <w:tcW w:w="2563" w:type="dxa"/>
            <w:tcBorders>
              <w:top w:val="single" w:sz="18" w:space="0" w:color="C0504D" w:themeColor="accent2"/>
              <w:left w:val="single" w:sz="12" w:space="0" w:color="000000"/>
              <w:bottom w:val="single" w:sz="4" w:space="0" w:color="auto"/>
              <w:right w:val="single" w:sz="12" w:space="0" w:color="0070C0"/>
            </w:tcBorders>
            <w:vAlign w:val="center"/>
          </w:tcPr>
          <w:p w14:paraId="33139712" w14:textId="538F676E"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White Claw</w:t>
            </w:r>
          </w:p>
        </w:tc>
        <w:tc>
          <w:tcPr>
            <w:tcW w:w="1267" w:type="dxa"/>
            <w:tcBorders>
              <w:top w:val="single" w:sz="18" w:space="0" w:color="C0504D" w:themeColor="accent2"/>
              <w:left w:val="single" w:sz="12" w:space="0" w:color="0070C0"/>
              <w:bottom w:val="single" w:sz="4" w:space="0" w:color="auto"/>
              <w:right w:val="single" w:sz="8" w:space="0" w:color="0070C0"/>
            </w:tcBorders>
            <w:vAlign w:val="center"/>
          </w:tcPr>
          <w:p w14:paraId="11975E17" w14:textId="54AE23EA" w:rsidR="008A0A9C" w:rsidRPr="000D772C" w:rsidRDefault="008A0A9C"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$1.93 B</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2DBDB" w:themeFill="accent2" w:themeFillTint="33"/>
            <w:vAlign w:val="center"/>
          </w:tcPr>
          <w:p w14:paraId="770155F2" w14:textId="5AB4E299" w:rsidR="008A0A9C" w:rsidRPr="000D772C" w:rsidRDefault="008A0A9C"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-2.6%</w:t>
            </w:r>
          </w:p>
        </w:tc>
        <w:tc>
          <w:tcPr>
            <w:tcW w:w="2567"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094B0A98" w14:textId="4EA49FD7"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682C6F">
              <w:rPr>
                <w:rFonts w:ascii="Verdana" w:eastAsia="Times New Roman" w:hAnsi="Verdana"/>
                <w:sz w:val="20"/>
                <w:szCs w:val="20"/>
              </w:rPr>
              <w:t>1</w:t>
            </w:r>
            <w:r>
              <w:rPr>
                <w:rFonts w:ascii="Verdana" w:eastAsia="Times New Roman" w:hAnsi="Verdana"/>
                <w:sz w:val="20"/>
                <w:szCs w:val="20"/>
              </w:rPr>
              <w:t xml:space="preserve">: </w:t>
            </w:r>
            <w:r w:rsidR="00682C6F">
              <w:rPr>
                <w:sz w:val="20"/>
                <w:szCs w:val="20"/>
              </w:rPr>
              <w:t>Twisted</w:t>
            </w:r>
            <w:r w:rsidR="00682C6F">
              <w:rPr>
                <w:rFonts w:ascii="Verdana" w:eastAsia="Times New Roman" w:hAnsi="Verdana"/>
                <w:sz w:val="20"/>
                <w:szCs w:val="20"/>
              </w:rPr>
              <w:t xml:space="preserve"> </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1EE22F6E" w14:textId="34FEC629"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$678.1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66424A01" w14:textId="00F72035"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+31.9%</w:t>
            </w:r>
          </w:p>
        </w:tc>
      </w:tr>
      <w:tr w:rsidR="008A0A9C" w:rsidRPr="000D772C" w14:paraId="6B5BB671" w14:textId="77777777" w:rsidTr="00863CB0">
        <w:trPr>
          <w:trHeight w:val="243"/>
          <w:jc w:val="center"/>
        </w:trPr>
        <w:tc>
          <w:tcPr>
            <w:tcW w:w="2563" w:type="dxa"/>
            <w:tcBorders>
              <w:top w:val="single" w:sz="4" w:space="0" w:color="auto"/>
              <w:left w:val="single" w:sz="12" w:space="0" w:color="000000"/>
              <w:bottom w:val="single" w:sz="4" w:space="0" w:color="000000"/>
              <w:right w:val="single" w:sz="12" w:space="0" w:color="0070C0"/>
            </w:tcBorders>
            <w:vAlign w:val="center"/>
          </w:tcPr>
          <w:p w14:paraId="4E3F2DC5"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 xml:space="preserve">#2: </w:t>
            </w:r>
            <w:r>
              <w:rPr>
                <w:rFonts w:ascii="Verdana" w:eastAsia="Times New Roman" w:hAnsi="Verdana"/>
                <w:sz w:val="20"/>
                <w:szCs w:val="20"/>
              </w:rPr>
              <w:t>Truly</w:t>
            </w:r>
          </w:p>
        </w:tc>
        <w:tc>
          <w:tcPr>
            <w:tcW w:w="1267" w:type="dxa"/>
            <w:tcBorders>
              <w:top w:val="single" w:sz="4" w:space="0" w:color="auto"/>
              <w:left w:val="single" w:sz="12" w:space="0" w:color="0070C0"/>
              <w:bottom w:val="single" w:sz="4" w:space="0" w:color="000000"/>
              <w:right w:val="single" w:sz="8" w:space="0" w:color="0070C0"/>
            </w:tcBorders>
            <w:vAlign w:val="center"/>
          </w:tcPr>
          <w:p w14:paraId="68CBAC44" w14:textId="1A7DF1BB" w:rsidR="008A0A9C" w:rsidRPr="000D772C" w:rsidRDefault="008A0A9C"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$1.26 B</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89C9467" w14:textId="6C47E7DA" w:rsidR="008A0A9C" w:rsidRPr="000D772C" w:rsidRDefault="008A0A9C"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+35.6%</w:t>
            </w:r>
          </w:p>
        </w:tc>
        <w:tc>
          <w:tcPr>
            <w:tcW w:w="256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9F61C3E" w14:textId="2384CEC3"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682C6F">
              <w:rPr>
                <w:rFonts w:ascii="Verdana" w:eastAsia="Times New Roman" w:hAnsi="Verdana"/>
                <w:sz w:val="20"/>
                <w:szCs w:val="20"/>
              </w:rPr>
              <w:t>2</w:t>
            </w:r>
            <w:r>
              <w:rPr>
                <w:rFonts w:ascii="Verdana" w:eastAsia="Times New Roman" w:hAnsi="Verdana"/>
                <w:sz w:val="20"/>
                <w:szCs w:val="20"/>
              </w:rPr>
              <w:t xml:space="preserve">: </w:t>
            </w:r>
            <w:r w:rsidR="00682C6F">
              <w:rPr>
                <w:sz w:val="20"/>
                <w:szCs w:val="20"/>
              </w:rPr>
              <w:t>Smirnoff</w:t>
            </w:r>
            <w:r w:rsidR="00682C6F">
              <w:rPr>
                <w:rFonts w:ascii="Verdana" w:eastAsia="Times New Roman" w:hAnsi="Verdana"/>
                <w:sz w:val="20"/>
                <w:szCs w:val="20"/>
              </w:rPr>
              <w:t xml:space="preserve"> </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1A654C8" w14:textId="306AAF07"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$474.1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50F69D3" w14:textId="6ACDAAAB"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r>
      <w:tr w:rsidR="008A0A9C" w:rsidRPr="000D772C" w14:paraId="4A4D8535" w14:textId="77777777" w:rsidTr="00863CB0">
        <w:trPr>
          <w:trHeight w:val="243"/>
          <w:jc w:val="center"/>
        </w:trPr>
        <w:tc>
          <w:tcPr>
            <w:tcW w:w="2563" w:type="dxa"/>
            <w:tcBorders>
              <w:top w:val="single" w:sz="4" w:space="0" w:color="auto"/>
              <w:left w:val="single" w:sz="12" w:space="0" w:color="000000"/>
              <w:bottom w:val="single" w:sz="4" w:space="0" w:color="000000"/>
              <w:right w:val="single" w:sz="12" w:space="0" w:color="0070C0"/>
            </w:tcBorders>
            <w:vAlign w:val="center"/>
          </w:tcPr>
          <w:p w14:paraId="3872F161" w14:textId="0AA314B4"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00682C6F">
              <w:rPr>
                <w:rFonts w:ascii="Verdana" w:eastAsia="Times New Roman" w:hAnsi="Verdana"/>
                <w:sz w:val="20"/>
                <w:szCs w:val="20"/>
              </w:rPr>
              <w:t>Bud Light</w:t>
            </w:r>
          </w:p>
        </w:tc>
        <w:tc>
          <w:tcPr>
            <w:tcW w:w="1267" w:type="dxa"/>
            <w:tcBorders>
              <w:top w:val="single" w:sz="4" w:space="0" w:color="auto"/>
              <w:left w:val="single" w:sz="12" w:space="0" w:color="0070C0"/>
              <w:bottom w:val="single" w:sz="4" w:space="0" w:color="000000"/>
              <w:right w:val="single" w:sz="8" w:space="0" w:color="0070C0"/>
            </w:tcBorders>
            <w:vAlign w:val="center"/>
          </w:tcPr>
          <w:p w14:paraId="2CA2F879" w14:textId="65CE9771"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$407.6 M</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0322F275" w14:textId="6E7B95EF"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+8.1%</w:t>
            </w:r>
          </w:p>
        </w:tc>
        <w:tc>
          <w:tcPr>
            <w:tcW w:w="256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EBC2454" w14:textId="39543921"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682C6F">
              <w:rPr>
                <w:rFonts w:ascii="Verdana" w:eastAsia="Times New Roman" w:hAnsi="Verdana"/>
                <w:sz w:val="20"/>
                <w:szCs w:val="20"/>
              </w:rPr>
              <w:t>3</w:t>
            </w:r>
            <w:r>
              <w:rPr>
                <w:rFonts w:ascii="Verdana" w:eastAsia="Times New Roman" w:hAnsi="Verdana"/>
                <w:sz w:val="20"/>
                <w:szCs w:val="20"/>
              </w:rPr>
              <w:t xml:space="preserve">: </w:t>
            </w:r>
            <w:r w:rsidR="00682C6F">
              <w:rPr>
                <w:rFonts w:ascii="Verdana" w:eastAsia="Times New Roman" w:hAnsi="Verdana"/>
                <w:sz w:val="20"/>
                <w:szCs w:val="20"/>
              </w:rPr>
              <w:t>Mike’s Harder</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42CAA2B4" w14:textId="3005DA86"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$420.2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2D0AB6E" w14:textId="757B00B2"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w:t>
            </w:r>
          </w:p>
        </w:tc>
      </w:tr>
      <w:tr w:rsidR="008A0A9C" w:rsidRPr="000D772C" w14:paraId="416873D7" w14:textId="77777777" w:rsidTr="00863CB0">
        <w:trPr>
          <w:trHeight w:val="243"/>
          <w:jc w:val="center"/>
        </w:trPr>
        <w:tc>
          <w:tcPr>
            <w:tcW w:w="2563" w:type="dxa"/>
            <w:tcBorders>
              <w:top w:val="single" w:sz="4" w:space="0" w:color="auto"/>
              <w:left w:val="single" w:sz="12" w:space="0" w:color="000000"/>
              <w:bottom w:val="single" w:sz="4" w:space="0" w:color="000000"/>
              <w:right w:val="single" w:sz="12" w:space="0" w:color="0070C0"/>
            </w:tcBorders>
            <w:vAlign w:val="center"/>
          </w:tcPr>
          <w:p w14:paraId="1AFC31F9" w14:textId="77DF2EB9"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sz w:val="20"/>
                <w:szCs w:val="20"/>
              </w:rPr>
              <w:t xml:space="preserve">#4: </w:t>
            </w:r>
            <w:r w:rsidR="00682C6F">
              <w:rPr>
                <w:sz w:val="20"/>
                <w:szCs w:val="20"/>
              </w:rPr>
              <w:t>Corona</w:t>
            </w:r>
          </w:p>
        </w:tc>
        <w:tc>
          <w:tcPr>
            <w:tcW w:w="1267" w:type="dxa"/>
            <w:tcBorders>
              <w:top w:val="single" w:sz="4" w:space="0" w:color="auto"/>
              <w:left w:val="single" w:sz="12" w:space="0" w:color="0070C0"/>
              <w:bottom w:val="single" w:sz="4" w:space="0" w:color="000000"/>
              <w:right w:val="single" w:sz="8" w:space="0" w:color="0070C0"/>
            </w:tcBorders>
            <w:vAlign w:val="center"/>
          </w:tcPr>
          <w:p w14:paraId="5815F0A0" w14:textId="30687853"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$143.4 M</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5CBD1BCA" w14:textId="092D4CF3"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-14.5%</w:t>
            </w:r>
          </w:p>
        </w:tc>
        <w:tc>
          <w:tcPr>
            <w:tcW w:w="256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DE00346" w14:textId="5E119229"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682C6F">
              <w:rPr>
                <w:rFonts w:ascii="Verdana" w:eastAsia="Times New Roman" w:hAnsi="Verdana"/>
                <w:sz w:val="20"/>
                <w:szCs w:val="20"/>
              </w:rPr>
              <w:t>4</w:t>
            </w:r>
            <w:r>
              <w:rPr>
                <w:rFonts w:ascii="Verdana" w:eastAsia="Times New Roman" w:hAnsi="Verdana"/>
                <w:sz w:val="20"/>
                <w:szCs w:val="20"/>
              </w:rPr>
              <w:t xml:space="preserve">: </w:t>
            </w:r>
            <w:r w:rsidR="00682C6F">
              <w:rPr>
                <w:rFonts w:ascii="Verdana" w:eastAsia="Times New Roman" w:hAnsi="Verdana"/>
                <w:sz w:val="20"/>
                <w:szCs w:val="20"/>
              </w:rPr>
              <w:t>Mike’s Hard</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5EA8E09" w14:textId="2CEAF2F4"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$314.9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4257E7E7" w14:textId="357C1741"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w:t>
            </w:r>
          </w:p>
        </w:tc>
      </w:tr>
      <w:tr w:rsidR="008A0A9C" w:rsidRPr="000D772C" w14:paraId="3AF027DD" w14:textId="77777777" w:rsidTr="00863CB0">
        <w:trPr>
          <w:trHeight w:val="243"/>
          <w:jc w:val="center"/>
        </w:trPr>
        <w:tc>
          <w:tcPr>
            <w:tcW w:w="2563" w:type="dxa"/>
            <w:tcBorders>
              <w:top w:val="single" w:sz="4" w:space="0" w:color="auto"/>
              <w:left w:val="single" w:sz="12" w:space="0" w:color="000000"/>
              <w:bottom w:val="single" w:sz="4" w:space="0" w:color="000000"/>
              <w:right w:val="single" w:sz="12" w:space="0" w:color="0070C0"/>
            </w:tcBorders>
            <w:vAlign w:val="center"/>
          </w:tcPr>
          <w:p w14:paraId="5F30E0A9" w14:textId="5B59AE79"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00682C6F">
              <w:rPr>
                <w:rFonts w:ascii="Verdana" w:eastAsia="Times New Roman" w:hAnsi="Verdana"/>
                <w:sz w:val="20"/>
                <w:szCs w:val="20"/>
              </w:rPr>
              <w:t>Vizzy</w:t>
            </w:r>
          </w:p>
        </w:tc>
        <w:tc>
          <w:tcPr>
            <w:tcW w:w="1267" w:type="dxa"/>
            <w:tcBorders>
              <w:top w:val="single" w:sz="4" w:space="0" w:color="auto"/>
              <w:left w:val="single" w:sz="12" w:space="0" w:color="0070C0"/>
              <w:bottom w:val="single" w:sz="4" w:space="0" w:color="000000"/>
              <w:right w:val="single" w:sz="8" w:space="0" w:color="0070C0"/>
            </w:tcBorders>
            <w:vAlign w:val="center"/>
          </w:tcPr>
          <w:p w14:paraId="7127A043" w14:textId="230EEADB"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$139.5 M</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183C279F" w14:textId="5D84F64B"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sz w:val="20"/>
                <w:szCs w:val="20"/>
              </w:rPr>
              <w:t>+87.9%</w:t>
            </w:r>
          </w:p>
        </w:tc>
        <w:tc>
          <w:tcPr>
            <w:tcW w:w="256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6C8CD36" w14:textId="1A87467B"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682C6F">
              <w:rPr>
                <w:rFonts w:ascii="Verdana" w:eastAsia="Times New Roman" w:hAnsi="Verdana"/>
                <w:sz w:val="20"/>
                <w:szCs w:val="20"/>
              </w:rPr>
              <w:t>5</w:t>
            </w:r>
            <w:r>
              <w:rPr>
                <w:rFonts w:ascii="Verdana" w:eastAsia="Times New Roman" w:hAnsi="Verdana"/>
                <w:sz w:val="20"/>
                <w:szCs w:val="20"/>
              </w:rPr>
              <w:t xml:space="preserve">: </w:t>
            </w:r>
            <w:r w:rsidR="00682C6F">
              <w:rPr>
                <w:rFonts w:ascii="Verdana" w:eastAsia="Times New Roman" w:hAnsi="Verdana"/>
                <w:sz w:val="20"/>
                <w:szCs w:val="20"/>
              </w:rPr>
              <w:t xml:space="preserve">Seagrams Escapes </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0757146" w14:textId="7D3D5584"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$205.4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64877068" w14:textId="36124020"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w:t>
            </w:r>
          </w:p>
        </w:tc>
      </w:tr>
      <w:tr w:rsidR="008A0A9C" w:rsidRPr="000D772C" w14:paraId="5739C465" w14:textId="77777777" w:rsidTr="00863CB0">
        <w:trPr>
          <w:trHeight w:val="243"/>
          <w:jc w:val="center"/>
        </w:trPr>
        <w:tc>
          <w:tcPr>
            <w:tcW w:w="2563" w:type="dxa"/>
            <w:tcBorders>
              <w:top w:val="single" w:sz="4" w:space="0" w:color="000000"/>
              <w:left w:val="single" w:sz="12" w:space="0" w:color="000000"/>
              <w:bottom w:val="single" w:sz="12" w:space="0" w:color="000000"/>
              <w:right w:val="single" w:sz="12" w:space="0" w:color="0070C0"/>
            </w:tcBorders>
            <w:shd w:val="clear" w:color="auto" w:fill="D9D9D9" w:themeFill="background1" w:themeFillShade="D9"/>
            <w:vAlign w:val="center"/>
          </w:tcPr>
          <w:p w14:paraId="2A361A36" w14:textId="0C7BC929" w:rsidR="008A0A9C" w:rsidRPr="000D772C" w:rsidRDefault="00682C6F"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Total</w:t>
            </w:r>
            <w:r w:rsidRPr="000D772C">
              <w:rPr>
                <w:rFonts w:ascii="Verdana" w:hAnsi="Verdana"/>
                <w:sz w:val="20"/>
                <w:szCs w:val="20"/>
              </w:rPr>
              <w:t>†</w:t>
            </w: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vAlign w:val="center"/>
          </w:tcPr>
          <w:p w14:paraId="789843AF" w14:textId="2E66C504"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$4.57 B</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04698804" w14:textId="26A88E37"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+16.8%</w:t>
            </w:r>
          </w:p>
        </w:tc>
        <w:tc>
          <w:tcPr>
            <w:tcW w:w="2567" w:type="dxa"/>
            <w:tcBorders>
              <w:top w:val="single" w:sz="4" w:space="0" w:color="000000"/>
              <w:left w:val="single" w:sz="18" w:space="0" w:color="0070C0"/>
              <w:bottom w:val="single" w:sz="12" w:space="0" w:color="000000"/>
              <w:right w:val="single" w:sz="12" w:space="0" w:color="0070C0"/>
            </w:tcBorders>
            <w:shd w:val="clear" w:color="auto" w:fill="DBE5F1" w:themeFill="accent1" w:themeFillTint="33"/>
            <w:vAlign w:val="center"/>
          </w:tcPr>
          <w:p w14:paraId="5F93A33F" w14:textId="77777777" w:rsidR="008A0A9C" w:rsidRPr="000D772C" w:rsidRDefault="008A0A9C"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0D772C">
              <w:rPr>
                <w:sz w:val="20"/>
                <w:szCs w:val="20"/>
              </w:rPr>
              <w:t>Total</w:t>
            </w:r>
            <w:r w:rsidRPr="000D772C">
              <w:rPr>
                <w:rFonts w:ascii="Verdana" w:hAnsi="Verdana"/>
                <w:sz w:val="20"/>
                <w:szCs w:val="20"/>
              </w:rPr>
              <w:t>†</w:t>
            </w:r>
          </w:p>
        </w:tc>
        <w:tc>
          <w:tcPr>
            <w:tcW w:w="1267" w:type="dxa"/>
            <w:tcBorders>
              <w:top w:val="single" w:sz="4" w:space="0" w:color="000000"/>
              <w:left w:val="single" w:sz="12" w:space="0" w:color="0070C0"/>
              <w:bottom w:val="single" w:sz="12" w:space="0" w:color="000000"/>
              <w:right w:val="single" w:sz="8" w:space="0" w:color="0070C0"/>
            </w:tcBorders>
            <w:shd w:val="clear" w:color="auto" w:fill="DBE5F1" w:themeFill="accent1" w:themeFillTint="33"/>
            <w:vAlign w:val="center"/>
          </w:tcPr>
          <w:p w14:paraId="3DEA7EA7" w14:textId="264B4B76"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$3.19 B</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6809B38B" w14:textId="60C3A69F" w:rsidR="008A0A9C" w:rsidRPr="000D772C" w:rsidRDefault="00682C6F"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r>
    </w:tbl>
    <w:p w14:paraId="5E303BEB" w14:textId="6E379C2C" w:rsidR="008A0A9C" w:rsidRDefault="008A0A9C" w:rsidP="00682C6F">
      <w:pPr>
        <w:spacing w:after="0" w:line="240" w:lineRule="auto"/>
        <w:contextualSpacing/>
        <w:mirrorIndents/>
        <w:rPr>
          <w:rFonts w:ascii="Verdana" w:hAnsi="Verdana"/>
          <w:sz w:val="20"/>
          <w:szCs w:val="20"/>
        </w:rPr>
      </w:pPr>
      <w:r w:rsidRPr="000D772C">
        <w:rPr>
          <w:i/>
          <w:sz w:val="16"/>
          <w:szCs w:val="16"/>
        </w:rPr>
        <w:t>Beverage Industry</w:t>
      </w:r>
      <w:r w:rsidRPr="000D772C">
        <w:rPr>
          <w:sz w:val="16"/>
          <w:szCs w:val="16"/>
        </w:rPr>
        <w:t xml:space="preserve"> (IRI), March 202</w:t>
      </w:r>
      <w:r>
        <w:rPr>
          <w:sz w:val="16"/>
          <w:szCs w:val="16"/>
        </w:rPr>
        <w:t>1</w:t>
      </w:r>
      <w:r w:rsidRPr="000D772C">
        <w:rPr>
          <w:sz w:val="16"/>
          <w:szCs w:val="16"/>
        </w:rPr>
        <w:tab/>
        <w:t>*52 weeks ending December 2</w:t>
      </w:r>
      <w:r w:rsidR="00682C6F">
        <w:rPr>
          <w:sz w:val="16"/>
          <w:szCs w:val="16"/>
        </w:rPr>
        <w:t>6</w:t>
      </w:r>
      <w:r w:rsidRPr="000D772C">
        <w:rPr>
          <w:sz w:val="16"/>
          <w:szCs w:val="16"/>
        </w:rPr>
        <w:t>, 20</w:t>
      </w:r>
      <w:r>
        <w:rPr>
          <w:sz w:val="16"/>
          <w:szCs w:val="16"/>
        </w:rPr>
        <w:t>2</w:t>
      </w:r>
      <w:r w:rsidR="00682C6F">
        <w:rPr>
          <w:sz w:val="16"/>
          <w:szCs w:val="16"/>
        </w:rPr>
        <w:t>1</w:t>
      </w:r>
      <w:r w:rsidRPr="000D772C">
        <w:rPr>
          <w:sz w:val="16"/>
          <w:szCs w:val="16"/>
        </w:rPr>
        <w:t xml:space="preserve">      </w:t>
      </w:r>
      <w:r w:rsidRPr="000D772C">
        <w:rPr>
          <w:rFonts w:ascii="Verdana" w:hAnsi="Verdana"/>
          <w:sz w:val="16"/>
          <w:szCs w:val="16"/>
        </w:rPr>
        <w:t>†includes brands not listed</w:t>
      </w:r>
    </w:p>
    <w:p w14:paraId="3881209D" w14:textId="77777777" w:rsidR="009E4880" w:rsidRPr="00FA004B" w:rsidRDefault="009E4880" w:rsidP="00FA004B">
      <w:pPr>
        <w:spacing w:after="0" w:line="240" w:lineRule="auto"/>
        <w:contextualSpacing/>
        <w:mirrorIndents/>
        <w:jc w:val="center"/>
        <w:rPr>
          <w:rFonts w:ascii="Verdana" w:hAnsi="Verdana"/>
          <w:b/>
          <w:bCs/>
          <w:color w:val="0070C0"/>
          <w:sz w:val="20"/>
          <w:szCs w:val="20"/>
        </w:rPr>
      </w:pPr>
      <w:r w:rsidRPr="00FA004B">
        <w:rPr>
          <w:rFonts w:ascii="Verdana" w:hAnsi="Verdana"/>
          <w:b/>
          <w:bCs/>
          <w:color w:val="0070C0"/>
          <w:sz w:val="20"/>
          <w:szCs w:val="20"/>
        </w:rPr>
        <w:lastRenderedPageBreak/>
        <w:t>The Return of Entertainment Benefits On-Premise Sales</w:t>
      </w:r>
    </w:p>
    <w:p w14:paraId="4CCCFBC7" w14:textId="77777777" w:rsidR="009E4880" w:rsidRPr="009E4880" w:rsidRDefault="009E4880" w:rsidP="009E4880">
      <w:pPr>
        <w:spacing w:after="0" w:line="240" w:lineRule="auto"/>
        <w:contextualSpacing/>
        <w:mirrorIndents/>
        <w:rPr>
          <w:rFonts w:ascii="Verdana" w:hAnsi="Verdana"/>
          <w:sz w:val="20"/>
          <w:szCs w:val="20"/>
        </w:rPr>
      </w:pPr>
    </w:p>
    <w:p w14:paraId="4BCA6715" w14:textId="3345F194" w:rsidR="00FA004B" w:rsidRDefault="00DE12F0" w:rsidP="009E4880">
      <w:pPr>
        <w:spacing w:after="0" w:line="240" w:lineRule="auto"/>
        <w:contextualSpacing/>
        <w:mirrorIndents/>
        <w:rPr>
          <w:rFonts w:ascii="Verdana" w:hAnsi="Verdana"/>
          <w:sz w:val="20"/>
          <w:szCs w:val="20"/>
        </w:rPr>
      </w:pPr>
      <w:r>
        <w:rPr>
          <w:rFonts w:ascii="Verdana" w:hAnsi="Verdana"/>
          <w:sz w:val="20"/>
          <w:szCs w:val="20"/>
        </w:rPr>
        <w:t xml:space="preserve">CGA Strategy reported “value velocity” </w:t>
      </w:r>
      <w:r w:rsidR="00FF635A">
        <w:rPr>
          <w:rFonts w:ascii="Verdana" w:hAnsi="Verdana"/>
          <w:sz w:val="20"/>
          <w:szCs w:val="20"/>
        </w:rPr>
        <w:t xml:space="preserve">of alcoholic beverages sales at on-premise establishments </w:t>
      </w:r>
      <w:r>
        <w:rPr>
          <w:rFonts w:ascii="Verdana" w:hAnsi="Verdana"/>
          <w:sz w:val="20"/>
          <w:szCs w:val="20"/>
        </w:rPr>
        <w:t>in the five states it measures (California, Florida, Illinois</w:t>
      </w:r>
      <w:r w:rsidR="00FF635A">
        <w:rPr>
          <w:rFonts w:ascii="Verdana" w:hAnsi="Verdana"/>
          <w:sz w:val="20"/>
          <w:szCs w:val="20"/>
        </w:rPr>
        <w:t xml:space="preserve">, New York and Texas) </w:t>
      </w:r>
      <w:r>
        <w:rPr>
          <w:rFonts w:ascii="Verdana" w:hAnsi="Verdana"/>
          <w:sz w:val="20"/>
          <w:szCs w:val="20"/>
        </w:rPr>
        <w:t>increased by 1</w:t>
      </w:r>
      <w:r w:rsidR="00FF635A">
        <w:rPr>
          <w:rFonts w:ascii="Verdana" w:hAnsi="Verdana"/>
          <w:sz w:val="20"/>
          <w:szCs w:val="20"/>
        </w:rPr>
        <w:t>6</w:t>
      </w:r>
      <w:r>
        <w:rPr>
          <w:rFonts w:ascii="Verdana" w:hAnsi="Verdana"/>
          <w:sz w:val="20"/>
          <w:szCs w:val="20"/>
        </w:rPr>
        <w:t>% for the week of 4/9/21</w:t>
      </w:r>
      <w:r w:rsidR="00FF635A">
        <w:rPr>
          <w:rFonts w:ascii="Verdana" w:hAnsi="Verdana"/>
          <w:sz w:val="20"/>
          <w:szCs w:val="20"/>
        </w:rPr>
        <w:t xml:space="preserve"> and the check value increased by 13%.</w:t>
      </w:r>
    </w:p>
    <w:p w14:paraId="1D518C11" w14:textId="5C771EB9" w:rsidR="00FF635A" w:rsidRDefault="00FF635A" w:rsidP="009E4880">
      <w:pPr>
        <w:spacing w:after="0" w:line="240" w:lineRule="auto"/>
        <w:contextualSpacing/>
        <w:mirrorIndents/>
        <w:rPr>
          <w:rFonts w:ascii="Verdana" w:hAnsi="Verdana"/>
          <w:sz w:val="20"/>
          <w:szCs w:val="20"/>
        </w:rPr>
      </w:pPr>
    </w:p>
    <w:p w14:paraId="60E28209" w14:textId="4F714359" w:rsidR="00FF635A" w:rsidRDefault="00374235" w:rsidP="009E4880">
      <w:pPr>
        <w:spacing w:after="0" w:line="240" w:lineRule="auto"/>
        <w:contextualSpacing/>
        <w:mirrorIndents/>
        <w:rPr>
          <w:rFonts w:ascii="Verdana" w:hAnsi="Verdana"/>
          <w:sz w:val="20"/>
          <w:szCs w:val="20"/>
        </w:rPr>
      </w:pPr>
      <w:r>
        <w:rPr>
          <w:rFonts w:ascii="Verdana" w:hAnsi="Verdana"/>
          <w:sz w:val="20"/>
          <w:szCs w:val="20"/>
        </w:rPr>
        <w:t>Analysis of five representative 2021 consumer/market surveys conducted by The Media Audit</w:t>
      </w:r>
      <w:r w:rsidR="003C5E61">
        <w:rPr>
          <w:rFonts w:ascii="Verdana" w:hAnsi="Verdana"/>
          <w:sz w:val="20"/>
          <w:szCs w:val="20"/>
        </w:rPr>
        <w:t xml:space="preserve"> found the average age of adults 18+ who visited a bar or nightclub during the past four weeks was 44.1 and their average household income was $72,800.</w:t>
      </w:r>
    </w:p>
    <w:p w14:paraId="47317E1B" w14:textId="50BFA44E" w:rsidR="003C5E61" w:rsidRDefault="003C5E61" w:rsidP="009E4880">
      <w:pPr>
        <w:spacing w:after="0" w:line="240" w:lineRule="auto"/>
        <w:contextualSpacing/>
        <w:mirrorIndents/>
        <w:rPr>
          <w:rFonts w:ascii="Verdana" w:hAnsi="Verdana"/>
          <w:sz w:val="20"/>
          <w:szCs w:val="20"/>
        </w:rPr>
      </w:pPr>
    </w:p>
    <w:p w14:paraId="630F1DA6" w14:textId="5FB10748" w:rsidR="003C5E61" w:rsidRDefault="003C5E61" w:rsidP="009E4880">
      <w:pPr>
        <w:spacing w:after="0" w:line="240" w:lineRule="auto"/>
        <w:contextualSpacing/>
        <w:mirrorIndents/>
        <w:rPr>
          <w:rFonts w:ascii="Verdana" w:hAnsi="Verdana"/>
          <w:sz w:val="20"/>
          <w:szCs w:val="20"/>
        </w:rPr>
      </w:pPr>
      <w:r>
        <w:rPr>
          <w:rFonts w:ascii="Verdana" w:hAnsi="Verdana"/>
          <w:sz w:val="20"/>
          <w:szCs w:val="20"/>
        </w:rPr>
        <w:t>Unsurprisingly, Gen Z adults over-indexed the most, on average, for visiting a bar or nightclub at 145</w:t>
      </w:r>
      <w:r w:rsidR="00760E95">
        <w:rPr>
          <w:rFonts w:ascii="Verdana" w:hAnsi="Verdana"/>
          <w:sz w:val="20"/>
          <w:szCs w:val="20"/>
        </w:rPr>
        <w:t xml:space="preserve"> and</w:t>
      </w:r>
      <w:r>
        <w:rPr>
          <w:rFonts w:ascii="Verdana" w:hAnsi="Verdana"/>
          <w:sz w:val="20"/>
          <w:szCs w:val="20"/>
        </w:rPr>
        <w:t xml:space="preserve"> Millennials second at an average of 113</w:t>
      </w:r>
      <w:r w:rsidR="00760E95">
        <w:rPr>
          <w:rFonts w:ascii="Verdana" w:hAnsi="Verdana"/>
          <w:sz w:val="20"/>
          <w:szCs w:val="20"/>
        </w:rPr>
        <w:t>.</w:t>
      </w:r>
    </w:p>
    <w:p w14:paraId="1773BE24" w14:textId="2EC62177" w:rsidR="00FA004B" w:rsidRDefault="00FA004B" w:rsidP="009E4880">
      <w:pPr>
        <w:spacing w:after="0" w:line="240" w:lineRule="auto"/>
        <w:contextualSpacing/>
        <w:mirrorIndents/>
        <w:rPr>
          <w:rFonts w:ascii="Verdana" w:hAnsi="Verdana"/>
          <w:sz w:val="20"/>
          <w:szCs w:val="20"/>
        </w:rPr>
      </w:pPr>
    </w:p>
    <w:p w14:paraId="4424A298" w14:textId="77777777" w:rsidR="001A27DD" w:rsidRDefault="001A27DD" w:rsidP="001A27DD">
      <w:pPr>
        <w:spacing w:after="0" w:line="240" w:lineRule="auto"/>
        <w:contextualSpacing/>
        <w:mirrorIndents/>
        <w:jc w:val="center"/>
        <w:rPr>
          <w:b/>
          <w:bCs/>
          <w:sz w:val="20"/>
          <w:szCs w:val="20"/>
        </w:rPr>
      </w:pPr>
      <w:r>
        <w:rPr>
          <w:b/>
          <w:bCs/>
          <w:sz w:val="20"/>
          <w:szCs w:val="20"/>
        </w:rPr>
        <w:t xml:space="preserve">Indices of Adults 18+ Who Visited a Bar or Nightclub* by Their </w:t>
      </w:r>
    </w:p>
    <w:p w14:paraId="5BFE88EC" w14:textId="4ED7A75E" w:rsidR="00AF2C75" w:rsidRPr="005D1511" w:rsidRDefault="001A27DD" w:rsidP="00AF2C75">
      <w:pPr>
        <w:spacing w:after="0" w:line="240" w:lineRule="auto"/>
        <w:contextualSpacing/>
        <w:mirrorIndents/>
        <w:jc w:val="center"/>
        <w:rPr>
          <w:b/>
          <w:bCs/>
          <w:sz w:val="20"/>
          <w:szCs w:val="20"/>
        </w:rPr>
      </w:pPr>
      <w:r>
        <w:rPr>
          <w:b/>
          <w:bCs/>
          <w:sz w:val="20"/>
          <w:szCs w:val="20"/>
        </w:rPr>
        <w:t>Attendance at Selected Events and Venues, in Selected Markets</w:t>
      </w:r>
      <w:r w:rsidRPr="005D1511">
        <w:rPr>
          <w:b/>
          <w:bCs/>
          <w:sz w:val="20"/>
          <w:szCs w:val="20"/>
        </w:rPr>
        <w:t>, 202</w:t>
      </w:r>
      <w:r>
        <w:rPr>
          <w:b/>
          <w:bCs/>
          <w:sz w:val="20"/>
          <w:szCs w:val="20"/>
        </w:rPr>
        <w:t>1</w:t>
      </w:r>
    </w:p>
    <w:tbl>
      <w:tblPr>
        <w:tblW w:w="1092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443"/>
        <w:gridCol w:w="1492"/>
        <w:gridCol w:w="1498"/>
        <w:gridCol w:w="1498"/>
        <w:gridCol w:w="1498"/>
        <w:gridCol w:w="1498"/>
      </w:tblGrid>
      <w:tr w:rsidR="001A27DD" w:rsidRPr="005D1511" w14:paraId="78E91EB8" w14:textId="77777777" w:rsidTr="00863CB0">
        <w:trPr>
          <w:jc w:val="center"/>
        </w:trPr>
        <w:tc>
          <w:tcPr>
            <w:tcW w:w="344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753B9B7" w14:textId="50C60AAE" w:rsidR="001A27DD" w:rsidRPr="004815C1" w:rsidRDefault="001A27DD" w:rsidP="00863CB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Event/Venue</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2085F72" w14:textId="23D1AED8" w:rsidR="001A27DD" w:rsidRPr="004815C1" w:rsidRDefault="001A27DD" w:rsidP="00863CB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6427A92" w14:textId="36C1D385" w:rsidR="001A27DD" w:rsidRPr="004815C1" w:rsidRDefault="001A27DD" w:rsidP="00863CB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Pittsburgh</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F650AEE" w14:textId="61205477" w:rsidR="001A27DD" w:rsidRPr="004815C1" w:rsidRDefault="001A27DD" w:rsidP="00863CB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26128C6" w14:textId="559E6C4D" w:rsidR="001A27DD" w:rsidRPr="004815C1" w:rsidRDefault="001A27DD" w:rsidP="00863CB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4660561" w14:textId="08505CA4" w:rsidR="001A27DD" w:rsidRPr="004815C1" w:rsidRDefault="001A27DD" w:rsidP="00863CB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D03B7C" w:rsidRPr="005D1511" w14:paraId="32165EF2" w14:textId="77777777" w:rsidTr="00D03B7C">
        <w:tblPrEx>
          <w:tblBorders>
            <w:top w:val="none" w:sz="0" w:space="0" w:color="auto"/>
          </w:tblBorders>
        </w:tblPrEx>
        <w:trPr>
          <w:jc w:val="center"/>
        </w:trPr>
        <w:tc>
          <w:tcPr>
            <w:tcW w:w="344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24C79CC" w14:textId="7DB532A3" w:rsidR="001A27DD" w:rsidRPr="004815C1" w:rsidRDefault="00AF2C7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Mov</w:t>
            </w:r>
            <w:r w:rsidR="00F33BD5">
              <w:rPr>
                <w:rFonts w:ascii="Verdana" w:eastAsia="Times New Roman" w:hAnsi="Verdana"/>
                <w:sz w:val="20"/>
                <w:szCs w:val="20"/>
              </w:rPr>
              <w:t>i</w:t>
            </w:r>
            <w:r>
              <w:rPr>
                <w:rFonts w:ascii="Verdana" w:eastAsia="Times New Roman" w:hAnsi="Verdana"/>
                <w:sz w:val="20"/>
                <w:szCs w:val="20"/>
              </w:rPr>
              <w:t>e theater*</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6AE951D0" w14:textId="1637C690"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3F47613" w14:textId="1C561DD1"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190</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46284C1" w14:textId="109B394E"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728BAF62" w14:textId="755307E0" w:rsidR="001A27DD" w:rsidRPr="00F678A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168</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73D4498B" w14:textId="5C718A75" w:rsidR="001A27DD" w:rsidRPr="004815C1" w:rsidRDefault="00AF2C75"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214</w:t>
            </w:r>
          </w:p>
        </w:tc>
      </w:tr>
      <w:tr w:rsidR="00D03B7C" w:rsidRPr="005D1511" w14:paraId="3DDEA2A5" w14:textId="77777777" w:rsidTr="00D03B7C">
        <w:tblPrEx>
          <w:tblBorders>
            <w:top w:val="none" w:sz="0" w:space="0" w:color="auto"/>
          </w:tblBorders>
        </w:tblPrEx>
        <w:trPr>
          <w:jc w:val="center"/>
        </w:trPr>
        <w:tc>
          <w:tcPr>
            <w:tcW w:w="34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F4530B9" w14:textId="0C3F3CBF" w:rsidR="001A27DD" w:rsidRPr="004815C1" w:rsidRDefault="00AF2C7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Country music concert†</w:t>
            </w:r>
          </w:p>
        </w:tc>
        <w:tc>
          <w:tcPr>
            <w:tcW w:w="1492"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3C6AF5A2" w14:textId="242017E0"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E5E2C2E" w14:textId="2C29FD9A"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378</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DD1C2DE" w14:textId="52CD16E3"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32D96B0" w14:textId="17001518"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232</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66FAC82F" w14:textId="356DAB03" w:rsidR="001A27DD" w:rsidRPr="00B00624"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669</w:t>
            </w:r>
          </w:p>
        </w:tc>
      </w:tr>
      <w:tr w:rsidR="001A27DD" w:rsidRPr="005D1511" w14:paraId="0F968B99" w14:textId="77777777" w:rsidTr="00D03B7C">
        <w:tblPrEx>
          <w:tblBorders>
            <w:top w:val="none" w:sz="0" w:space="0" w:color="auto"/>
          </w:tblBorders>
        </w:tblPrEx>
        <w:trPr>
          <w:jc w:val="center"/>
        </w:trPr>
        <w:tc>
          <w:tcPr>
            <w:tcW w:w="34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1E1D199" w14:textId="4DDEECD5" w:rsidR="001A27DD" w:rsidRPr="004815C1" w:rsidRDefault="00AF2C7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Rock/Pop music concert†</w:t>
            </w:r>
          </w:p>
        </w:tc>
        <w:tc>
          <w:tcPr>
            <w:tcW w:w="1492"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1F32A6F0" w14:textId="04D8A282"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53AFC2F" w14:textId="7A3819FB"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2E97D59" w14:textId="73A36A6C"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27ABD4A" w14:textId="285C6AA7"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176</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39BC8066" w14:textId="44BB1CCD" w:rsidR="001A27DD" w:rsidRPr="00B00624"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274</w:t>
            </w:r>
          </w:p>
        </w:tc>
      </w:tr>
      <w:tr w:rsidR="001A27DD" w:rsidRPr="005D1511" w14:paraId="7B2EB226" w14:textId="77777777" w:rsidTr="00D03B7C">
        <w:tblPrEx>
          <w:tblBorders>
            <w:top w:val="none" w:sz="0" w:space="0" w:color="auto"/>
          </w:tblBorders>
        </w:tblPrEx>
        <w:trPr>
          <w:jc w:val="center"/>
        </w:trPr>
        <w:tc>
          <w:tcPr>
            <w:tcW w:w="34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6E79187" w14:textId="415B186D" w:rsidR="001A27DD" w:rsidRPr="004815C1" w:rsidRDefault="00AF2C7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Opera/Symphony/Theater†</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CC6A2B7" w14:textId="708AB971"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B5D0294" w14:textId="249C9657"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189</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A388ECF" w14:textId="58E8B026"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6CB40AA" w14:textId="4CFAC75F"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2E7C8CB4" w14:textId="3D49199D" w:rsidR="001A27DD" w:rsidRPr="00B00624"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366</w:t>
            </w:r>
          </w:p>
        </w:tc>
      </w:tr>
      <w:tr w:rsidR="00D03B7C" w:rsidRPr="005D1511" w14:paraId="116FD64E" w14:textId="77777777" w:rsidTr="00D03B7C">
        <w:tblPrEx>
          <w:tblBorders>
            <w:top w:val="none" w:sz="0" w:space="0" w:color="auto"/>
          </w:tblBorders>
        </w:tblPrEx>
        <w:trPr>
          <w:jc w:val="center"/>
        </w:trPr>
        <w:tc>
          <w:tcPr>
            <w:tcW w:w="34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112592D" w14:textId="086B8485" w:rsidR="001A27DD" w:rsidRDefault="00AF2C7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Frequent restaurant diner‡</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7F3E6E4" w14:textId="150B7C18" w:rsidR="001A27DD"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2EDA6F9" w14:textId="63B66CE1" w:rsidR="001A27DD"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322B78BF" w14:textId="739B3521" w:rsidR="001A27DD"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60</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8C40C81" w14:textId="2B291C01" w:rsidR="001A27DD"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220</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242097E4" w14:textId="140EA113" w:rsidR="001A27DD"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191</w:t>
            </w:r>
          </w:p>
        </w:tc>
      </w:tr>
      <w:tr w:rsidR="00D03B7C" w:rsidRPr="005D1511" w14:paraId="634DEBFD" w14:textId="77777777" w:rsidTr="00D03B7C">
        <w:tblPrEx>
          <w:tblBorders>
            <w:top w:val="none" w:sz="0" w:space="0" w:color="auto"/>
          </w:tblBorders>
        </w:tblPrEx>
        <w:trPr>
          <w:jc w:val="center"/>
        </w:trPr>
        <w:tc>
          <w:tcPr>
            <w:tcW w:w="344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A7D24F6" w14:textId="346B7FE5" w:rsidR="001A27DD" w:rsidRPr="004815C1" w:rsidRDefault="00AF2C7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3+ college/professional games†</w:t>
            </w:r>
          </w:p>
        </w:tc>
        <w:tc>
          <w:tcPr>
            <w:tcW w:w="1492"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7DFFB4CD" w14:textId="7A624CC3"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214</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55C80898" w14:textId="481CA2D2"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290</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5FE8D40" w14:textId="61C2C9F1" w:rsidR="001A27DD" w:rsidRPr="00B00624"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230</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417DCEE1" w14:textId="31819123"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269</w:t>
            </w:r>
          </w:p>
        </w:tc>
        <w:tc>
          <w:tcPr>
            <w:tcW w:w="1498"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127666AE" w14:textId="338326FC" w:rsidR="001A27DD" w:rsidRPr="004815C1" w:rsidRDefault="00AF2C7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169</w:t>
            </w:r>
          </w:p>
        </w:tc>
      </w:tr>
    </w:tbl>
    <w:p w14:paraId="01FE9A77" w14:textId="67DCF39C" w:rsidR="003C5E61" w:rsidRPr="00AF2C75" w:rsidRDefault="001A27DD" w:rsidP="00AF2C75">
      <w:pPr>
        <w:spacing w:after="0" w:line="240" w:lineRule="auto"/>
        <w:ind w:hanging="810"/>
        <w:contextualSpacing/>
        <w:mirrorIndents/>
        <w:rPr>
          <w:rFonts w:ascii="Verdana" w:hAnsi="Verdana"/>
          <w:sz w:val="16"/>
          <w:szCs w:val="16"/>
        </w:rPr>
      </w:pPr>
      <w:r w:rsidRPr="00AF2C75">
        <w:rPr>
          <w:sz w:val="16"/>
          <w:szCs w:val="16"/>
        </w:rPr>
        <w:t xml:space="preserve">Based on The Media Audit’s 2021 surveys  </w:t>
      </w:r>
      <w:r w:rsidR="00AF2C75" w:rsidRPr="00AF2C75">
        <w:rPr>
          <w:sz w:val="16"/>
          <w:szCs w:val="16"/>
        </w:rPr>
        <w:t>*past 4 weeks</w:t>
      </w:r>
      <w:r w:rsidR="00AF2C75" w:rsidRPr="00AF2C75">
        <w:rPr>
          <w:sz w:val="16"/>
          <w:szCs w:val="16"/>
        </w:rPr>
        <w:tab/>
      </w:r>
      <w:r w:rsidR="00AF2C75" w:rsidRPr="00AF2C75">
        <w:rPr>
          <w:rFonts w:ascii="Verdana" w:eastAsia="Times New Roman" w:hAnsi="Verdana"/>
          <w:sz w:val="16"/>
          <w:szCs w:val="16"/>
        </w:rPr>
        <w:t>†</w:t>
      </w:r>
      <w:r w:rsidR="00AF2C75">
        <w:rPr>
          <w:rFonts w:ascii="Verdana" w:eastAsia="Times New Roman" w:hAnsi="Verdana"/>
          <w:sz w:val="16"/>
          <w:szCs w:val="16"/>
        </w:rPr>
        <w:t>past 12 months</w:t>
      </w:r>
      <w:r w:rsidR="00AF2C75" w:rsidRPr="00AF2C75">
        <w:rPr>
          <w:rFonts w:ascii="Verdana" w:eastAsia="Times New Roman" w:hAnsi="Verdana"/>
          <w:sz w:val="16"/>
          <w:szCs w:val="16"/>
        </w:rPr>
        <w:tab/>
        <w:t>‡</w:t>
      </w:r>
      <w:r w:rsidR="0085256C">
        <w:rPr>
          <w:rFonts w:ascii="Verdana" w:eastAsia="Times New Roman" w:hAnsi="Verdana"/>
          <w:sz w:val="16"/>
          <w:szCs w:val="16"/>
        </w:rPr>
        <w:t>4+ times during past 2 weeks</w:t>
      </w:r>
    </w:p>
    <w:p w14:paraId="6C9DBCB3" w14:textId="7A5D1F4D" w:rsidR="003C5E61" w:rsidRDefault="003C5E61" w:rsidP="009E4880">
      <w:pPr>
        <w:spacing w:after="0" w:line="240" w:lineRule="auto"/>
        <w:contextualSpacing/>
        <w:mirrorIndents/>
        <w:rPr>
          <w:rFonts w:ascii="Verdana" w:hAnsi="Verdana"/>
          <w:sz w:val="20"/>
          <w:szCs w:val="20"/>
        </w:rPr>
      </w:pPr>
    </w:p>
    <w:p w14:paraId="6EE3EBD7" w14:textId="2EE161DA" w:rsidR="009E4880" w:rsidRPr="00D63502" w:rsidRDefault="009E4880" w:rsidP="00D63502">
      <w:pPr>
        <w:spacing w:after="0" w:line="240" w:lineRule="auto"/>
        <w:contextualSpacing/>
        <w:mirrorIndents/>
        <w:jc w:val="center"/>
        <w:rPr>
          <w:rFonts w:ascii="Verdana" w:hAnsi="Verdana"/>
          <w:b/>
          <w:bCs/>
          <w:color w:val="0070C0"/>
          <w:sz w:val="20"/>
          <w:szCs w:val="20"/>
        </w:rPr>
      </w:pPr>
      <w:r w:rsidRPr="00D63502">
        <w:rPr>
          <w:rFonts w:ascii="Verdana" w:hAnsi="Verdana"/>
          <w:b/>
          <w:bCs/>
          <w:color w:val="0070C0"/>
          <w:sz w:val="20"/>
          <w:szCs w:val="20"/>
        </w:rPr>
        <w:t>Beer Drinkers’ Insights</w:t>
      </w:r>
    </w:p>
    <w:p w14:paraId="286AC9F6" w14:textId="77777777" w:rsidR="00F94CE8" w:rsidRPr="009E4880" w:rsidRDefault="00F94CE8" w:rsidP="009E4880">
      <w:pPr>
        <w:pStyle w:val="NoSpacing"/>
        <w:contextualSpacing/>
        <w:mirrorIndents/>
        <w:rPr>
          <w:rFonts w:ascii="Verdana" w:hAnsi="Verdana"/>
          <w:sz w:val="20"/>
          <w:szCs w:val="20"/>
        </w:rPr>
      </w:pPr>
    </w:p>
    <w:p w14:paraId="23D2BAA2" w14:textId="191DE5E5" w:rsidR="00F94CE8" w:rsidRPr="009E4880" w:rsidRDefault="00E30681" w:rsidP="009E4880">
      <w:pPr>
        <w:pStyle w:val="NoSpacing"/>
        <w:contextualSpacing/>
        <w:mirrorIndents/>
        <w:rPr>
          <w:rFonts w:ascii="Verdana" w:hAnsi="Verdana"/>
          <w:sz w:val="20"/>
          <w:szCs w:val="20"/>
        </w:rPr>
      </w:pPr>
      <w:r>
        <w:rPr>
          <w:rFonts w:ascii="Verdana" w:hAnsi="Verdana"/>
          <w:sz w:val="20"/>
          <w:szCs w:val="20"/>
        </w:rPr>
        <w:t>According to</w:t>
      </w:r>
      <w:r w:rsidR="001671C0">
        <w:rPr>
          <w:rFonts w:ascii="Verdana" w:hAnsi="Verdana"/>
          <w:sz w:val="20"/>
          <w:szCs w:val="20"/>
        </w:rPr>
        <w:t xml:space="preserve"> The Media Audit’s</w:t>
      </w:r>
      <w:r>
        <w:rPr>
          <w:rFonts w:ascii="Verdana" w:hAnsi="Verdana"/>
          <w:sz w:val="20"/>
          <w:szCs w:val="20"/>
        </w:rPr>
        <w:t xml:space="preserve"> same five </w:t>
      </w:r>
      <w:r w:rsidR="001671C0">
        <w:rPr>
          <w:rFonts w:ascii="Verdana" w:hAnsi="Verdana"/>
          <w:sz w:val="20"/>
          <w:szCs w:val="20"/>
        </w:rPr>
        <w:t>2021 surveys, the average age of adults 18+ who had one beer during the past week was 47.8 and 2–4 beers was 47.1, but those who had 5–9 beers and 10–15 beers were slightly younger, or 45.4 and 46.0, respectively.</w:t>
      </w:r>
    </w:p>
    <w:p w14:paraId="664EB1A4" w14:textId="77777777" w:rsidR="00F94CE8" w:rsidRPr="009E4880" w:rsidRDefault="00F94CE8" w:rsidP="009E4880">
      <w:pPr>
        <w:pStyle w:val="NoSpacing"/>
        <w:contextualSpacing/>
        <w:mirrorIndents/>
        <w:rPr>
          <w:rFonts w:ascii="Verdana" w:hAnsi="Verdana"/>
          <w:sz w:val="20"/>
          <w:szCs w:val="20"/>
        </w:rPr>
      </w:pPr>
    </w:p>
    <w:p w14:paraId="7401C3C8" w14:textId="7E7EAEF3" w:rsidR="00F94CE8" w:rsidRPr="009E4880" w:rsidRDefault="001671C0" w:rsidP="009E4880">
      <w:pPr>
        <w:pStyle w:val="NoSpacing"/>
        <w:contextualSpacing/>
        <w:mirrorIndents/>
        <w:rPr>
          <w:rFonts w:ascii="Verdana" w:hAnsi="Verdana"/>
          <w:sz w:val="20"/>
          <w:szCs w:val="20"/>
        </w:rPr>
      </w:pPr>
      <w:r>
        <w:rPr>
          <w:rFonts w:ascii="Verdana" w:hAnsi="Verdana"/>
          <w:sz w:val="20"/>
          <w:szCs w:val="20"/>
        </w:rPr>
        <w:t>There was a bit more disparity by average</w:t>
      </w:r>
      <w:r w:rsidR="00A670B3">
        <w:rPr>
          <w:rFonts w:ascii="Verdana" w:hAnsi="Verdana"/>
          <w:sz w:val="20"/>
          <w:szCs w:val="20"/>
        </w:rPr>
        <w:t xml:space="preserve"> household</w:t>
      </w:r>
      <w:r>
        <w:rPr>
          <w:rFonts w:ascii="Verdana" w:hAnsi="Verdana"/>
          <w:sz w:val="20"/>
          <w:szCs w:val="20"/>
        </w:rPr>
        <w:t xml:space="preserve"> income, with those drin</w:t>
      </w:r>
      <w:r w:rsidR="00A670B3">
        <w:rPr>
          <w:rFonts w:ascii="Verdana" w:hAnsi="Verdana"/>
          <w:sz w:val="20"/>
          <w:szCs w:val="20"/>
        </w:rPr>
        <w:t xml:space="preserve">king </w:t>
      </w:r>
      <w:r>
        <w:rPr>
          <w:rFonts w:ascii="Verdana" w:hAnsi="Verdana"/>
          <w:sz w:val="20"/>
          <w:szCs w:val="20"/>
        </w:rPr>
        <w:t>2–4 beers havi</w:t>
      </w:r>
      <w:r w:rsidR="00A670B3">
        <w:rPr>
          <w:rFonts w:ascii="Verdana" w:hAnsi="Verdana"/>
          <w:sz w:val="20"/>
          <w:szCs w:val="20"/>
        </w:rPr>
        <w:t>ng the largest, on average, of $79,800, followed by 10–15 beers at $73,800, 1 beer at $73,200 and 5–9 beers at $71,700.</w:t>
      </w:r>
    </w:p>
    <w:p w14:paraId="02C0BC62" w14:textId="77777777" w:rsidR="00F94CE8" w:rsidRPr="009E4880" w:rsidRDefault="00F94CE8" w:rsidP="009E4880">
      <w:pPr>
        <w:pStyle w:val="NoSpacing"/>
        <w:contextualSpacing/>
        <w:mirrorIndents/>
        <w:rPr>
          <w:rFonts w:ascii="Verdana" w:hAnsi="Verdana"/>
          <w:sz w:val="20"/>
          <w:szCs w:val="20"/>
        </w:rPr>
      </w:pPr>
    </w:p>
    <w:p w14:paraId="3C801FC6" w14:textId="77777777" w:rsidR="00760E95" w:rsidRDefault="00760E95" w:rsidP="00760E95">
      <w:pPr>
        <w:spacing w:after="0" w:line="240" w:lineRule="auto"/>
        <w:contextualSpacing/>
        <w:mirrorIndents/>
        <w:jc w:val="center"/>
        <w:rPr>
          <w:b/>
          <w:bCs/>
          <w:sz w:val="20"/>
          <w:szCs w:val="20"/>
        </w:rPr>
      </w:pPr>
      <w:r>
        <w:rPr>
          <w:b/>
          <w:bCs/>
          <w:sz w:val="20"/>
          <w:szCs w:val="20"/>
        </w:rPr>
        <w:t xml:space="preserve">Percentages of Adults 18+ Who Drank One or More Beers During the Past </w:t>
      </w:r>
    </w:p>
    <w:p w14:paraId="2203C0DB" w14:textId="050A4B7B" w:rsidR="00760E95" w:rsidRPr="005D1511" w:rsidRDefault="00760E95" w:rsidP="00760E95">
      <w:pPr>
        <w:spacing w:after="0" w:line="240" w:lineRule="auto"/>
        <w:contextualSpacing/>
        <w:mirrorIndents/>
        <w:jc w:val="center"/>
        <w:rPr>
          <w:b/>
          <w:bCs/>
          <w:sz w:val="20"/>
          <w:szCs w:val="20"/>
        </w:rPr>
      </w:pPr>
      <w:r>
        <w:rPr>
          <w:b/>
          <w:bCs/>
          <w:sz w:val="20"/>
          <w:szCs w:val="20"/>
        </w:rPr>
        <w:t>Week by Their Preferred Beer or Hard Cider, in Selected Markets</w:t>
      </w:r>
      <w:r w:rsidRPr="005D1511">
        <w:rPr>
          <w:b/>
          <w:bCs/>
          <w:sz w:val="20"/>
          <w:szCs w:val="20"/>
        </w:rPr>
        <w:t>, 202</w:t>
      </w:r>
      <w:r>
        <w:rPr>
          <w:b/>
          <w:bCs/>
          <w:sz w:val="20"/>
          <w:szCs w:val="20"/>
        </w:rPr>
        <w:t>1</w:t>
      </w:r>
    </w:p>
    <w:tbl>
      <w:tblPr>
        <w:tblW w:w="969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213"/>
        <w:gridCol w:w="1492"/>
        <w:gridCol w:w="1498"/>
        <w:gridCol w:w="1498"/>
        <w:gridCol w:w="1498"/>
        <w:gridCol w:w="1498"/>
      </w:tblGrid>
      <w:tr w:rsidR="00760E95" w:rsidRPr="005D1511" w14:paraId="1C913A05" w14:textId="77777777" w:rsidTr="00760E95">
        <w:trPr>
          <w:jc w:val="center"/>
        </w:trPr>
        <w:tc>
          <w:tcPr>
            <w:tcW w:w="221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1E69C7D" w14:textId="0E26584C" w:rsidR="00760E95" w:rsidRPr="004815C1" w:rsidRDefault="00760E9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Preferred Beer/Hard Cider</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70E454B" w14:textId="77777777" w:rsidR="00760E95" w:rsidRPr="004815C1" w:rsidRDefault="00760E9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9853EF1" w14:textId="77777777" w:rsidR="00760E95" w:rsidRPr="004815C1" w:rsidRDefault="00760E9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Pittsburgh</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7CC5E37" w14:textId="77777777" w:rsidR="00760E95" w:rsidRPr="004815C1" w:rsidRDefault="00760E9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6476CCC" w14:textId="77777777" w:rsidR="00760E95" w:rsidRPr="004815C1" w:rsidRDefault="00760E9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D25C206" w14:textId="77777777" w:rsidR="00760E95" w:rsidRPr="004815C1" w:rsidRDefault="00760E9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760E95" w:rsidRPr="005D1511" w14:paraId="52417AD1" w14:textId="77777777" w:rsidTr="00D1245C">
        <w:tblPrEx>
          <w:tblBorders>
            <w:top w:val="none" w:sz="0" w:space="0" w:color="auto"/>
          </w:tblBorders>
        </w:tblPrEx>
        <w:trPr>
          <w:jc w:val="center"/>
        </w:trPr>
        <w:tc>
          <w:tcPr>
            <w:tcW w:w="221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A6BA37E" w14:textId="7DB65972" w:rsidR="00760E95" w:rsidRPr="004815C1"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Ale</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5E6BCBCC" w14:textId="5C1A082F"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24.2%</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687645B2" w14:textId="40462622"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23.0%</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C5CAFC8" w14:textId="2D21D0CB"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17.5%</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2AD057A3" w14:textId="5B3817F9" w:rsidR="00760E95" w:rsidRPr="00F678A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30.7%</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15BEC2BD" w14:textId="26899596" w:rsidR="00760E95" w:rsidRPr="004815C1" w:rsidRDefault="00760E95"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26.4%</w:t>
            </w:r>
          </w:p>
        </w:tc>
      </w:tr>
      <w:tr w:rsidR="00760E95" w:rsidRPr="005D1511" w14:paraId="1C9441D5"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5117992" w14:textId="45EC358D" w:rsidR="00760E95" w:rsidRPr="004815C1"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Craft</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A71A11D" w14:textId="7C3EA118"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26.2%</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43ED5E2" w14:textId="562E9FA6"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31.2%</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29A04526" w14:textId="3E131D14"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38.1%</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04899B00" w14:textId="33BCA229"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35.5%</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2E0BFA76" w14:textId="38B91BC9" w:rsidR="00760E95" w:rsidRPr="00B00624"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34.8%</w:t>
            </w:r>
          </w:p>
        </w:tc>
      </w:tr>
      <w:tr w:rsidR="00760E95" w:rsidRPr="005D1511" w14:paraId="30C89400"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EAE4E5C" w14:textId="276A8B4F" w:rsidR="00760E95" w:rsidRPr="004815C1"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Fruit beer</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001124B" w14:textId="69630036"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42765E4" w14:textId="35FEF40C"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67CC0D5" w14:textId="53EAF712" w:rsidR="00760E95" w:rsidRPr="004815C1" w:rsidRDefault="00760E95"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AFE8D62" w14:textId="32E24902"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282D8EB" w14:textId="1A9B8D76" w:rsidR="00760E95" w:rsidRPr="00B00624"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14.3%</w:t>
            </w:r>
          </w:p>
        </w:tc>
      </w:tr>
      <w:tr w:rsidR="00760E95" w:rsidRPr="005D1511" w14:paraId="24D2C7CE"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9E29BAB" w14:textId="4BC7DAD0" w:rsidR="00760E95" w:rsidRPr="004815C1"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Hard Cider</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57AB688" w14:textId="6A04B725"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FB936DA" w14:textId="51F5BCF0"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F7A32EC" w14:textId="19728660"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21.7%</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E004699" w14:textId="7DBD6E81"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16.5%</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BA144A1" w14:textId="0B9CAE55" w:rsidR="00760E95" w:rsidRPr="00B00624"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20.1%</w:t>
            </w:r>
          </w:p>
        </w:tc>
      </w:tr>
      <w:tr w:rsidR="00760E95" w:rsidRPr="005D1511" w14:paraId="660357DE"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C5E1CEA" w14:textId="5C6A484D" w:rsidR="00760E95"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India Pale Ale (IPA)</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18817AC" w14:textId="6E0FC13C"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D00F315" w14:textId="19137F37"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87A3F0D" w14:textId="13803C23"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4D1A812" w14:textId="563423CF"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15.2%</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A2985EB" w14:textId="79380CED"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16.7%</w:t>
            </w:r>
          </w:p>
        </w:tc>
      </w:tr>
      <w:tr w:rsidR="00760E95" w:rsidRPr="005D1511" w14:paraId="5B9D906A"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E12AE73" w14:textId="0D682474" w:rsidR="00760E95"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Lager</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DBB3848" w14:textId="5183ACC0"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29.1%</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126B1F71" w14:textId="027C5D64"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33.0%</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2A1DA23" w14:textId="55095C56"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28.3%</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63A5160" w14:textId="6527B209"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27.6%</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6508F7E" w14:textId="751C585A"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24.9%</w:t>
            </w:r>
          </w:p>
        </w:tc>
      </w:tr>
      <w:tr w:rsidR="00760E95" w:rsidRPr="005D1511" w14:paraId="773AB267"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3E10B7A" w14:textId="49E9B025" w:rsidR="00760E95"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Malt</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7B822401" w14:textId="1706CE89"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AAC2EA7" w14:textId="40F4C7A8"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A8692E9" w14:textId="127D2D54"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7BED11C" w14:textId="7D596135"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E68D831" w14:textId="70DC2FB1"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20.5%</w:t>
            </w:r>
          </w:p>
        </w:tc>
      </w:tr>
      <w:tr w:rsidR="00D1245C" w:rsidRPr="005D1511" w14:paraId="30372083"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547F24B" w14:textId="25DE248A" w:rsidR="00760E95"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Stout</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7426F385" w14:textId="26531908"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5593213" w14:textId="4C363DBD"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9E2C704" w14:textId="44B72787"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BF99C34" w14:textId="0502E654"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21EA2FC3" w14:textId="3F8A1FDB" w:rsidR="00760E95"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19.0%</w:t>
            </w:r>
          </w:p>
        </w:tc>
      </w:tr>
      <w:tr w:rsidR="00D1245C" w:rsidRPr="005D1511" w14:paraId="4CDD5AFC" w14:textId="77777777" w:rsidTr="00D1245C">
        <w:tblPrEx>
          <w:tblBorders>
            <w:top w:val="none" w:sz="0" w:space="0" w:color="auto"/>
          </w:tblBorders>
        </w:tblPrEx>
        <w:trPr>
          <w:jc w:val="center"/>
        </w:trPr>
        <w:tc>
          <w:tcPr>
            <w:tcW w:w="221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DE6FECE" w14:textId="4D5CF6F9" w:rsidR="00760E95" w:rsidRPr="004815C1" w:rsidRDefault="00760E95"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Wheat</w:t>
            </w:r>
          </w:p>
        </w:tc>
        <w:tc>
          <w:tcPr>
            <w:tcW w:w="1492"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31CA0E09" w14:textId="6B0CB8E9"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2F894A02" w14:textId="3CFFD374"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12.8%</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40E9074B" w14:textId="4712E823" w:rsidR="00760E95" w:rsidRPr="00B00624"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18.9%</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46C9968C" w14:textId="296E1745"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20.0%</w:t>
            </w:r>
          </w:p>
        </w:tc>
        <w:tc>
          <w:tcPr>
            <w:tcW w:w="1498"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3EA14B95" w14:textId="7A8E5709" w:rsidR="00760E95" w:rsidRPr="004815C1" w:rsidRDefault="00A2368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15.0%</w:t>
            </w:r>
          </w:p>
        </w:tc>
      </w:tr>
    </w:tbl>
    <w:p w14:paraId="62F856CD" w14:textId="39D39FBD" w:rsidR="00760E95" w:rsidRPr="00AF2C75" w:rsidRDefault="00760E95" w:rsidP="00A23683">
      <w:pPr>
        <w:spacing w:after="0" w:line="240" w:lineRule="auto"/>
        <w:ind w:hanging="180"/>
        <w:contextualSpacing/>
        <w:mirrorIndents/>
        <w:rPr>
          <w:rFonts w:ascii="Verdana" w:hAnsi="Verdana"/>
          <w:sz w:val="16"/>
          <w:szCs w:val="16"/>
        </w:rPr>
      </w:pPr>
      <w:r w:rsidRPr="00AF2C75">
        <w:rPr>
          <w:sz w:val="16"/>
          <w:szCs w:val="16"/>
        </w:rPr>
        <w:t xml:space="preserve">Based on The Media Audit’s 2021 surveys  </w:t>
      </w: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4165E9EF" w:rsidR="00F94CE8" w:rsidRDefault="00B53BF3" w:rsidP="00F94CE8">
      <w:pPr>
        <w:pStyle w:val="NoSpacing"/>
        <w:contextualSpacing/>
        <w:rPr>
          <w:sz w:val="20"/>
          <w:szCs w:val="20"/>
        </w:rPr>
      </w:pPr>
      <w:r>
        <w:rPr>
          <w:sz w:val="20"/>
          <w:szCs w:val="20"/>
        </w:rPr>
        <w:t>According to the National Beer Wholesaler Association</w:t>
      </w:r>
      <w:r w:rsidR="00CF0069">
        <w:rPr>
          <w:sz w:val="20"/>
          <w:szCs w:val="20"/>
        </w:rPr>
        <w:t xml:space="preserve"> (NBWA), the top 10 beer holidays are:</w:t>
      </w:r>
    </w:p>
    <w:p w14:paraId="0742632B" w14:textId="445C277A" w:rsidR="00CF0069" w:rsidRPr="000D772C" w:rsidRDefault="00CF0069" w:rsidP="00CF0069">
      <w:pPr>
        <w:pStyle w:val="Header"/>
        <w:contextualSpacing/>
        <w:rPr>
          <w:rFonts w:ascii="Verdana" w:hAnsi="Verdana"/>
          <w:b/>
          <w:sz w:val="20"/>
          <w:szCs w:val="20"/>
        </w:rPr>
      </w:pPr>
    </w:p>
    <w:tbl>
      <w:tblPr>
        <w:tblW w:w="4952" w:type="dxa"/>
        <w:jc w:val="center"/>
        <w:tblBorders>
          <w:left w:val="single" w:sz="8" w:space="0" w:color="000000"/>
          <w:right w:val="single" w:sz="8" w:space="0" w:color="000000"/>
        </w:tblBorders>
        <w:tblLayout w:type="fixed"/>
        <w:tblLook w:val="0000" w:firstRow="0" w:lastRow="0" w:firstColumn="0" w:lastColumn="0" w:noHBand="0" w:noVBand="0"/>
      </w:tblPr>
      <w:tblGrid>
        <w:gridCol w:w="2477"/>
        <w:gridCol w:w="2475"/>
      </w:tblGrid>
      <w:tr w:rsidR="00CF0069" w:rsidRPr="000D772C" w14:paraId="03D17ED7" w14:textId="77777777" w:rsidTr="00CF0069">
        <w:trPr>
          <w:trHeight w:val="243"/>
          <w:jc w:val="center"/>
        </w:trPr>
        <w:tc>
          <w:tcPr>
            <w:tcW w:w="2477" w:type="dxa"/>
            <w:tcBorders>
              <w:top w:val="single" w:sz="12" w:space="0" w:color="000000"/>
              <w:left w:val="single" w:sz="12" w:space="0" w:color="000000"/>
              <w:bottom w:val="single" w:sz="18" w:space="0" w:color="C0504D" w:themeColor="accent2"/>
              <w:right w:val="single" w:sz="8" w:space="0" w:color="0070C0"/>
            </w:tcBorders>
            <w:vAlign w:val="center"/>
          </w:tcPr>
          <w:p w14:paraId="18E3246B" w14:textId="305185F0" w:rsidR="00CF0069" w:rsidRPr="000D772C" w:rsidRDefault="00CF0069"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Holiday</w:t>
            </w:r>
          </w:p>
        </w:tc>
        <w:tc>
          <w:tcPr>
            <w:tcW w:w="2475" w:type="dxa"/>
            <w:tcBorders>
              <w:top w:val="single" w:sz="12" w:space="0" w:color="000000"/>
              <w:left w:val="single" w:sz="18" w:space="0" w:color="0070C0"/>
              <w:bottom w:val="single" w:sz="18" w:space="0" w:color="C0504D" w:themeColor="accent2"/>
              <w:right w:val="single" w:sz="12" w:space="0" w:color="auto"/>
            </w:tcBorders>
            <w:vAlign w:val="center"/>
          </w:tcPr>
          <w:p w14:paraId="03421699" w14:textId="11129078" w:rsidR="00CF0069" w:rsidRPr="000D772C" w:rsidRDefault="00CF0069"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Holiday</w:t>
            </w:r>
          </w:p>
        </w:tc>
      </w:tr>
      <w:tr w:rsidR="00CF0069" w:rsidRPr="000D772C" w14:paraId="14B99650" w14:textId="77777777" w:rsidTr="00CF0069">
        <w:trPr>
          <w:trHeight w:val="243"/>
          <w:jc w:val="center"/>
        </w:trPr>
        <w:tc>
          <w:tcPr>
            <w:tcW w:w="2477"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16FBA539" w14:textId="4EFB267E"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Fourth of July</w:t>
            </w:r>
          </w:p>
        </w:tc>
        <w:tc>
          <w:tcPr>
            <w:tcW w:w="2475" w:type="dxa"/>
            <w:tcBorders>
              <w:top w:val="single" w:sz="18" w:space="0" w:color="C0504D" w:themeColor="accent2"/>
              <w:left w:val="single" w:sz="18" w:space="0" w:color="0070C0"/>
              <w:bottom w:val="single" w:sz="4" w:space="0" w:color="000000"/>
              <w:right w:val="single" w:sz="12" w:space="0" w:color="auto"/>
            </w:tcBorders>
            <w:shd w:val="clear" w:color="auto" w:fill="auto"/>
            <w:vAlign w:val="center"/>
          </w:tcPr>
          <w:p w14:paraId="25736A0E" w14:textId="02A263EC"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The Super Bowl</w:t>
            </w:r>
          </w:p>
        </w:tc>
      </w:tr>
      <w:tr w:rsidR="00CF0069" w:rsidRPr="000D772C" w14:paraId="7588AAE7" w14:textId="77777777" w:rsidTr="00CF0069">
        <w:trPr>
          <w:trHeight w:val="243"/>
          <w:jc w:val="center"/>
        </w:trPr>
        <w:tc>
          <w:tcPr>
            <w:tcW w:w="2477" w:type="dxa"/>
            <w:tcBorders>
              <w:top w:val="single" w:sz="4" w:space="0" w:color="auto"/>
              <w:left w:val="single" w:sz="12" w:space="0" w:color="000000"/>
              <w:bottom w:val="single" w:sz="4" w:space="0" w:color="000000"/>
              <w:right w:val="single" w:sz="8" w:space="0" w:color="0070C0"/>
            </w:tcBorders>
            <w:shd w:val="clear" w:color="auto" w:fill="auto"/>
            <w:vAlign w:val="center"/>
          </w:tcPr>
          <w:p w14:paraId="7855ED59" w14:textId="6B68E7FC"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Memorial Day</w:t>
            </w:r>
          </w:p>
        </w:tc>
        <w:tc>
          <w:tcPr>
            <w:tcW w:w="2475" w:type="dxa"/>
            <w:tcBorders>
              <w:top w:val="single" w:sz="4" w:space="0" w:color="000000"/>
              <w:left w:val="single" w:sz="18" w:space="0" w:color="0070C0"/>
              <w:bottom w:val="single" w:sz="4" w:space="0" w:color="000000"/>
              <w:right w:val="single" w:sz="12" w:space="0" w:color="auto"/>
            </w:tcBorders>
            <w:shd w:val="clear" w:color="auto" w:fill="auto"/>
            <w:vAlign w:val="center"/>
          </w:tcPr>
          <w:p w14:paraId="65D7F12D" w14:textId="3D9246CE"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Cinco de Mayo</w:t>
            </w:r>
          </w:p>
        </w:tc>
      </w:tr>
      <w:tr w:rsidR="00CF0069" w:rsidRPr="000D772C" w14:paraId="26644DC8" w14:textId="77777777" w:rsidTr="00CF0069">
        <w:trPr>
          <w:trHeight w:val="243"/>
          <w:jc w:val="center"/>
        </w:trPr>
        <w:tc>
          <w:tcPr>
            <w:tcW w:w="2477" w:type="dxa"/>
            <w:tcBorders>
              <w:top w:val="single" w:sz="4" w:space="0" w:color="auto"/>
              <w:left w:val="single" w:sz="12" w:space="0" w:color="000000"/>
              <w:bottom w:val="single" w:sz="4" w:space="0" w:color="000000"/>
              <w:right w:val="single" w:sz="8" w:space="0" w:color="0070C0"/>
            </w:tcBorders>
            <w:shd w:val="clear" w:color="auto" w:fill="auto"/>
            <w:vAlign w:val="center"/>
          </w:tcPr>
          <w:p w14:paraId="171156C2" w14:textId="23418915"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Labor Day</w:t>
            </w:r>
          </w:p>
        </w:tc>
        <w:tc>
          <w:tcPr>
            <w:tcW w:w="2475" w:type="dxa"/>
            <w:tcBorders>
              <w:top w:val="single" w:sz="4" w:space="0" w:color="000000"/>
              <w:left w:val="single" w:sz="18" w:space="0" w:color="0070C0"/>
              <w:bottom w:val="single" w:sz="4" w:space="0" w:color="000000"/>
              <w:right w:val="single" w:sz="12" w:space="0" w:color="auto"/>
            </w:tcBorders>
            <w:shd w:val="clear" w:color="auto" w:fill="auto"/>
            <w:vAlign w:val="center"/>
          </w:tcPr>
          <w:p w14:paraId="4A72FEA4" w14:textId="583AD060"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Halloween</w:t>
            </w:r>
          </w:p>
        </w:tc>
      </w:tr>
      <w:tr w:rsidR="00CF0069" w:rsidRPr="000D772C" w14:paraId="5D94B306" w14:textId="77777777" w:rsidTr="00CF0069">
        <w:trPr>
          <w:trHeight w:val="243"/>
          <w:jc w:val="center"/>
        </w:trPr>
        <w:tc>
          <w:tcPr>
            <w:tcW w:w="2477" w:type="dxa"/>
            <w:tcBorders>
              <w:top w:val="single" w:sz="4" w:space="0" w:color="auto"/>
              <w:left w:val="single" w:sz="12" w:space="0" w:color="000000"/>
              <w:bottom w:val="single" w:sz="4" w:space="0" w:color="000000"/>
              <w:right w:val="single" w:sz="8" w:space="0" w:color="0070C0"/>
            </w:tcBorders>
            <w:shd w:val="clear" w:color="auto" w:fill="auto"/>
            <w:vAlign w:val="center"/>
          </w:tcPr>
          <w:p w14:paraId="7108B1DE" w14:textId="4B05E00D"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Christmas</w:t>
            </w:r>
          </w:p>
        </w:tc>
        <w:tc>
          <w:tcPr>
            <w:tcW w:w="2475" w:type="dxa"/>
            <w:tcBorders>
              <w:top w:val="single" w:sz="4" w:space="0" w:color="000000"/>
              <w:left w:val="single" w:sz="18" w:space="0" w:color="0070C0"/>
              <w:bottom w:val="single" w:sz="4" w:space="0" w:color="000000"/>
              <w:right w:val="single" w:sz="12" w:space="0" w:color="auto"/>
            </w:tcBorders>
            <w:shd w:val="clear" w:color="auto" w:fill="auto"/>
            <w:vAlign w:val="center"/>
          </w:tcPr>
          <w:p w14:paraId="300E47D0" w14:textId="59DCEAA5"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St. Patrick’s Day</w:t>
            </w:r>
          </w:p>
        </w:tc>
      </w:tr>
      <w:tr w:rsidR="00CF0069" w:rsidRPr="000D772C" w14:paraId="7E04C26D" w14:textId="77777777" w:rsidTr="00CF0069">
        <w:trPr>
          <w:trHeight w:val="243"/>
          <w:jc w:val="center"/>
        </w:trPr>
        <w:tc>
          <w:tcPr>
            <w:tcW w:w="2477"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2CA4E37E" w14:textId="55F26514"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Thanksgiving</w:t>
            </w:r>
          </w:p>
        </w:tc>
        <w:tc>
          <w:tcPr>
            <w:tcW w:w="2475" w:type="dxa"/>
            <w:tcBorders>
              <w:top w:val="single" w:sz="4" w:space="0" w:color="000000"/>
              <w:left w:val="single" w:sz="18" w:space="0" w:color="0070C0"/>
              <w:bottom w:val="single" w:sz="12" w:space="0" w:color="000000"/>
              <w:right w:val="single" w:sz="12" w:space="0" w:color="auto"/>
            </w:tcBorders>
            <w:shd w:val="clear" w:color="auto" w:fill="auto"/>
            <w:vAlign w:val="center"/>
          </w:tcPr>
          <w:p w14:paraId="1B4713C0" w14:textId="525A0878" w:rsidR="00CF0069" w:rsidRPr="000D772C" w:rsidRDefault="00CF0069"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NCAA Basketball</w:t>
            </w:r>
          </w:p>
        </w:tc>
      </w:tr>
    </w:tbl>
    <w:p w14:paraId="72A9D893" w14:textId="3C2BA854" w:rsidR="00F94CE8" w:rsidRDefault="00CF0069" w:rsidP="00CF0069">
      <w:pPr>
        <w:pStyle w:val="NoSpacing"/>
        <w:tabs>
          <w:tab w:val="left" w:pos="2250"/>
        </w:tabs>
        <w:contextualSpacing/>
        <w:rPr>
          <w:sz w:val="20"/>
          <w:szCs w:val="20"/>
        </w:rPr>
      </w:pPr>
      <w:r>
        <w:rPr>
          <w:iCs/>
          <w:sz w:val="16"/>
          <w:szCs w:val="16"/>
        </w:rPr>
        <w:tab/>
        <w:t>National Beer Wholesaler Association,</w:t>
      </w:r>
      <w:r w:rsidRPr="000D772C">
        <w:rPr>
          <w:sz w:val="16"/>
          <w:szCs w:val="16"/>
        </w:rPr>
        <w:t xml:space="preserve"> </w:t>
      </w:r>
      <w:r>
        <w:rPr>
          <w:sz w:val="16"/>
          <w:szCs w:val="16"/>
        </w:rPr>
        <w:t>April</w:t>
      </w:r>
      <w:r w:rsidRPr="000D772C">
        <w:rPr>
          <w:sz w:val="16"/>
          <w:szCs w:val="16"/>
        </w:rPr>
        <w:t xml:space="preserve"> 202</w:t>
      </w:r>
      <w:r>
        <w:rPr>
          <w:sz w:val="16"/>
          <w:szCs w:val="16"/>
        </w:rPr>
        <w:t>2</w:t>
      </w:r>
    </w:p>
    <w:p w14:paraId="78E679E8" w14:textId="77777777" w:rsidR="00F94CE8" w:rsidRDefault="00F94CE8" w:rsidP="00F94CE8">
      <w:pPr>
        <w:pStyle w:val="NoSpacing"/>
        <w:contextualSpacing/>
        <w:rPr>
          <w:sz w:val="20"/>
          <w:szCs w:val="20"/>
        </w:rPr>
      </w:pPr>
    </w:p>
    <w:p w14:paraId="3CDFB8E2" w14:textId="2B64A295" w:rsidR="00F94CE8" w:rsidRDefault="00CF0069" w:rsidP="00F94CE8">
      <w:pPr>
        <w:pStyle w:val="NoSpacing"/>
        <w:contextualSpacing/>
        <w:rPr>
          <w:sz w:val="20"/>
          <w:szCs w:val="20"/>
        </w:rPr>
      </w:pPr>
      <w:r>
        <w:rPr>
          <w:sz w:val="20"/>
          <w:szCs w:val="20"/>
        </w:rPr>
        <w:t>The NBWA also publishes a monthly Beer Purchasers</w:t>
      </w:r>
      <w:r w:rsidR="009E34C3">
        <w:rPr>
          <w:sz w:val="20"/>
          <w:szCs w:val="20"/>
        </w:rPr>
        <w:t>’</w:t>
      </w:r>
      <w:r>
        <w:rPr>
          <w:sz w:val="20"/>
          <w:szCs w:val="20"/>
        </w:rPr>
        <w:t xml:space="preserve"> Index</w:t>
      </w:r>
      <w:r w:rsidR="009E34C3">
        <w:rPr>
          <w:sz w:val="20"/>
          <w:szCs w:val="20"/>
        </w:rPr>
        <w:t xml:space="preserve"> (BPI), which is a forecast of distributors’ beer purchases one month in advance. The BPI for March 2022 was in positive territory at 52, a slightly higher average index for March</w:t>
      </w:r>
      <w:r w:rsidR="00F33BD5">
        <w:rPr>
          <w:sz w:val="20"/>
          <w:szCs w:val="20"/>
        </w:rPr>
        <w:t>,</w:t>
      </w:r>
      <w:r w:rsidR="009E34C3">
        <w:rPr>
          <w:sz w:val="20"/>
          <w:szCs w:val="20"/>
        </w:rPr>
        <w:t xml:space="preserve"> and is similar to pre-pandemic BPIs.</w:t>
      </w:r>
    </w:p>
    <w:p w14:paraId="6DC49CD3" w14:textId="77777777" w:rsidR="00F94CE8" w:rsidRDefault="00F94CE8" w:rsidP="00F94CE8">
      <w:pPr>
        <w:pStyle w:val="NoSpacing"/>
        <w:contextualSpacing/>
        <w:rPr>
          <w:sz w:val="20"/>
          <w:szCs w:val="20"/>
        </w:rPr>
      </w:pPr>
    </w:p>
    <w:p w14:paraId="3A16D784" w14:textId="31F43D3B" w:rsidR="009E34C3" w:rsidRPr="007C02EC" w:rsidRDefault="009E34C3" w:rsidP="009E34C3">
      <w:pPr>
        <w:spacing w:after="0" w:line="240" w:lineRule="auto"/>
        <w:contextualSpacing/>
        <w:mirrorIndents/>
        <w:jc w:val="center"/>
        <w:rPr>
          <w:b/>
          <w:bCs/>
          <w:sz w:val="20"/>
          <w:szCs w:val="20"/>
        </w:rPr>
      </w:pPr>
      <w:r>
        <w:rPr>
          <w:b/>
          <w:bCs/>
          <w:sz w:val="20"/>
          <w:szCs w:val="20"/>
        </w:rPr>
        <w:t>Beer Purchasers’ Index by Category, March 2022 vs. March 2021</w:t>
      </w:r>
    </w:p>
    <w:tbl>
      <w:tblPr>
        <w:tblW w:w="4754" w:type="dxa"/>
        <w:jc w:val="center"/>
        <w:tblBorders>
          <w:left w:val="single" w:sz="8" w:space="0" w:color="000000"/>
          <w:right w:val="single" w:sz="8" w:space="0" w:color="000000"/>
        </w:tblBorders>
        <w:tblLayout w:type="fixed"/>
        <w:tblLook w:val="0000" w:firstRow="0" w:lastRow="0" w:firstColumn="0" w:lastColumn="0" w:noHBand="0" w:noVBand="0"/>
      </w:tblPr>
      <w:tblGrid>
        <w:gridCol w:w="2220"/>
        <w:gridCol w:w="1267"/>
        <w:gridCol w:w="1267"/>
      </w:tblGrid>
      <w:tr w:rsidR="009E34C3" w:rsidRPr="00CC1ECE" w14:paraId="418AF0CF" w14:textId="77777777" w:rsidTr="009E34C3">
        <w:trPr>
          <w:jc w:val="center"/>
        </w:trPr>
        <w:tc>
          <w:tcPr>
            <w:tcW w:w="2220"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956BE4B" w14:textId="44D4D19C" w:rsidR="009E34C3" w:rsidRPr="00CC1ECE" w:rsidRDefault="009E34C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Beer Category</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FCF06D5" w14:textId="38B8DEBE" w:rsidR="009E34C3" w:rsidRPr="00CC1ECE" w:rsidRDefault="009E34C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March 2022</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9A4C79E" w14:textId="03FA6C9B" w:rsidR="009E34C3" w:rsidRDefault="009E34C3" w:rsidP="001618F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March 2021</w:t>
            </w:r>
          </w:p>
        </w:tc>
      </w:tr>
      <w:tr w:rsidR="009E34C3" w:rsidRPr="00CC1ECE" w14:paraId="4956DCAD" w14:textId="77777777" w:rsidTr="004C6A20">
        <w:trPr>
          <w:trHeight w:val="243"/>
          <w:jc w:val="center"/>
        </w:trPr>
        <w:tc>
          <w:tcPr>
            <w:tcW w:w="222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A450B25" w14:textId="44CEDC26" w:rsidR="009E34C3" w:rsidRPr="00CC1ECE" w:rsidRDefault="009E34C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Imports</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C2D69B" w:themeFill="accent3" w:themeFillTint="99"/>
            <w:vAlign w:val="center"/>
          </w:tcPr>
          <w:p w14:paraId="15C94B08" w14:textId="15661A97"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67</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2F040C41" w14:textId="49C09CAE"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w:t>
            </w:r>
          </w:p>
        </w:tc>
      </w:tr>
      <w:tr w:rsidR="009E34C3" w:rsidRPr="00CC1ECE" w14:paraId="110D13D7" w14:textId="77777777" w:rsidTr="004C6A20">
        <w:trPr>
          <w:trHeight w:val="243"/>
          <w:jc w:val="center"/>
        </w:trPr>
        <w:tc>
          <w:tcPr>
            <w:tcW w:w="222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45CA221" w14:textId="498C2048" w:rsidR="009E34C3" w:rsidRPr="00CC1ECE" w:rsidRDefault="009E34C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Craft</w:t>
            </w:r>
          </w:p>
        </w:tc>
        <w:tc>
          <w:tcPr>
            <w:tcW w:w="1267"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10C49832" w14:textId="09862975"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25C4FC3A" w14:textId="0E96B9DA"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w:t>
            </w:r>
          </w:p>
        </w:tc>
      </w:tr>
      <w:tr w:rsidR="009E34C3" w:rsidRPr="00CC1ECE" w14:paraId="63459187" w14:textId="77777777" w:rsidTr="004C6A20">
        <w:trPr>
          <w:trHeight w:val="243"/>
          <w:jc w:val="center"/>
        </w:trPr>
        <w:tc>
          <w:tcPr>
            <w:tcW w:w="222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3F63DB2" w14:textId="27AD29C6" w:rsidR="009E34C3" w:rsidRPr="00CC1ECE" w:rsidRDefault="009E34C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Premium lights</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58A9A7B6" w14:textId="2FA86495"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7F93C6FB" w14:textId="07A3A4ED"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r>
      <w:tr w:rsidR="009E34C3" w:rsidRPr="00CC1ECE" w14:paraId="07424D61" w14:textId="77777777" w:rsidTr="004C6A20">
        <w:trPr>
          <w:trHeight w:val="243"/>
          <w:jc w:val="center"/>
        </w:trPr>
        <w:tc>
          <w:tcPr>
            <w:tcW w:w="222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FE13BFC" w14:textId="51314214" w:rsidR="009E34C3" w:rsidRPr="00CC1ECE" w:rsidRDefault="009E34C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Premium regular</w:t>
            </w:r>
          </w:p>
        </w:tc>
        <w:tc>
          <w:tcPr>
            <w:tcW w:w="1267"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6EC6F95A" w14:textId="70C8AFA9"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258E47C" w14:textId="70D2C591"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r>
      <w:tr w:rsidR="009E34C3" w:rsidRPr="00CC1ECE" w14:paraId="664A8F8C" w14:textId="77777777" w:rsidTr="004C6A20">
        <w:trPr>
          <w:trHeight w:val="243"/>
          <w:jc w:val="center"/>
        </w:trPr>
        <w:tc>
          <w:tcPr>
            <w:tcW w:w="222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DBEDF9F" w14:textId="36FF2C0E" w:rsidR="009E34C3" w:rsidRPr="00CC1ECE" w:rsidRDefault="009E34C3"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Less than premium</w:t>
            </w:r>
          </w:p>
        </w:tc>
        <w:tc>
          <w:tcPr>
            <w:tcW w:w="1267"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5E95994C" w14:textId="49331143"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A1943CA" w14:textId="350FB5CE" w:rsidR="009E34C3" w:rsidRPr="00CC1ECE" w:rsidRDefault="009E34C3"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r>
      <w:tr w:rsidR="009E34C3" w:rsidRPr="00CC1ECE" w14:paraId="29DF9A3A" w14:textId="77777777" w:rsidTr="004C6A20">
        <w:trPr>
          <w:trHeight w:val="243"/>
          <w:jc w:val="center"/>
        </w:trPr>
        <w:tc>
          <w:tcPr>
            <w:tcW w:w="222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571CEAA" w14:textId="30568074" w:rsidR="009E34C3" w:rsidRPr="00CC1ECE" w:rsidRDefault="004C6A20"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FMB/Seltzer</w:t>
            </w:r>
          </w:p>
        </w:tc>
        <w:tc>
          <w:tcPr>
            <w:tcW w:w="1267"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0A1243AD" w14:textId="3E04CFC7" w:rsidR="009E34C3" w:rsidRPr="00CC1ECE" w:rsidRDefault="004C6A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w:t>
            </w:r>
          </w:p>
        </w:tc>
        <w:tc>
          <w:tcPr>
            <w:tcW w:w="1267"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14AC1CF5" w14:textId="7B8F1CB2" w:rsidR="009E34C3" w:rsidRPr="00CC1ECE" w:rsidRDefault="004C6A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r>
      <w:tr w:rsidR="009E34C3" w:rsidRPr="00CC1ECE" w14:paraId="7DE5025D" w14:textId="77777777" w:rsidTr="004C6A20">
        <w:trPr>
          <w:trHeight w:val="243"/>
          <w:jc w:val="center"/>
        </w:trPr>
        <w:tc>
          <w:tcPr>
            <w:tcW w:w="222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22C77E5" w14:textId="43CDE469" w:rsidR="009E34C3" w:rsidRPr="00CC1ECE" w:rsidRDefault="004C6A20"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Cider</w:t>
            </w:r>
          </w:p>
        </w:tc>
        <w:tc>
          <w:tcPr>
            <w:tcW w:w="1267" w:type="dxa"/>
            <w:tcBorders>
              <w:top w:val="single" w:sz="4" w:space="0" w:color="000000"/>
              <w:left w:val="single" w:sz="8" w:space="0" w:color="0070C0"/>
              <w:bottom w:val="single" w:sz="12" w:space="0" w:color="000000"/>
              <w:right w:val="single" w:sz="8" w:space="0" w:color="0070C0"/>
            </w:tcBorders>
            <w:shd w:val="clear" w:color="auto" w:fill="D99594" w:themeFill="accent2" w:themeFillTint="99"/>
            <w:vAlign w:val="center"/>
          </w:tcPr>
          <w:p w14:paraId="7F0030FA" w14:textId="0AC05077" w:rsidR="009E34C3" w:rsidRPr="00CC1ECE" w:rsidRDefault="004C6A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w:t>
            </w:r>
          </w:p>
        </w:tc>
        <w:tc>
          <w:tcPr>
            <w:tcW w:w="1267" w:type="dxa"/>
            <w:tcBorders>
              <w:top w:val="single" w:sz="4" w:space="0" w:color="000000"/>
              <w:left w:val="single" w:sz="8" w:space="0" w:color="0070C0"/>
              <w:bottom w:val="single" w:sz="12" w:space="0" w:color="000000"/>
              <w:right w:val="single" w:sz="12" w:space="0" w:color="000000"/>
            </w:tcBorders>
            <w:shd w:val="clear" w:color="auto" w:fill="D99594" w:themeFill="accent2" w:themeFillTint="99"/>
            <w:vAlign w:val="center"/>
          </w:tcPr>
          <w:p w14:paraId="25B3CDA5" w14:textId="1C2A4AA6" w:rsidR="009E34C3" w:rsidRPr="00CC1ECE" w:rsidRDefault="004C6A2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w:t>
            </w:r>
          </w:p>
        </w:tc>
      </w:tr>
    </w:tbl>
    <w:p w14:paraId="2EB5074A" w14:textId="77777777" w:rsidR="004C6A20" w:rsidRDefault="009E34C3" w:rsidP="004C6A20">
      <w:pPr>
        <w:pStyle w:val="NoSpacing"/>
        <w:tabs>
          <w:tab w:val="left" w:pos="2340"/>
        </w:tabs>
        <w:contextualSpacing/>
        <w:rPr>
          <w:sz w:val="20"/>
          <w:szCs w:val="20"/>
        </w:rPr>
      </w:pPr>
      <w:r>
        <w:rPr>
          <w:sz w:val="16"/>
          <w:szCs w:val="16"/>
        </w:rPr>
        <w:tab/>
      </w:r>
      <w:r w:rsidR="004C6A20">
        <w:rPr>
          <w:iCs/>
          <w:sz w:val="16"/>
          <w:szCs w:val="16"/>
        </w:rPr>
        <w:t>National Beer Wholesaler Association,</w:t>
      </w:r>
      <w:r w:rsidR="004C6A20" w:rsidRPr="000D772C">
        <w:rPr>
          <w:sz w:val="16"/>
          <w:szCs w:val="16"/>
        </w:rPr>
        <w:t xml:space="preserve"> </w:t>
      </w:r>
      <w:r w:rsidR="004C6A20">
        <w:rPr>
          <w:sz w:val="16"/>
          <w:szCs w:val="16"/>
        </w:rPr>
        <w:t>April</w:t>
      </w:r>
      <w:r w:rsidR="004C6A20" w:rsidRPr="000D772C">
        <w:rPr>
          <w:sz w:val="16"/>
          <w:szCs w:val="16"/>
        </w:rPr>
        <w:t xml:space="preserve"> 202</w:t>
      </w:r>
      <w:r w:rsidR="004C6A20">
        <w:rPr>
          <w:sz w:val="16"/>
          <w:szCs w:val="16"/>
        </w:rPr>
        <w:t>2</w:t>
      </w:r>
    </w:p>
    <w:p w14:paraId="5598984E" w14:textId="71E5744D" w:rsidR="009E34C3" w:rsidRDefault="009E34C3" w:rsidP="009E34C3">
      <w:pPr>
        <w:tabs>
          <w:tab w:val="left" w:pos="1620"/>
        </w:tabs>
        <w:spacing w:after="0" w:line="240" w:lineRule="auto"/>
        <w:contextualSpacing/>
        <w:mirrorIndents/>
        <w:rPr>
          <w:sz w:val="16"/>
          <w:szCs w:val="16"/>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5B2A9BC1" w:rsidR="00F94CE8" w:rsidRDefault="00F94CE8" w:rsidP="00F94CE8">
      <w:pPr>
        <w:pStyle w:val="NoSpacing"/>
        <w:contextualSpacing/>
        <w:rPr>
          <w:sz w:val="20"/>
          <w:szCs w:val="20"/>
        </w:rPr>
      </w:pPr>
    </w:p>
    <w:p w14:paraId="7291AE33" w14:textId="77777777" w:rsidR="00847251" w:rsidRDefault="00847251"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0238E15F" w:rsidR="00F94CE8" w:rsidRPr="00847251" w:rsidRDefault="00F94CE8" w:rsidP="00F94CE8">
      <w:pPr>
        <w:spacing w:after="0" w:line="240" w:lineRule="auto"/>
        <w:rPr>
          <w:rFonts w:ascii="Verdana" w:hAnsi="Verdana"/>
          <w:sz w:val="16"/>
          <w:szCs w:val="16"/>
        </w:rPr>
      </w:pPr>
      <w:r w:rsidRPr="00847251">
        <w:rPr>
          <w:rFonts w:ascii="Verdana" w:hAnsi="Verdana"/>
          <w:i/>
          <w:sz w:val="16"/>
          <w:szCs w:val="16"/>
        </w:rPr>
        <w:t>Sources:</w:t>
      </w:r>
      <w:r w:rsidRPr="00847251">
        <w:rPr>
          <w:rFonts w:ascii="Verdana" w:hAnsi="Verdana"/>
          <w:sz w:val="16"/>
          <w:szCs w:val="16"/>
        </w:rPr>
        <w:t xml:space="preserve"> </w:t>
      </w:r>
      <w:r w:rsidR="00847251" w:rsidRPr="00847251">
        <w:rPr>
          <w:i/>
          <w:iCs/>
          <w:sz w:val="16"/>
          <w:szCs w:val="16"/>
        </w:rPr>
        <w:t>Beverage Industry</w:t>
      </w:r>
      <w:r w:rsidR="00847251" w:rsidRPr="00847251">
        <w:rPr>
          <w:sz w:val="16"/>
          <w:szCs w:val="16"/>
        </w:rPr>
        <w:t xml:space="preserve"> </w:t>
      </w:r>
      <w:r w:rsidRPr="00847251">
        <w:rPr>
          <w:rFonts w:ascii="Verdana" w:hAnsi="Verdana"/>
          <w:sz w:val="16"/>
          <w:szCs w:val="16"/>
        </w:rPr>
        <w:t xml:space="preserve">Website, </w:t>
      </w:r>
      <w:r w:rsidR="008058FD" w:rsidRPr="00847251">
        <w:rPr>
          <w:rFonts w:ascii="Verdana" w:hAnsi="Verdana"/>
          <w:sz w:val="16"/>
          <w:szCs w:val="16"/>
        </w:rPr>
        <w:t>4</w:t>
      </w:r>
      <w:r w:rsidR="00306D88" w:rsidRPr="00847251">
        <w:rPr>
          <w:rFonts w:ascii="Verdana" w:hAnsi="Verdana"/>
          <w:sz w:val="16"/>
          <w:szCs w:val="16"/>
        </w:rPr>
        <w:t>/</w:t>
      </w:r>
      <w:r w:rsidR="00AE6B2A" w:rsidRPr="00847251">
        <w:rPr>
          <w:rFonts w:ascii="Verdana" w:hAnsi="Verdana"/>
          <w:sz w:val="16"/>
          <w:szCs w:val="16"/>
        </w:rPr>
        <w:t>2</w:t>
      </w:r>
      <w:r w:rsidR="00C8473A" w:rsidRPr="00847251">
        <w:rPr>
          <w:rFonts w:ascii="Verdana" w:hAnsi="Verdana"/>
          <w:sz w:val="16"/>
          <w:szCs w:val="16"/>
        </w:rPr>
        <w:t>2</w:t>
      </w:r>
      <w:r w:rsidRPr="00847251">
        <w:rPr>
          <w:rFonts w:ascii="Verdana" w:hAnsi="Verdana"/>
          <w:sz w:val="16"/>
          <w:szCs w:val="16"/>
        </w:rPr>
        <w:t xml:space="preserve">; </w:t>
      </w:r>
      <w:r w:rsidR="00847251" w:rsidRPr="00847251">
        <w:rPr>
          <w:sz w:val="16"/>
          <w:szCs w:val="16"/>
        </w:rPr>
        <w:t xml:space="preserve">Progressive Grocer </w:t>
      </w:r>
      <w:r w:rsidRPr="00847251">
        <w:rPr>
          <w:rFonts w:ascii="Verdana" w:hAnsi="Verdana"/>
          <w:sz w:val="16"/>
          <w:szCs w:val="16"/>
        </w:rPr>
        <w:t xml:space="preserve">Website, </w:t>
      </w:r>
      <w:r w:rsidR="008058FD" w:rsidRPr="00847251">
        <w:rPr>
          <w:rFonts w:ascii="Verdana" w:hAnsi="Verdana"/>
          <w:sz w:val="16"/>
          <w:szCs w:val="16"/>
        </w:rPr>
        <w:t>4</w:t>
      </w:r>
      <w:r w:rsidR="004E421A" w:rsidRPr="00847251">
        <w:rPr>
          <w:rFonts w:ascii="Verdana" w:hAnsi="Verdana"/>
          <w:sz w:val="16"/>
          <w:szCs w:val="16"/>
        </w:rPr>
        <w:t>/</w:t>
      </w:r>
      <w:r w:rsidR="00AE6B2A" w:rsidRPr="00847251">
        <w:rPr>
          <w:rFonts w:ascii="Verdana" w:hAnsi="Verdana"/>
          <w:sz w:val="16"/>
          <w:szCs w:val="16"/>
        </w:rPr>
        <w:t>2</w:t>
      </w:r>
      <w:r w:rsidR="00C8473A" w:rsidRPr="00847251">
        <w:rPr>
          <w:rFonts w:ascii="Verdana" w:hAnsi="Verdana"/>
          <w:sz w:val="16"/>
          <w:szCs w:val="16"/>
        </w:rPr>
        <w:t>2</w:t>
      </w:r>
      <w:r w:rsidRPr="00847251">
        <w:rPr>
          <w:rFonts w:ascii="Verdana" w:hAnsi="Verdana"/>
          <w:sz w:val="16"/>
          <w:szCs w:val="16"/>
        </w:rPr>
        <w:t xml:space="preserve">; </w:t>
      </w:r>
      <w:r w:rsidR="00847251" w:rsidRPr="00847251">
        <w:rPr>
          <w:sz w:val="16"/>
          <w:szCs w:val="16"/>
        </w:rPr>
        <w:t>The Media Audit</w:t>
      </w:r>
      <w:r w:rsidR="00847251" w:rsidRPr="00847251">
        <w:rPr>
          <w:rFonts w:ascii="Verdana" w:hAnsi="Verdana"/>
          <w:sz w:val="16"/>
          <w:szCs w:val="16"/>
        </w:rPr>
        <w:t xml:space="preserve"> </w:t>
      </w:r>
      <w:r w:rsidRPr="00847251">
        <w:rPr>
          <w:rFonts w:ascii="Verdana" w:hAnsi="Verdana"/>
          <w:sz w:val="16"/>
          <w:szCs w:val="16"/>
        </w:rPr>
        <w:t>Website</w:t>
      </w:r>
      <w:r w:rsidR="00A00453" w:rsidRPr="00847251">
        <w:rPr>
          <w:rFonts w:ascii="Verdana" w:hAnsi="Verdana"/>
          <w:sz w:val="16"/>
          <w:szCs w:val="16"/>
        </w:rPr>
        <w:t xml:space="preserve">, </w:t>
      </w:r>
      <w:r w:rsidR="008058FD" w:rsidRPr="00847251">
        <w:rPr>
          <w:rFonts w:ascii="Verdana" w:hAnsi="Verdana"/>
          <w:sz w:val="16"/>
          <w:szCs w:val="16"/>
        </w:rPr>
        <w:t>4</w:t>
      </w:r>
      <w:r w:rsidR="00306D88" w:rsidRPr="00847251">
        <w:rPr>
          <w:rFonts w:ascii="Verdana" w:hAnsi="Verdana"/>
          <w:sz w:val="16"/>
          <w:szCs w:val="16"/>
        </w:rPr>
        <w:t>/</w:t>
      </w:r>
      <w:r w:rsidR="00AE6B2A" w:rsidRPr="00847251">
        <w:rPr>
          <w:rFonts w:ascii="Verdana" w:hAnsi="Verdana"/>
          <w:sz w:val="16"/>
          <w:szCs w:val="16"/>
        </w:rPr>
        <w:t>2</w:t>
      </w:r>
      <w:r w:rsidR="00C8473A" w:rsidRPr="00847251">
        <w:rPr>
          <w:rFonts w:ascii="Verdana" w:hAnsi="Verdana"/>
          <w:sz w:val="16"/>
          <w:szCs w:val="16"/>
        </w:rPr>
        <w:t>2</w:t>
      </w:r>
      <w:r w:rsidR="00847251">
        <w:rPr>
          <w:rFonts w:ascii="Verdana" w:hAnsi="Verdana"/>
          <w:sz w:val="16"/>
          <w:szCs w:val="16"/>
        </w:rPr>
        <w:t>;</w:t>
      </w:r>
      <w:r w:rsidR="00847251" w:rsidRPr="00847251">
        <w:rPr>
          <w:rFonts w:ascii="Verdana" w:hAnsi="Verdana"/>
          <w:sz w:val="16"/>
          <w:szCs w:val="16"/>
        </w:rPr>
        <w:t xml:space="preserve"> </w:t>
      </w:r>
      <w:r w:rsidR="00847251" w:rsidRPr="00847251">
        <w:rPr>
          <w:sz w:val="16"/>
          <w:szCs w:val="16"/>
        </w:rPr>
        <w:t>National Beer Wholesaler Association Website</w:t>
      </w:r>
      <w:r w:rsidR="00847251">
        <w:rPr>
          <w:sz w:val="16"/>
          <w:szCs w:val="16"/>
        </w:rPr>
        <w:t>, 4/22.</w:t>
      </w:r>
    </w:p>
    <w:p w14:paraId="7EF64BA4" w14:textId="77777777" w:rsidR="00F94CE8" w:rsidRPr="00690E6A" w:rsidRDefault="00F94CE8" w:rsidP="00F94CE8">
      <w:pPr>
        <w:spacing w:after="0" w:line="240" w:lineRule="auto"/>
        <w:rPr>
          <w:rFonts w:ascii="Verdana" w:hAnsi="Verdana"/>
          <w:sz w:val="16"/>
        </w:rPr>
      </w:pPr>
    </w:p>
    <w:p w14:paraId="49C0D793" w14:textId="0605FD25"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8058FD">
        <w:rPr>
          <w:rFonts w:ascii="Verdana" w:hAnsi="Verdana"/>
          <w:sz w:val="16"/>
        </w:rPr>
        <w:t>April</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7C07" w14:textId="77777777" w:rsidR="0096605A" w:rsidRDefault="0096605A" w:rsidP="00260DE9">
      <w:pPr>
        <w:spacing w:after="0" w:line="240" w:lineRule="auto"/>
      </w:pPr>
      <w:r>
        <w:separator/>
      </w:r>
    </w:p>
  </w:endnote>
  <w:endnote w:type="continuationSeparator" w:id="0">
    <w:p w14:paraId="0B899086" w14:textId="77777777" w:rsidR="0096605A" w:rsidRDefault="0096605A"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163F" w14:textId="77777777" w:rsidR="0096605A" w:rsidRDefault="0096605A" w:rsidP="00260DE9">
      <w:pPr>
        <w:spacing w:after="0" w:line="240" w:lineRule="auto"/>
      </w:pPr>
      <w:r>
        <w:separator/>
      </w:r>
    </w:p>
  </w:footnote>
  <w:footnote w:type="continuationSeparator" w:id="0">
    <w:p w14:paraId="44457F01" w14:textId="77777777" w:rsidR="0096605A" w:rsidRDefault="0096605A"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359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76BDD"/>
    <w:rsid w:val="000830D7"/>
    <w:rsid w:val="000A3A5D"/>
    <w:rsid w:val="000C2120"/>
    <w:rsid w:val="000C4B96"/>
    <w:rsid w:val="000C7821"/>
    <w:rsid w:val="000D2F3A"/>
    <w:rsid w:val="000D7C07"/>
    <w:rsid w:val="00104864"/>
    <w:rsid w:val="00112A85"/>
    <w:rsid w:val="0012010F"/>
    <w:rsid w:val="00142DEE"/>
    <w:rsid w:val="001531C2"/>
    <w:rsid w:val="00154344"/>
    <w:rsid w:val="00160474"/>
    <w:rsid w:val="00161442"/>
    <w:rsid w:val="0016492E"/>
    <w:rsid w:val="001671C0"/>
    <w:rsid w:val="00177D0F"/>
    <w:rsid w:val="001A05E7"/>
    <w:rsid w:val="001A27DD"/>
    <w:rsid w:val="001B64B0"/>
    <w:rsid w:val="001C2831"/>
    <w:rsid w:val="001D53A3"/>
    <w:rsid w:val="001F2EAC"/>
    <w:rsid w:val="001F5DFA"/>
    <w:rsid w:val="00260DE9"/>
    <w:rsid w:val="00276C65"/>
    <w:rsid w:val="00294474"/>
    <w:rsid w:val="002A4A73"/>
    <w:rsid w:val="002A6286"/>
    <w:rsid w:val="002B0BCF"/>
    <w:rsid w:val="002B3E1A"/>
    <w:rsid w:val="002B428E"/>
    <w:rsid w:val="002E1F38"/>
    <w:rsid w:val="00306D88"/>
    <w:rsid w:val="0032316A"/>
    <w:rsid w:val="00327C87"/>
    <w:rsid w:val="00352677"/>
    <w:rsid w:val="003630CD"/>
    <w:rsid w:val="00364DD1"/>
    <w:rsid w:val="00374235"/>
    <w:rsid w:val="0038459A"/>
    <w:rsid w:val="003916DB"/>
    <w:rsid w:val="003B417B"/>
    <w:rsid w:val="003C15ED"/>
    <w:rsid w:val="003C35C5"/>
    <w:rsid w:val="003C5E61"/>
    <w:rsid w:val="003D6958"/>
    <w:rsid w:val="003E2E9B"/>
    <w:rsid w:val="003F0FE1"/>
    <w:rsid w:val="003F1BEF"/>
    <w:rsid w:val="003F4C76"/>
    <w:rsid w:val="00400606"/>
    <w:rsid w:val="00412473"/>
    <w:rsid w:val="00421648"/>
    <w:rsid w:val="00422A36"/>
    <w:rsid w:val="00424E79"/>
    <w:rsid w:val="00432903"/>
    <w:rsid w:val="0045212B"/>
    <w:rsid w:val="0045797F"/>
    <w:rsid w:val="0046193A"/>
    <w:rsid w:val="0048482F"/>
    <w:rsid w:val="00493426"/>
    <w:rsid w:val="00494CA5"/>
    <w:rsid w:val="004C6A20"/>
    <w:rsid w:val="004D4671"/>
    <w:rsid w:val="004E421A"/>
    <w:rsid w:val="004F7F58"/>
    <w:rsid w:val="0050254D"/>
    <w:rsid w:val="00520014"/>
    <w:rsid w:val="00536979"/>
    <w:rsid w:val="0056258A"/>
    <w:rsid w:val="0057012D"/>
    <w:rsid w:val="00571D6A"/>
    <w:rsid w:val="00574B22"/>
    <w:rsid w:val="00592462"/>
    <w:rsid w:val="00596832"/>
    <w:rsid w:val="005C3BA5"/>
    <w:rsid w:val="005F19E9"/>
    <w:rsid w:val="00600CFD"/>
    <w:rsid w:val="00601F2D"/>
    <w:rsid w:val="00635FF3"/>
    <w:rsid w:val="00637CB9"/>
    <w:rsid w:val="00651308"/>
    <w:rsid w:val="006557DC"/>
    <w:rsid w:val="00657B52"/>
    <w:rsid w:val="0067102D"/>
    <w:rsid w:val="00682C6F"/>
    <w:rsid w:val="0068770F"/>
    <w:rsid w:val="0069436D"/>
    <w:rsid w:val="006B3A10"/>
    <w:rsid w:val="006D1053"/>
    <w:rsid w:val="006E6275"/>
    <w:rsid w:val="00707104"/>
    <w:rsid w:val="007139CE"/>
    <w:rsid w:val="00715CE0"/>
    <w:rsid w:val="00724D22"/>
    <w:rsid w:val="007257B5"/>
    <w:rsid w:val="00760E95"/>
    <w:rsid w:val="007651A4"/>
    <w:rsid w:val="007862CF"/>
    <w:rsid w:val="00793BD0"/>
    <w:rsid w:val="007A37D6"/>
    <w:rsid w:val="007A5F4B"/>
    <w:rsid w:val="007B6E29"/>
    <w:rsid w:val="007B6F90"/>
    <w:rsid w:val="007D3185"/>
    <w:rsid w:val="008058FD"/>
    <w:rsid w:val="0082749D"/>
    <w:rsid w:val="00847251"/>
    <w:rsid w:val="0085256C"/>
    <w:rsid w:val="00863CB0"/>
    <w:rsid w:val="00875007"/>
    <w:rsid w:val="0088350D"/>
    <w:rsid w:val="0088505B"/>
    <w:rsid w:val="0089324F"/>
    <w:rsid w:val="008A0A9C"/>
    <w:rsid w:val="008F0023"/>
    <w:rsid w:val="009229BB"/>
    <w:rsid w:val="00923815"/>
    <w:rsid w:val="00923C8D"/>
    <w:rsid w:val="00931A86"/>
    <w:rsid w:val="009419F0"/>
    <w:rsid w:val="0096605A"/>
    <w:rsid w:val="0097289D"/>
    <w:rsid w:val="0097480E"/>
    <w:rsid w:val="0098317F"/>
    <w:rsid w:val="00984DF0"/>
    <w:rsid w:val="0099377F"/>
    <w:rsid w:val="009A3728"/>
    <w:rsid w:val="009A3EBE"/>
    <w:rsid w:val="009A4526"/>
    <w:rsid w:val="009A6479"/>
    <w:rsid w:val="009C6A17"/>
    <w:rsid w:val="009E34C3"/>
    <w:rsid w:val="009E4880"/>
    <w:rsid w:val="009F2CED"/>
    <w:rsid w:val="009F3C8C"/>
    <w:rsid w:val="00A00453"/>
    <w:rsid w:val="00A031C1"/>
    <w:rsid w:val="00A12BB9"/>
    <w:rsid w:val="00A23683"/>
    <w:rsid w:val="00A30B01"/>
    <w:rsid w:val="00A55AAE"/>
    <w:rsid w:val="00A55AB4"/>
    <w:rsid w:val="00A61F9B"/>
    <w:rsid w:val="00A670B3"/>
    <w:rsid w:val="00A71026"/>
    <w:rsid w:val="00A820F9"/>
    <w:rsid w:val="00AB01D8"/>
    <w:rsid w:val="00AE087E"/>
    <w:rsid w:val="00AE1F72"/>
    <w:rsid w:val="00AE6B2A"/>
    <w:rsid w:val="00AE71B7"/>
    <w:rsid w:val="00AF2C75"/>
    <w:rsid w:val="00B12A59"/>
    <w:rsid w:val="00B30A00"/>
    <w:rsid w:val="00B33B46"/>
    <w:rsid w:val="00B36421"/>
    <w:rsid w:val="00B4203D"/>
    <w:rsid w:val="00B53BF3"/>
    <w:rsid w:val="00B6421F"/>
    <w:rsid w:val="00BC0DB8"/>
    <w:rsid w:val="00BC2144"/>
    <w:rsid w:val="00BE494D"/>
    <w:rsid w:val="00BE4BEC"/>
    <w:rsid w:val="00BE6652"/>
    <w:rsid w:val="00C11931"/>
    <w:rsid w:val="00C147E3"/>
    <w:rsid w:val="00C20878"/>
    <w:rsid w:val="00C21D13"/>
    <w:rsid w:val="00C412D4"/>
    <w:rsid w:val="00C54007"/>
    <w:rsid w:val="00C65128"/>
    <w:rsid w:val="00C77B54"/>
    <w:rsid w:val="00C8473A"/>
    <w:rsid w:val="00CE3B31"/>
    <w:rsid w:val="00CE7889"/>
    <w:rsid w:val="00CF0069"/>
    <w:rsid w:val="00D03B7C"/>
    <w:rsid w:val="00D1245C"/>
    <w:rsid w:val="00D16971"/>
    <w:rsid w:val="00D17DB0"/>
    <w:rsid w:val="00D22E81"/>
    <w:rsid w:val="00D26223"/>
    <w:rsid w:val="00D37649"/>
    <w:rsid w:val="00D41026"/>
    <w:rsid w:val="00D4401A"/>
    <w:rsid w:val="00D63502"/>
    <w:rsid w:val="00D64DA1"/>
    <w:rsid w:val="00D67475"/>
    <w:rsid w:val="00D8342E"/>
    <w:rsid w:val="00D93E11"/>
    <w:rsid w:val="00DA1474"/>
    <w:rsid w:val="00DC4F7C"/>
    <w:rsid w:val="00DD5A41"/>
    <w:rsid w:val="00DE0FDD"/>
    <w:rsid w:val="00DE12F0"/>
    <w:rsid w:val="00E13B28"/>
    <w:rsid w:val="00E14041"/>
    <w:rsid w:val="00E20F93"/>
    <w:rsid w:val="00E21202"/>
    <w:rsid w:val="00E30681"/>
    <w:rsid w:val="00E31C88"/>
    <w:rsid w:val="00E45F8D"/>
    <w:rsid w:val="00E80C14"/>
    <w:rsid w:val="00E926A9"/>
    <w:rsid w:val="00ED42A4"/>
    <w:rsid w:val="00EF6801"/>
    <w:rsid w:val="00EF6AB9"/>
    <w:rsid w:val="00F056FA"/>
    <w:rsid w:val="00F2704A"/>
    <w:rsid w:val="00F33BD5"/>
    <w:rsid w:val="00F40B78"/>
    <w:rsid w:val="00F613D6"/>
    <w:rsid w:val="00F66EA8"/>
    <w:rsid w:val="00F70E29"/>
    <w:rsid w:val="00F94CE8"/>
    <w:rsid w:val="00FA004B"/>
    <w:rsid w:val="00FA495C"/>
    <w:rsid w:val="00FB418C"/>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2022-04-28T15:16:00Z</dcterms:created>
  <dcterms:modified xsi:type="dcterms:W3CDTF">2022-04-28T15:16:00Z</dcterms:modified>
</cp:coreProperties>
</file>