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1425A" w14:textId="2E73A158" w:rsidR="00F94CE8" w:rsidRPr="005F19E9" w:rsidRDefault="0082412E" w:rsidP="00C11931">
      <w:pPr>
        <w:pStyle w:val="NoSpacing"/>
        <w:contextualSpacing/>
        <w:mirrorIndents/>
        <w:rPr>
          <w:rFonts w:ascii="Verdana" w:hAnsi="Verdana"/>
          <w:b/>
          <w:bCs/>
          <w:color w:val="FF0000"/>
          <w:sz w:val="20"/>
          <w:szCs w:val="20"/>
        </w:rPr>
      </w:pPr>
      <w:r>
        <w:rPr>
          <w:rFonts w:ascii="Verdana" w:hAnsi="Verdana"/>
          <w:b/>
          <w:bCs/>
          <w:color w:val="FF0000"/>
          <w:sz w:val="20"/>
          <w:szCs w:val="20"/>
        </w:rPr>
        <w:t>Consumer Credit</w:t>
      </w:r>
      <w:r w:rsidR="005F19E9" w:rsidRPr="005F19E9">
        <w:rPr>
          <w:rFonts w:ascii="Verdana" w:hAnsi="Verdana"/>
          <w:b/>
          <w:bCs/>
          <w:color w:val="FF0000"/>
          <w:sz w:val="20"/>
          <w:szCs w:val="20"/>
        </w:rPr>
        <w:t xml:space="preserve"> Market 2022</w:t>
      </w:r>
    </w:p>
    <w:p w14:paraId="11DB62D2" w14:textId="77777777" w:rsidR="00F94CE8" w:rsidRPr="00E47E67" w:rsidRDefault="00F94CE8" w:rsidP="00E47E67">
      <w:pPr>
        <w:pStyle w:val="NoSpacing"/>
        <w:contextualSpacing/>
        <w:mirrorIndents/>
        <w:rPr>
          <w:rFonts w:ascii="Verdana" w:hAnsi="Verdana"/>
          <w:sz w:val="20"/>
          <w:szCs w:val="20"/>
        </w:rPr>
      </w:pPr>
    </w:p>
    <w:p w14:paraId="2C15B541" w14:textId="44E9253A" w:rsidR="00E47E67" w:rsidRPr="001F6D7F" w:rsidRDefault="00E47E67" w:rsidP="001F6D7F">
      <w:pPr>
        <w:spacing w:after="0" w:line="240" w:lineRule="auto"/>
        <w:contextualSpacing/>
        <w:mirrorIndents/>
        <w:jc w:val="center"/>
        <w:rPr>
          <w:rFonts w:ascii="Verdana" w:hAnsi="Verdana"/>
          <w:b/>
          <w:bCs/>
          <w:color w:val="0070C0"/>
          <w:sz w:val="20"/>
          <w:szCs w:val="20"/>
        </w:rPr>
      </w:pPr>
      <w:r w:rsidRPr="001F6D7F">
        <w:rPr>
          <w:rFonts w:ascii="Verdana" w:hAnsi="Verdana"/>
          <w:b/>
          <w:bCs/>
          <w:color w:val="0070C0"/>
          <w:sz w:val="20"/>
          <w:szCs w:val="20"/>
        </w:rPr>
        <w:t>Inflation Is Not Al</w:t>
      </w:r>
      <w:r w:rsidR="00FD1A45">
        <w:rPr>
          <w:rFonts w:ascii="Verdana" w:hAnsi="Verdana"/>
          <w:b/>
          <w:bCs/>
          <w:color w:val="0070C0"/>
          <w:sz w:val="20"/>
          <w:szCs w:val="20"/>
        </w:rPr>
        <w:t>ways</w:t>
      </w:r>
      <w:r w:rsidRPr="001F6D7F">
        <w:rPr>
          <w:rFonts w:ascii="Verdana" w:hAnsi="Verdana"/>
          <w:b/>
          <w:bCs/>
          <w:color w:val="0070C0"/>
          <w:sz w:val="20"/>
          <w:szCs w:val="20"/>
        </w:rPr>
        <w:t xml:space="preserve"> Good for Credit Card Companies</w:t>
      </w:r>
    </w:p>
    <w:p w14:paraId="57D7383B" w14:textId="77777777" w:rsidR="00E47E67" w:rsidRPr="00E47E67" w:rsidRDefault="00E47E67" w:rsidP="00E47E67">
      <w:pPr>
        <w:spacing w:after="0" w:line="240" w:lineRule="auto"/>
        <w:contextualSpacing/>
        <w:mirrorIndents/>
        <w:rPr>
          <w:rFonts w:ascii="Verdana" w:hAnsi="Verdana"/>
          <w:sz w:val="20"/>
          <w:szCs w:val="20"/>
        </w:rPr>
      </w:pPr>
    </w:p>
    <w:p w14:paraId="51A05CC8" w14:textId="299DD602" w:rsidR="001F6D7F" w:rsidRDefault="001F6D7F" w:rsidP="00E47E67">
      <w:pPr>
        <w:spacing w:after="0" w:line="240" w:lineRule="auto"/>
        <w:contextualSpacing/>
        <w:mirrorIndents/>
        <w:rPr>
          <w:rFonts w:ascii="Verdana" w:hAnsi="Verdana"/>
          <w:sz w:val="20"/>
          <w:szCs w:val="20"/>
        </w:rPr>
      </w:pPr>
      <w:r>
        <w:rPr>
          <w:rFonts w:ascii="Verdana" w:hAnsi="Verdana"/>
          <w:sz w:val="20"/>
          <w:szCs w:val="20"/>
        </w:rPr>
        <w:t>Historically, as inflation increases</w:t>
      </w:r>
      <w:r w:rsidR="00881DE7">
        <w:rPr>
          <w:rFonts w:ascii="Verdana" w:hAnsi="Verdana"/>
          <w:sz w:val="20"/>
          <w:szCs w:val="20"/>
        </w:rPr>
        <w:t xml:space="preserve">, consumers increase their credit card purchases for essentials, such as housing, groceries and energy/utilities. This is good for credit card companies unless continued economic pressures result in more </w:t>
      </w:r>
      <w:r w:rsidR="00007472">
        <w:rPr>
          <w:rFonts w:ascii="Verdana" w:hAnsi="Verdana"/>
          <w:sz w:val="20"/>
          <w:szCs w:val="20"/>
        </w:rPr>
        <w:t>delinquencies</w:t>
      </w:r>
      <w:r w:rsidR="00881DE7">
        <w:rPr>
          <w:rFonts w:ascii="Verdana" w:hAnsi="Verdana"/>
          <w:sz w:val="20"/>
          <w:szCs w:val="20"/>
        </w:rPr>
        <w:t xml:space="preserve">. </w:t>
      </w:r>
    </w:p>
    <w:p w14:paraId="76B0BD25" w14:textId="77777777" w:rsidR="001F6D7F" w:rsidRDefault="001F6D7F" w:rsidP="00E47E67">
      <w:pPr>
        <w:spacing w:after="0" w:line="240" w:lineRule="auto"/>
        <w:contextualSpacing/>
        <w:mirrorIndents/>
        <w:rPr>
          <w:rFonts w:ascii="Verdana" w:hAnsi="Verdana"/>
          <w:sz w:val="20"/>
          <w:szCs w:val="20"/>
        </w:rPr>
      </w:pPr>
    </w:p>
    <w:p w14:paraId="61F6A27F" w14:textId="79B1092D" w:rsidR="001F6D7F" w:rsidRDefault="00881DE7" w:rsidP="00E47E67">
      <w:pPr>
        <w:spacing w:after="0" w:line="240" w:lineRule="auto"/>
        <w:contextualSpacing/>
        <w:mirrorIndents/>
        <w:rPr>
          <w:rFonts w:ascii="Verdana" w:hAnsi="Verdana"/>
          <w:sz w:val="20"/>
          <w:szCs w:val="20"/>
        </w:rPr>
      </w:pPr>
      <w:r>
        <w:rPr>
          <w:rFonts w:ascii="Verdana" w:hAnsi="Verdana"/>
          <w:sz w:val="20"/>
          <w:szCs w:val="20"/>
        </w:rPr>
        <w:t xml:space="preserve">According to </w:t>
      </w:r>
      <w:r w:rsidR="0095679E">
        <w:rPr>
          <w:rFonts w:ascii="Verdana" w:hAnsi="Verdana"/>
          <w:sz w:val="20"/>
          <w:szCs w:val="20"/>
        </w:rPr>
        <w:t xml:space="preserve">the Federal Reserve Bank of New York, Q1 2022 credit card debt increased 9% YOY to $841 billion, although the total was two percent less than Q4 2021 when credit card usage typically increases for holiday shopping. </w:t>
      </w:r>
    </w:p>
    <w:p w14:paraId="17BA0BB8" w14:textId="57605BCC" w:rsidR="0095679E" w:rsidRDefault="0095679E" w:rsidP="00E47E67">
      <w:pPr>
        <w:spacing w:after="0" w:line="240" w:lineRule="auto"/>
        <w:contextualSpacing/>
        <w:mirrorIndents/>
        <w:rPr>
          <w:rFonts w:ascii="Verdana" w:hAnsi="Verdana"/>
          <w:sz w:val="20"/>
          <w:szCs w:val="20"/>
        </w:rPr>
      </w:pPr>
    </w:p>
    <w:p w14:paraId="26AE85AA" w14:textId="6E755561" w:rsidR="0095679E" w:rsidRDefault="00F64171" w:rsidP="00E47E67">
      <w:pPr>
        <w:spacing w:after="0" w:line="240" w:lineRule="auto"/>
        <w:contextualSpacing/>
        <w:mirrorIndents/>
        <w:rPr>
          <w:rFonts w:ascii="Verdana" w:hAnsi="Verdana"/>
          <w:sz w:val="20"/>
          <w:szCs w:val="20"/>
        </w:rPr>
      </w:pPr>
      <w:r>
        <w:rPr>
          <w:rFonts w:ascii="Verdana" w:hAnsi="Verdana"/>
          <w:sz w:val="20"/>
          <w:szCs w:val="20"/>
        </w:rPr>
        <w:t xml:space="preserve">It’s too early to determine if </w:t>
      </w:r>
      <w:r w:rsidR="00680FE7">
        <w:rPr>
          <w:rFonts w:ascii="Verdana" w:hAnsi="Verdana"/>
          <w:sz w:val="20"/>
          <w:szCs w:val="20"/>
        </w:rPr>
        <w:t>economic factors, from continuing low unemployment</w:t>
      </w:r>
      <w:r>
        <w:rPr>
          <w:rFonts w:ascii="Verdana" w:hAnsi="Verdana"/>
          <w:sz w:val="20"/>
          <w:szCs w:val="20"/>
        </w:rPr>
        <w:t xml:space="preserve"> and wage increases to p</w:t>
      </w:r>
      <w:r w:rsidR="00680FE7">
        <w:rPr>
          <w:rFonts w:ascii="Verdana" w:hAnsi="Verdana"/>
          <w:sz w:val="20"/>
          <w:szCs w:val="20"/>
        </w:rPr>
        <w:t>andemic-related supply chain issues</w:t>
      </w:r>
      <w:r>
        <w:rPr>
          <w:rFonts w:ascii="Verdana" w:hAnsi="Verdana"/>
          <w:sz w:val="20"/>
          <w:szCs w:val="20"/>
        </w:rPr>
        <w:t xml:space="preserve"> to the Federal Reserve’s rate increases, will affect consumers’ ability to pay their increased credit card debt.</w:t>
      </w:r>
    </w:p>
    <w:p w14:paraId="26594BDF" w14:textId="4AC07790" w:rsidR="00F64171" w:rsidRDefault="00F64171" w:rsidP="00E47E67">
      <w:pPr>
        <w:spacing w:after="0" w:line="240" w:lineRule="auto"/>
        <w:contextualSpacing/>
        <w:mirrorIndents/>
        <w:rPr>
          <w:rFonts w:ascii="Verdana" w:hAnsi="Verdana"/>
          <w:sz w:val="20"/>
          <w:szCs w:val="20"/>
        </w:rPr>
      </w:pPr>
    </w:p>
    <w:p w14:paraId="7FC0D551" w14:textId="5EDE2752" w:rsidR="00FE3EFA" w:rsidRDefault="00FE3EFA" w:rsidP="00FE3EFA">
      <w:pPr>
        <w:pStyle w:val="Header"/>
        <w:contextualSpacing/>
        <w:jc w:val="center"/>
        <w:rPr>
          <w:rFonts w:ascii="Verdana" w:hAnsi="Verdana"/>
          <w:b/>
          <w:sz w:val="20"/>
          <w:szCs w:val="20"/>
        </w:rPr>
      </w:pPr>
      <w:r>
        <w:rPr>
          <w:rFonts w:ascii="Verdana" w:hAnsi="Verdana"/>
          <w:b/>
          <w:sz w:val="20"/>
          <w:szCs w:val="20"/>
        </w:rPr>
        <w:t>Comparison of Consumers’ Expectation</w:t>
      </w:r>
      <w:r w:rsidR="00997063">
        <w:rPr>
          <w:rFonts w:ascii="Verdana" w:hAnsi="Verdana"/>
          <w:b/>
          <w:sz w:val="20"/>
          <w:szCs w:val="20"/>
        </w:rPr>
        <w:t>s</w:t>
      </w:r>
      <w:r>
        <w:rPr>
          <w:rFonts w:ascii="Verdana" w:hAnsi="Verdana"/>
          <w:b/>
          <w:sz w:val="20"/>
          <w:szCs w:val="20"/>
        </w:rPr>
        <w:t xml:space="preserve"> of Credit Availability </w:t>
      </w:r>
    </w:p>
    <w:p w14:paraId="1C30C9B7" w14:textId="78B98218" w:rsidR="00FE3EFA" w:rsidRPr="00443C1D" w:rsidRDefault="00FE3EFA" w:rsidP="00FE3EFA">
      <w:pPr>
        <w:pStyle w:val="Header"/>
        <w:contextualSpacing/>
        <w:jc w:val="center"/>
        <w:rPr>
          <w:rFonts w:ascii="Verdana" w:hAnsi="Verdana"/>
          <w:b/>
          <w:sz w:val="20"/>
          <w:szCs w:val="20"/>
        </w:rPr>
      </w:pPr>
      <w:r>
        <w:rPr>
          <w:rFonts w:ascii="Verdana" w:hAnsi="Verdana"/>
          <w:b/>
          <w:sz w:val="20"/>
          <w:szCs w:val="20"/>
        </w:rPr>
        <w:t>One Year Ago and One Year Ahead</w:t>
      </w:r>
      <w:r w:rsidRPr="00443C1D">
        <w:rPr>
          <w:rFonts w:ascii="Verdana" w:hAnsi="Verdana"/>
          <w:b/>
          <w:sz w:val="20"/>
          <w:szCs w:val="20"/>
        </w:rPr>
        <w:t xml:space="preserve">, </w:t>
      </w:r>
      <w:r>
        <w:rPr>
          <w:rFonts w:ascii="Verdana" w:hAnsi="Verdana"/>
          <w:b/>
          <w:sz w:val="20"/>
          <w:szCs w:val="20"/>
        </w:rPr>
        <w:t>April 2022</w:t>
      </w:r>
    </w:p>
    <w:tbl>
      <w:tblPr>
        <w:tblW w:w="5590" w:type="dxa"/>
        <w:jc w:val="center"/>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2820"/>
        <w:gridCol w:w="1385"/>
        <w:gridCol w:w="1385"/>
      </w:tblGrid>
      <w:tr w:rsidR="00FE3EFA" w:rsidRPr="00443C1D" w14:paraId="3B33B8F6" w14:textId="77777777" w:rsidTr="00FE3EFA">
        <w:trPr>
          <w:jc w:val="center"/>
        </w:trPr>
        <w:tc>
          <w:tcPr>
            <w:tcW w:w="2820" w:type="dxa"/>
            <w:tcBorders>
              <w:top w:val="single" w:sz="12" w:space="0" w:color="000000"/>
              <w:left w:val="single" w:sz="12" w:space="0" w:color="000000"/>
              <w:bottom w:val="single" w:sz="18" w:space="0" w:color="C0504D" w:themeColor="accent2"/>
              <w:right w:val="single" w:sz="18" w:space="0" w:color="0070C0"/>
            </w:tcBorders>
            <w:vAlign w:val="center"/>
          </w:tcPr>
          <w:p w14:paraId="16B72FF9" w14:textId="0B977033" w:rsidR="00FE3EFA" w:rsidRPr="00443C1D" w:rsidRDefault="00FE3EFA" w:rsidP="00675D1F">
            <w:pPr>
              <w:widowControl w:val="0"/>
              <w:tabs>
                <w:tab w:val="left" w:pos="220"/>
                <w:tab w:val="left" w:pos="720"/>
              </w:tabs>
              <w:autoSpaceDE w:val="0"/>
              <w:autoSpaceDN w:val="0"/>
              <w:adjustRightInd w:val="0"/>
              <w:spacing w:after="100" w:afterAutospacing="1" w:line="240" w:lineRule="auto"/>
              <w:contextualSpacing/>
              <w:jc w:val="center"/>
              <w:rPr>
                <w:rFonts w:ascii="Verdana" w:eastAsia="Times New Roman" w:hAnsi="Verdana"/>
                <w:sz w:val="20"/>
                <w:szCs w:val="20"/>
              </w:rPr>
            </w:pPr>
            <w:r>
              <w:rPr>
                <w:rFonts w:ascii="Verdana" w:eastAsia="Times New Roman" w:hAnsi="Verdana"/>
                <w:sz w:val="20"/>
                <w:szCs w:val="20"/>
              </w:rPr>
              <w:t>Expectation</w:t>
            </w:r>
            <w:r w:rsidR="00997063">
              <w:rPr>
                <w:rFonts w:ascii="Verdana" w:eastAsia="Times New Roman" w:hAnsi="Verdana"/>
                <w:sz w:val="20"/>
                <w:szCs w:val="20"/>
              </w:rPr>
              <w:t>s</w:t>
            </w:r>
          </w:p>
        </w:tc>
        <w:tc>
          <w:tcPr>
            <w:tcW w:w="1385" w:type="dxa"/>
            <w:tcBorders>
              <w:top w:val="single" w:sz="12" w:space="0" w:color="000000"/>
              <w:left w:val="single" w:sz="18" w:space="0" w:color="0070C0"/>
              <w:bottom w:val="single" w:sz="18" w:space="0" w:color="C0504D" w:themeColor="accent2"/>
              <w:right w:val="single" w:sz="8" w:space="0" w:color="0070C0"/>
            </w:tcBorders>
            <w:vAlign w:val="center"/>
          </w:tcPr>
          <w:p w14:paraId="0CB829AB" w14:textId="0A7508B3" w:rsidR="00FE3EFA" w:rsidRPr="00443C1D" w:rsidRDefault="00FE3EFA" w:rsidP="00675D1F">
            <w:pPr>
              <w:widowControl w:val="0"/>
              <w:tabs>
                <w:tab w:val="left" w:pos="220"/>
                <w:tab w:val="left" w:pos="720"/>
              </w:tabs>
              <w:autoSpaceDE w:val="0"/>
              <w:autoSpaceDN w:val="0"/>
              <w:adjustRightInd w:val="0"/>
              <w:spacing w:after="100" w:afterAutospacing="1" w:line="240" w:lineRule="auto"/>
              <w:contextualSpacing/>
              <w:jc w:val="center"/>
              <w:rPr>
                <w:rFonts w:ascii="Verdana" w:eastAsia="Times New Roman" w:hAnsi="Verdana"/>
                <w:sz w:val="20"/>
                <w:szCs w:val="20"/>
              </w:rPr>
            </w:pPr>
            <w:r>
              <w:rPr>
                <w:rFonts w:ascii="Verdana" w:eastAsia="Times New Roman" w:hAnsi="Verdana"/>
                <w:sz w:val="20"/>
                <w:szCs w:val="20"/>
              </w:rPr>
              <w:t>One Year Ago</w:t>
            </w:r>
          </w:p>
        </w:tc>
        <w:tc>
          <w:tcPr>
            <w:tcW w:w="1385" w:type="dxa"/>
            <w:tcBorders>
              <w:top w:val="single" w:sz="12" w:space="0" w:color="000000"/>
              <w:left w:val="single" w:sz="8" w:space="0" w:color="0070C0"/>
              <w:bottom w:val="single" w:sz="18" w:space="0" w:color="C0504D" w:themeColor="accent2"/>
              <w:right w:val="single" w:sz="12" w:space="0" w:color="auto"/>
            </w:tcBorders>
            <w:vAlign w:val="center"/>
          </w:tcPr>
          <w:p w14:paraId="33616A31" w14:textId="5F2072D6" w:rsidR="00FE3EFA" w:rsidRPr="00443C1D" w:rsidRDefault="00FE3EFA" w:rsidP="00675D1F">
            <w:pPr>
              <w:widowControl w:val="0"/>
              <w:tabs>
                <w:tab w:val="left" w:pos="220"/>
                <w:tab w:val="left" w:pos="720"/>
              </w:tabs>
              <w:autoSpaceDE w:val="0"/>
              <w:autoSpaceDN w:val="0"/>
              <w:adjustRightInd w:val="0"/>
              <w:spacing w:after="100" w:afterAutospacing="1" w:line="240" w:lineRule="auto"/>
              <w:contextualSpacing/>
              <w:jc w:val="center"/>
              <w:rPr>
                <w:rFonts w:ascii="Verdana" w:eastAsia="Times New Roman" w:hAnsi="Verdana"/>
                <w:sz w:val="20"/>
                <w:szCs w:val="20"/>
              </w:rPr>
            </w:pPr>
            <w:r>
              <w:rPr>
                <w:rFonts w:ascii="Verdana" w:eastAsia="Times New Roman" w:hAnsi="Verdana"/>
                <w:sz w:val="20"/>
                <w:szCs w:val="20"/>
              </w:rPr>
              <w:t>One Year Ahead</w:t>
            </w:r>
          </w:p>
        </w:tc>
      </w:tr>
      <w:tr w:rsidR="00FE3EFA" w:rsidRPr="00443C1D" w14:paraId="75FA4230" w14:textId="77777777" w:rsidTr="00007472">
        <w:tblPrEx>
          <w:tblBorders>
            <w:top w:val="none" w:sz="0" w:space="0" w:color="auto"/>
          </w:tblBorders>
        </w:tblPrEx>
        <w:trPr>
          <w:jc w:val="center"/>
        </w:trPr>
        <w:tc>
          <w:tcPr>
            <w:tcW w:w="2820" w:type="dxa"/>
            <w:tcBorders>
              <w:top w:val="single" w:sz="18" w:space="0" w:color="C0504D" w:themeColor="accent2"/>
              <w:left w:val="single" w:sz="12" w:space="0" w:color="000000"/>
              <w:bottom w:val="single" w:sz="4" w:space="0" w:color="000000"/>
              <w:right w:val="single" w:sz="18" w:space="0" w:color="0070C0"/>
            </w:tcBorders>
            <w:vAlign w:val="center"/>
          </w:tcPr>
          <w:p w14:paraId="4A4B8311" w14:textId="1B3071C0" w:rsidR="00FE3EFA" w:rsidRPr="00443C1D" w:rsidRDefault="00FE3EFA" w:rsidP="00675D1F">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sz w:val="20"/>
                <w:szCs w:val="20"/>
              </w:rPr>
            </w:pPr>
            <w:r>
              <w:rPr>
                <w:rFonts w:ascii="Verdana" w:eastAsia="Times New Roman" w:hAnsi="Verdana"/>
                <w:sz w:val="20"/>
                <w:szCs w:val="20"/>
              </w:rPr>
              <w:t>Much harder</w:t>
            </w:r>
          </w:p>
        </w:tc>
        <w:tc>
          <w:tcPr>
            <w:tcW w:w="1385" w:type="dxa"/>
            <w:tcBorders>
              <w:top w:val="single" w:sz="18" w:space="0" w:color="C0504D" w:themeColor="accent2"/>
              <w:left w:val="single" w:sz="18" w:space="0" w:color="0070C0"/>
              <w:bottom w:val="single" w:sz="4" w:space="0" w:color="000000"/>
              <w:right w:val="single" w:sz="8" w:space="0" w:color="0070C0"/>
            </w:tcBorders>
            <w:shd w:val="clear" w:color="auto" w:fill="auto"/>
            <w:vAlign w:val="center"/>
          </w:tcPr>
          <w:p w14:paraId="4DF00AE0" w14:textId="761A6595" w:rsidR="00FE3EFA" w:rsidRPr="00443C1D" w:rsidRDefault="00007472" w:rsidP="00675D1F">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8.94%</w:t>
            </w:r>
          </w:p>
        </w:tc>
        <w:tc>
          <w:tcPr>
            <w:tcW w:w="1385" w:type="dxa"/>
            <w:tcBorders>
              <w:top w:val="single" w:sz="18" w:space="0" w:color="C0504D" w:themeColor="accent2"/>
              <w:left w:val="single" w:sz="8" w:space="0" w:color="0070C0"/>
              <w:bottom w:val="single" w:sz="4" w:space="0" w:color="000000"/>
              <w:right w:val="single" w:sz="12" w:space="0" w:color="auto"/>
            </w:tcBorders>
            <w:shd w:val="clear" w:color="auto" w:fill="D99594" w:themeFill="accent2" w:themeFillTint="99"/>
            <w:vAlign w:val="center"/>
          </w:tcPr>
          <w:p w14:paraId="3FECAECA" w14:textId="1EAEA450" w:rsidR="00FE3EFA" w:rsidRPr="00443C1D" w:rsidRDefault="00007472" w:rsidP="00675D1F">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10.85%</w:t>
            </w:r>
          </w:p>
        </w:tc>
      </w:tr>
      <w:tr w:rsidR="00FE3EFA" w:rsidRPr="00443C1D" w14:paraId="7CFA5489" w14:textId="77777777" w:rsidTr="00007472">
        <w:tblPrEx>
          <w:tblBorders>
            <w:top w:val="none" w:sz="0" w:space="0" w:color="auto"/>
          </w:tblBorders>
        </w:tblPrEx>
        <w:trPr>
          <w:jc w:val="center"/>
        </w:trPr>
        <w:tc>
          <w:tcPr>
            <w:tcW w:w="2820" w:type="dxa"/>
            <w:tcBorders>
              <w:top w:val="single" w:sz="4" w:space="0" w:color="000000"/>
              <w:left w:val="single" w:sz="12" w:space="0" w:color="000000"/>
              <w:bottom w:val="single" w:sz="4" w:space="0" w:color="000000"/>
              <w:right w:val="single" w:sz="18" w:space="0" w:color="0070C0"/>
            </w:tcBorders>
            <w:vAlign w:val="center"/>
          </w:tcPr>
          <w:p w14:paraId="1CCA1E3B" w14:textId="4D55BD8F" w:rsidR="00FE3EFA" w:rsidRPr="00443C1D" w:rsidRDefault="00FE3EFA" w:rsidP="00675D1F">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sz w:val="20"/>
                <w:szCs w:val="20"/>
              </w:rPr>
            </w:pPr>
            <w:r>
              <w:rPr>
                <w:rFonts w:ascii="Verdana" w:eastAsia="Times New Roman" w:hAnsi="Verdana"/>
                <w:sz w:val="20"/>
                <w:szCs w:val="20"/>
              </w:rPr>
              <w:t>Somewhat harder</w:t>
            </w:r>
          </w:p>
        </w:tc>
        <w:tc>
          <w:tcPr>
            <w:tcW w:w="1385" w:type="dxa"/>
            <w:tcBorders>
              <w:top w:val="single" w:sz="4" w:space="0" w:color="000000"/>
              <w:left w:val="single" w:sz="18" w:space="0" w:color="0070C0"/>
              <w:bottom w:val="single" w:sz="4" w:space="0" w:color="000000"/>
              <w:right w:val="single" w:sz="8" w:space="0" w:color="0070C0"/>
            </w:tcBorders>
            <w:shd w:val="clear" w:color="auto" w:fill="auto"/>
            <w:vAlign w:val="center"/>
          </w:tcPr>
          <w:p w14:paraId="10F67B67" w14:textId="08486D58" w:rsidR="00FE3EFA" w:rsidRPr="00443C1D" w:rsidRDefault="00007472" w:rsidP="00675D1F">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36.80%</w:t>
            </w:r>
          </w:p>
        </w:tc>
        <w:tc>
          <w:tcPr>
            <w:tcW w:w="1385" w:type="dxa"/>
            <w:tcBorders>
              <w:top w:val="single" w:sz="4" w:space="0" w:color="000000"/>
              <w:left w:val="single" w:sz="8" w:space="0" w:color="0070C0"/>
              <w:bottom w:val="single" w:sz="4" w:space="0" w:color="000000"/>
              <w:right w:val="single" w:sz="12" w:space="0" w:color="auto"/>
            </w:tcBorders>
            <w:shd w:val="clear" w:color="auto" w:fill="E5B8B7" w:themeFill="accent2" w:themeFillTint="66"/>
            <w:vAlign w:val="center"/>
          </w:tcPr>
          <w:p w14:paraId="32082182" w14:textId="5371B83E" w:rsidR="00FE3EFA" w:rsidRPr="00443C1D" w:rsidRDefault="00007472" w:rsidP="00675D1F">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41.29%</w:t>
            </w:r>
          </w:p>
        </w:tc>
      </w:tr>
      <w:tr w:rsidR="00FE3EFA" w:rsidRPr="00443C1D" w14:paraId="424875CF" w14:textId="77777777" w:rsidTr="00007472">
        <w:tblPrEx>
          <w:tblBorders>
            <w:top w:val="none" w:sz="0" w:space="0" w:color="auto"/>
          </w:tblBorders>
        </w:tblPrEx>
        <w:trPr>
          <w:jc w:val="center"/>
        </w:trPr>
        <w:tc>
          <w:tcPr>
            <w:tcW w:w="2820" w:type="dxa"/>
            <w:tcBorders>
              <w:top w:val="single" w:sz="4" w:space="0" w:color="000000"/>
              <w:left w:val="single" w:sz="12" w:space="0" w:color="000000"/>
              <w:bottom w:val="single" w:sz="4" w:space="0" w:color="000000"/>
              <w:right w:val="single" w:sz="18" w:space="0" w:color="0070C0"/>
            </w:tcBorders>
            <w:vAlign w:val="center"/>
          </w:tcPr>
          <w:p w14:paraId="5615785F" w14:textId="75A72EE7" w:rsidR="00FE3EFA" w:rsidRPr="00443C1D" w:rsidRDefault="00FE3EFA" w:rsidP="00675D1F">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sz w:val="20"/>
                <w:szCs w:val="20"/>
              </w:rPr>
            </w:pPr>
            <w:r>
              <w:rPr>
                <w:rFonts w:ascii="Verdana" w:eastAsia="Times New Roman" w:hAnsi="Verdana"/>
                <w:sz w:val="20"/>
                <w:szCs w:val="20"/>
              </w:rPr>
              <w:t>Equally harder and easier</w:t>
            </w:r>
          </w:p>
        </w:tc>
        <w:tc>
          <w:tcPr>
            <w:tcW w:w="1385" w:type="dxa"/>
            <w:tcBorders>
              <w:top w:val="single" w:sz="4" w:space="0" w:color="000000"/>
              <w:left w:val="single" w:sz="18" w:space="0" w:color="0070C0"/>
              <w:bottom w:val="single" w:sz="4" w:space="0" w:color="000000"/>
              <w:right w:val="single" w:sz="8" w:space="0" w:color="0070C0"/>
            </w:tcBorders>
            <w:shd w:val="clear" w:color="auto" w:fill="auto"/>
            <w:vAlign w:val="center"/>
          </w:tcPr>
          <w:p w14:paraId="10B7B52C" w14:textId="29589C17" w:rsidR="00FE3EFA" w:rsidRPr="00443C1D" w:rsidRDefault="00007472" w:rsidP="00675D1F">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44.38%</w:t>
            </w:r>
          </w:p>
        </w:tc>
        <w:tc>
          <w:tcPr>
            <w:tcW w:w="1385" w:type="dxa"/>
            <w:tcBorders>
              <w:top w:val="single" w:sz="4" w:space="0" w:color="000000"/>
              <w:left w:val="single" w:sz="8" w:space="0" w:color="0070C0"/>
              <w:bottom w:val="single" w:sz="4" w:space="0" w:color="000000"/>
              <w:right w:val="single" w:sz="12" w:space="0" w:color="auto"/>
            </w:tcBorders>
            <w:shd w:val="clear" w:color="auto" w:fill="D6E3BC" w:themeFill="accent3" w:themeFillTint="66"/>
            <w:vAlign w:val="center"/>
          </w:tcPr>
          <w:p w14:paraId="1BF28797" w14:textId="71B485F0" w:rsidR="00FE3EFA" w:rsidRPr="00443C1D" w:rsidRDefault="00007472" w:rsidP="00675D1F">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40.66%</w:t>
            </w:r>
          </w:p>
        </w:tc>
      </w:tr>
      <w:tr w:rsidR="00FE3EFA" w:rsidRPr="00443C1D" w14:paraId="07417486" w14:textId="77777777" w:rsidTr="00007472">
        <w:tblPrEx>
          <w:tblBorders>
            <w:top w:val="none" w:sz="0" w:space="0" w:color="auto"/>
          </w:tblBorders>
        </w:tblPrEx>
        <w:trPr>
          <w:jc w:val="center"/>
        </w:trPr>
        <w:tc>
          <w:tcPr>
            <w:tcW w:w="2820" w:type="dxa"/>
            <w:tcBorders>
              <w:top w:val="single" w:sz="4" w:space="0" w:color="000000"/>
              <w:left w:val="single" w:sz="12" w:space="0" w:color="000000"/>
              <w:bottom w:val="single" w:sz="4" w:space="0" w:color="000000"/>
              <w:right w:val="single" w:sz="18" w:space="0" w:color="0070C0"/>
            </w:tcBorders>
            <w:vAlign w:val="center"/>
          </w:tcPr>
          <w:p w14:paraId="70DC6AC0" w14:textId="21AE0B71" w:rsidR="00FE3EFA" w:rsidRPr="00443C1D" w:rsidRDefault="00FE3EFA" w:rsidP="00675D1F">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sz w:val="20"/>
                <w:szCs w:val="20"/>
              </w:rPr>
            </w:pPr>
            <w:r>
              <w:rPr>
                <w:rFonts w:ascii="Verdana" w:eastAsia="Times New Roman" w:hAnsi="Verdana"/>
                <w:sz w:val="20"/>
                <w:szCs w:val="20"/>
              </w:rPr>
              <w:t>Somewhat easier</w:t>
            </w:r>
          </w:p>
        </w:tc>
        <w:tc>
          <w:tcPr>
            <w:tcW w:w="1385" w:type="dxa"/>
            <w:tcBorders>
              <w:top w:val="single" w:sz="4" w:space="0" w:color="000000"/>
              <w:left w:val="single" w:sz="18" w:space="0" w:color="0070C0"/>
              <w:bottom w:val="single" w:sz="4" w:space="0" w:color="000000"/>
              <w:right w:val="single" w:sz="8" w:space="0" w:color="0070C0"/>
            </w:tcBorders>
            <w:shd w:val="clear" w:color="auto" w:fill="auto"/>
            <w:vAlign w:val="center"/>
          </w:tcPr>
          <w:p w14:paraId="52F83ECF" w14:textId="2CB8FD12" w:rsidR="00FE3EFA" w:rsidRPr="00443C1D" w:rsidRDefault="00007472" w:rsidP="00675D1F">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8.65%</w:t>
            </w:r>
          </w:p>
        </w:tc>
        <w:tc>
          <w:tcPr>
            <w:tcW w:w="1385" w:type="dxa"/>
            <w:tcBorders>
              <w:top w:val="single" w:sz="4" w:space="0" w:color="000000"/>
              <w:left w:val="single" w:sz="8" w:space="0" w:color="0070C0"/>
              <w:bottom w:val="single" w:sz="4" w:space="0" w:color="000000"/>
              <w:right w:val="single" w:sz="12" w:space="0" w:color="auto"/>
            </w:tcBorders>
            <w:shd w:val="clear" w:color="auto" w:fill="D99594" w:themeFill="accent2" w:themeFillTint="99"/>
            <w:vAlign w:val="center"/>
          </w:tcPr>
          <w:p w14:paraId="2D6498AA" w14:textId="25000E47" w:rsidR="00FE3EFA" w:rsidRPr="00443C1D" w:rsidRDefault="00007472" w:rsidP="00675D1F">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5.90%</w:t>
            </w:r>
          </w:p>
        </w:tc>
      </w:tr>
      <w:tr w:rsidR="00FE3EFA" w:rsidRPr="00443C1D" w14:paraId="45CA785B" w14:textId="77777777" w:rsidTr="00007472">
        <w:tblPrEx>
          <w:tblBorders>
            <w:top w:val="none" w:sz="0" w:space="0" w:color="auto"/>
          </w:tblBorders>
        </w:tblPrEx>
        <w:trPr>
          <w:jc w:val="center"/>
        </w:trPr>
        <w:tc>
          <w:tcPr>
            <w:tcW w:w="2820" w:type="dxa"/>
            <w:tcBorders>
              <w:top w:val="single" w:sz="4" w:space="0" w:color="000000"/>
              <w:left w:val="single" w:sz="12" w:space="0" w:color="000000"/>
              <w:bottom w:val="single" w:sz="12" w:space="0" w:color="000000"/>
              <w:right w:val="single" w:sz="18" w:space="0" w:color="0070C0"/>
            </w:tcBorders>
            <w:vAlign w:val="center"/>
          </w:tcPr>
          <w:p w14:paraId="751FE615" w14:textId="0152BA6A" w:rsidR="00FE3EFA" w:rsidRPr="00443C1D" w:rsidRDefault="00FE3EFA" w:rsidP="00675D1F">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sz w:val="20"/>
                <w:szCs w:val="20"/>
              </w:rPr>
            </w:pPr>
            <w:r>
              <w:rPr>
                <w:rFonts w:ascii="Verdana" w:eastAsia="Times New Roman" w:hAnsi="Verdana"/>
                <w:sz w:val="20"/>
                <w:szCs w:val="20"/>
              </w:rPr>
              <w:t>Much easier</w:t>
            </w:r>
          </w:p>
        </w:tc>
        <w:tc>
          <w:tcPr>
            <w:tcW w:w="1385" w:type="dxa"/>
            <w:tcBorders>
              <w:top w:val="single" w:sz="4" w:space="0" w:color="000000"/>
              <w:left w:val="single" w:sz="18" w:space="0" w:color="0070C0"/>
              <w:bottom w:val="single" w:sz="12" w:space="0" w:color="000000"/>
              <w:right w:val="single" w:sz="8" w:space="0" w:color="0070C0"/>
            </w:tcBorders>
            <w:shd w:val="clear" w:color="auto" w:fill="auto"/>
            <w:vAlign w:val="center"/>
          </w:tcPr>
          <w:p w14:paraId="63CAB6AD" w14:textId="41DA9164" w:rsidR="00FE3EFA" w:rsidRPr="00443C1D" w:rsidRDefault="00007472" w:rsidP="00675D1F">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1.21%</w:t>
            </w:r>
          </w:p>
        </w:tc>
        <w:tc>
          <w:tcPr>
            <w:tcW w:w="1385" w:type="dxa"/>
            <w:tcBorders>
              <w:top w:val="single" w:sz="4" w:space="0" w:color="000000"/>
              <w:left w:val="single" w:sz="8" w:space="0" w:color="0070C0"/>
              <w:bottom w:val="single" w:sz="12" w:space="0" w:color="000000"/>
              <w:right w:val="single" w:sz="12" w:space="0" w:color="auto"/>
            </w:tcBorders>
            <w:shd w:val="clear" w:color="auto" w:fill="D6E3BC" w:themeFill="accent3" w:themeFillTint="66"/>
            <w:vAlign w:val="center"/>
          </w:tcPr>
          <w:p w14:paraId="0A2197D5" w14:textId="2D97715C" w:rsidR="00007472" w:rsidRPr="00007472" w:rsidRDefault="00007472" w:rsidP="00007472">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1.30%</w:t>
            </w:r>
          </w:p>
        </w:tc>
      </w:tr>
    </w:tbl>
    <w:p w14:paraId="01469EC4" w14:textId="77777777" w:rsidR="00007472" w:rsidRDefault="00FE3EFA" w:rsidP="00007472">
      <w:pPr>
        <w:tabs>
          <w:tab w:val="left" w:pos="1890"/>
        </w:tabs>
        <w:spacing w:after="100" w:afterAutospacing="1" w:line="240" w:lineRule="auto"/>
        <w:contextualSpacing/>
        <w:rPr>
          <w:rFonts w:ascii="Verdana" w:hAnsi="Verdana"/>
          <w:sz w:val="16"/>
          <w:szCs w:val="16"/>
        </w:rPr>
      </w:pPr>
      <w:r>
        <w:rPr>
          <w:rFonts w:ascii="Verdana" w:hAnsi="Verdana"/>
          <w:iCs/>
          <w:sz w:val="16"/>
          <w:szCs w:val="16"/>
        </w:rPr>
        <w:tab/>
      </w:r>
      <w:r w:rsidR="00007472">
        <w:rPr>
          <w:rFonts w:ascii="Verdana" w:hAnsi="Verdana"/>
          <w:iCs/>
          <w:sz w:val="16"/>
          <w:szCs w:val="16"/>
        </w:rPr>
        <w:t>Federal Reserve Bank of New York</w:t>
      </w:r>
      <w:r>
        <w:rPr>
          <w:rFonts w:ascii="Verdana" w:hAnsi="Verdana"/>
          <w:sz w:val="16"/>
          <w:szCs w:val="16"/>
        </w:rPr>
        <w:t xml:space="preserve">, </w:t>
      </w:r>
      <w:r w:rsidR="00007472">
        <w:rPr>
          <w:rFonts w:ascii="Verdana" w:hAnsi="Verdana"/>
          <w:sz w:val="16"/>
          <w:szCs w:val="16"/>
        </w:rPr>
        <w:t>May 2022</w:t>
      </w:r>
      <w:r w:rsidR="00007472">
        <w:rPr>
          <w:rFonts w:ascii="Verdana" w:hAnsi="Verdana"/>
          <w:sz w:val="16"/>
          <w:szCs w:val="16"/>
        </w:rPr>
        <w:tab/>
      </w:r>
    </w:p>
    <w:p w14:paraId="03781AD2" w14:textId="0D45667A" w:rsidR="00FE3EFA" w:rsidRPr="00443C1D" w:rsidRDefault="00007472" w:rsidP="00007472">
      <w:pPr>
        <w:tabs>
          <w:tab w:val="left" w:pos="1890"/>
        </w:tabs>
        <w:spacing w:after="100" w:afterAutospacing="1" w:line="240" w:lineRule="auto"/>
        <w:contextualSpacing/>
        <w:rPr>
          <w:rFonts w:ascii="Verdana" w:hAnsi="Verdana"/>
          <w:sz w:val="16"/>
          <w:szCs w:val="16"/>
        </w:rPr>
      </w:pPr>
      <w:r>
        <w:rPr>
          <w:rFonts w:ascii="Verdana" w:hAnsi="Verdana"/>
          <w:sz w:val="16"/>
          <w:szCs w:val="16"/>
        </w:rPr>
        <w:tab/>
        <w:t>(color represents change from one year ago to one year ahead)</w:t>
      </w:r>
    </w:p>
    <w:p w14:paraId="10A86945" w14:textId="77777777" w:rsidR="001F6D7F" w:rsidRDefault="001F6D7F" w:rsidP="00E47E67">
      <w:pPr>
        <w:spacing w:after="0" w:line="240" w:lineRule="auto"/>
        <w:contextualSpacing/>
        <w:mirrorIndents/>
        <w:rPr>
          <w:rFonts w:ascii="Verdana" w:hAnsi="Verdana"/>
          <w:sz w:val="20"/>
          <w:szCs w:val="20"/>
        </w:rPr>
      </w:pPr>
    </w:p>
    <w:p w14:paraId="7695236B" w14:textId="4DC4C438" w:rsidR="00E47E67" w:rsidRPr="000D5AC5" w:rsidRDefault="00E47E67" w:rsidP="000D5AC5">
      <w:pPr>
        <w:spacing w:after="0" w:line="240" w:lineRule="auto"/>
        <w:contextualSpacing/>
        <w:mirrorIndents/>
        <w:jc w:val="center"/>
        <w:rPr>
          <w:rFonts w:ascii="Verdana" w:hAnsi="Verdana"/>
          <w:b/>
          <w:bCs/>
          <w:color w:val="0070C0"/>
          <w:sz w:val="20"/>
          <w:szCs w:val="20"/>
        </w:rPr>
      </w:pPr>
      <w:r w:rsidRPr="000D5AC5">
        <w:rPr>
          <w:rFonts w:ascii="Verdana" w:hAnsi="Verdana"/>
          <w:b/>
          <w:bCs/>
          <w:color w:val="0070C0"/>
          <w:sz w:val="20"/>
          <w:szCs w:val="20"/>
        </w:rPr>
        <w:t>Americans Are Most-Worried About Inflation</w:t>
      </w:r>
    </w:p>
    <w:p w14:paraId="527CC6F7" w14:textId="0A82D3EA" w:rsidR="00E47E67" w:rsidRDefault="00E47E67" w:rsidP="00E47E67">
      <w:pPr>
        <w:spacing w:after="0" w:line="240" w:lineRule="auto"/>
        <w:contextualSpacing/>
        <w:mirrorIndents/>
        <w:rPr>
          <w:rFonts w:ascii="Verdana" w:hAnsi="Verdana"/>
          <w:sz w:val="20"/>
          <w:szCs w:val="20"/>
        </w:rPr>
      </w:pPr>
    </w:p>
    <w:p w14:paraId="58086603" w14:textId="4FDD71A6" w:rsidR="000D5AC5" w:rsidRDefault="009E6ECA" w:rsidP="00E47E67">
      <w:pPr>
        <w:spacing w:after="0" w:line="240" w:lineRule="auto"/>
        <w:contextualSpacing/>
        <w:mirrorIndents/>
        <w:rPr>
          <w:rFonts w:ascii="Verdana" w:hAnsi="Verdana"/>
          <w:sz w:val="20"/>
          <w:szCs w:val="20"/>
        </w:rPr>
      </w:pPr>
      <w:r>
        <w:rPr>
          <w:rFonts w:ascii="Verdana" w:hAnsi="Verdana"/>
          <w:sz w:val="20"/>
          <w:szCs w:val="20"/>
        </w:rPr>
        <w:t xml:space="preserve">Multiple sources have found </w:t>
      </w:r>
      <w:r w:rsidR="00FD1A45">
        <w:rPr>
          <w:rFonts w:ascii="Verdana" w:hAnsi="Verdana"/>
          <w:sz w:val="20"/>
          <w:szCs w:val="20"/>
        </w:rPr>
        <w:t>via</w:t>
      </w:r>
      <w:r>
        <w:rPr>
          <w:rFonts w:ascii="Verdana" w:hAnsi="Verdana"/>
          <w:sz w:val="20"/>
          <w:szCs w:val="20"/>
        </w:rPr>
        <w:t xml:space="preserve"> surveys that inflation has surpassed the pandemic as Americans’ top concern. In a March 2022 Ipsos survey, 42% of respondents were worried about inflation or increasing prices. The pandemic was 11</w:t>
      </w:r>
      <w:r w:rsidRPr="009E6ECA">
        <w:rPr>
          <w:rFonts w:ascii="Verdana" w:hAnsi="Verdana"/>
          <w:sz w:val="20"/>
          <w:szCs w:val="20"/>
          <w:vertAlign w:val="superscript"/>
        </w:rPr>
        <w:t>th</w:t>
      </w:r>
      <w:r>
        <w:rPr>
          <w:rFonts w:ascii="Verdana" w:hAnsi="Verdana"/>
          <w:sz w:val="20"/>
          <w:szCs w:val="20"/>
        </w:rPr>
        <w:t xml:space="preserve"> on a list of 19 concerns at 13%.</w:t>
      </w:r>
    </w:p>
    <w:p w14:paraId="573B4B37" w14:textId="18C15639" w:rsidR="000D5AC5" w:rsidRDefault="000D5AC5" w:rsidP="00E47E67">
      <w:pPr>
        <w:spacing w:after="0" w:line="240" w:lineRule="auto"/>
        <w:contextualSpacing/>
        <w:mirrorIndents/>
        <w:rPr>
          <w:rFonts w:ascii="Verdana" w:hAnsi="Verdana"/>
          <w:sz w:val="20"/>
          <w:szCs w:val="20"/>
        </w:rPr>
      </w:pPr>
    </w:p>
    <w:p w14:paraId="4C1588FF" w14:textId="5CD51342" w:rsidR="000D5AC5" w:rsidRDefault="009E6ECA" w:rsidP="00E47E67">
      <w:pPr>
        <w:spacing w:after="0" w:line="240" w:lineRule="auto"/>
        <w:contextualSpacing/>
        <w:mirrorIndents/>
        <w:rPr>
          <w:rFonts w:ascii="Verdana" w:hAnsi="Verdana"/>
          <w:sz w:val="20"/>
          <w:szCs w:val="20"/>
        </w:rPr>
      </w:pPr>
      <w:r>
        <w:rPr>
          <w:rFonts w:ascii="Verdana" w:hAnsi="Verdana"/>
          <w:sz w:val="20"/>
          <w:szCs w:val="20"/>
        </w:rPr>
        <w:t>The substantial increase in the cost of fuel has caused financial hardship among 49% of all Americans, according to the Ipsos survey. The financial hardship is even more among those with household incomes of less than $50,000 and $50,000–$100,000 at 58% each.</w:t>
      </w:r>
    </w:p>
    <w:p w14:paraId="7550A1D1" w14:textId="315CBCC6" w:rsidR="00CE7088" w:rsidRDefault="00CE7088" w:rsidP="00E47E67">
      <w:pPr>
        <w:spacing w:after="0" w:line="240" w:lineRule="auto"/>
        <w:contextualSpacing/>
        <w:mirrorIndents/>
        <w:rPr>
          <w:rFonts w:ascii="Verdana" w:hAnsi="Verdana"/>
          <w:sz w:val="20"/>
          <w:szCs w:val="20"/>
        </w:rPr>
      </w:pPr>
    </w:p>
    <w:p w14:paraId="4DC2B67F" w14:textId="1C8233CB" w:rsidR="00CE7088" w:rsidRDefault="00CE7088" w:rsidP="00E47E67">
      <w:pPr>
        <w:spacing w:after="0" w:line="240" w:lineRule="auto"/>
        <w:contextualSpacing/>
        <w:mirrorIndents/>
        <w:rPr>
          <w:rFonts w:ascii="Verdana" w:hAnsi="Verdana"/>
          <w:sz w:val="20"/>
          <w:szCs w:val="20"/>
        </w:rPr>
      </w:pPr>
      <w:r>
        <w:rPr>
          <w:rFonts w:ascii="Verdana" w:hAnsi="Verdana"/>
          <w:sz w:val="20"/>
          <w:szCs w:val="20"/>
        </w:rPr>
        <w:t xml:space="preserve">Some economists and financial and investment advisors forecast an easing of inflationary pressure during the second half of 2022 and less likelihood of a recession, which could have a positive effect on </w:t>
      </w:r>
      <w:r w:rsidR="00FD1A45">
        <w:rPr>
          <w:rFonts w:ascii="Verdana" w:hAnsi="Verdana"/>
          <w:sz w:val="20"/>
          <w:szCs w:val="20"/>
        </w:rPr>
        <w:t xml:space="preserve">summer spending and </w:t>
      </w:r>
      <w:r>
        <w:rPr>
          <w:rFonts w:ascii="Verdana" w:hAnsi="Verdana"/>
          <w:sz w:val="20"/>
          <w:szCs w:val="20"/>
        </w:rPr>
        <w:t>Back-to-School shopping.</w:t>
      </w:r>
    </w:p>
    <w:p w14:paraId="0BD3D3E2" w14:textId="77777777" w:rsidR="00CE7088" w:rsidRDefault="00CE7088" w:rsidP="00E47E67">
      <w:pPr>
        <w:spacing w:after="0" w:line="240" w:lineRule="auto"/>
        <w:contextualSpacing/>
        <w:mirrorIndents/>
        <w:rPr>
          <w:rFonts w:ascii="Verdana" w:hAnsi="Verdana"/>
          <w:sz w:val="20"/>
          <w:szCs w:val="20"/>
        </w:rPr>
      </w:pPr>
    </w:p>
    <w:p w14:paraId="30550716" w14:textId="0521B7EC" w:rsidR="00755C15" w:rsidRPr="00CC1ECE" w:rsidRDefault="00755C15" w:rsidP="00755C15">
      <w:pPr>
        <w:pStyle w:val="Header"/>
        <w:contextualSpacing/>
        <w:jc w:val="center"/>
        <w:rPr>
          <w:rFonts w:ascii="Verdana" w:hAnsi="Verdana"/>
          <w:b/>
          <w:sz w:val="20"/>
          <w:szCs w:val="20"/>
        </w:rPr>
      </w:pPr>
      <w:r>
        <w:rPr>
          <w:rFonts w:ascii="Verdana" w:hAnsi="Verdana"/>
          <w:b/>
          <w:sz w:val="20"/>
          <w:szCs w:val="20"/>
        </w:rPr>
        <w:t>Inflation’s Effect on Consumer Spending During Next Few Months, April 2022</w:t>
      </w:r>
    </w:p>
    <w:tbl>
      <w:tblPr>
        <w:tblW w:w="11252" w:type="dxa"/>
        <w:jc w:val="center"/>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4406"/>
        <w:gridCol w:w="1174"/>
        <w:gridCol w:w="4405"/>
        <w:gridCol w:w="1267"/>
      </w:tblGrid>
      <w:tr w:rsidR="00755C15" w:rsidRPr="00DB5378" w14:paraId="0CAF0603" w14:textId="77777777" w:rsidTr="00675D1F">
        <w:trPr>
          <w:jc w:val="center"/>
        </w:trPr>
        <w:tc>
          <w:tcPr>
            <w:tcW w:w="4406" w:type="dxa"/>
            <w:tcBorders>
              <w:top w:val="single" w:sz="12" w:space="0" w:color="000000"/>
              <w:left w:val="single" w:sz="12" w:space="0" w:color="000000"/>
              <w:bottom w:val="single" w:sz="18" w:space="0" w:color="C0504D" w:themeColor="accent2"/>
              <w:right w:val="single" w:sz="2" w:space="0" w:color="0070C0"/>
            </w:tcBorders>
            <w:vAlign w:val="center"/>
          </w:tcPr>
          <w:p w14:paraId="48FDAA63" w14:textId="554BE363" w:rsidR="00755C15" w:rsidRPr="00DB5378" w:rsidRDefault="00755C15" w:rsidP="00675D1F">
            <w:pPr>
              <w:widowControl w:val="0"/>
              <w:tabs>
                <w:tab w:val="left" w:pos="220"/>
                <w:tab w:val="left" w:pos="720"/>
              </w:tabs>
              <w:autoSpaceDE w:val="0"/>
              <w:autoSpaceDN w:val="0"/>
              <w:adjustRightInd w:val="0"/>
              <w:spacing w:after="100" w:afterAutospacing="1" w:line="240" w:lineRule="auto"/>
              <w:contextualSpacing/>
              <w:jc w:val="center"/>
              <w:rPr>
                <w:rFonts w:ascii="Verdana" w:eastAsia="Times New Roman" w:hAnsi="Verdana"/>
                <w:sz w:val="20"/>
                <w:szCs w:val="20"/>
              </w:rPr>
            </w:pPr>
            <w:r>
              <w:rPr>
                <w:rFonts w:ascii="Verdana" w:eastAsia="Times New Roman" w:hAnsi="Verdana"/>
                <w:sz w:val="20"/>
                <w:szCs w:val="20"/>
              </w:rPr>
              <w:t>Change</w:t>
            </w:r>
          </w:p>
        </w:tc>
        <w:tc>
          <w:tcPr>
            <w:tcW w:w="1174" w:type="dxa"/>
            <w:tcBorders>
              <w:top w:val="single" w:sz="12" w:space="0" w:color="000000"/>
              <w:left w:val="single" w:sz="2" w:space="0" w:color="0070C0"/>
              <w:bottom w:val="single" w:sz="18" w:space="0" w:color="C0504D" w:themeColor="accent2"/>
              <w:right w:val="single" w:sz="18" w:space="0" w:color="0070C0"/>
            </w:tcBorders>
            <w:vAlign w:val="center"/>
          </w:tcPr>
          <w:p w14:paraId="467E782C" w14:textId="77777777" w:rsidR="00755C15" w:rsidRPr="00DB5378" w:rsidRDefault="00755C15" w:rsidP="00675D1F">
            <w:pPr>
              <w:widowControl w:val="0"/>
              <w:tabs>
                <w:tab w:val="left" w:pos="220"/>
                <w:tab w:val="left" w:pos="720"/>
              </w:tabs>
              <w:autoSpaceDE w:val="0"/>
              <w:autoSpaceDN w:val="0"/>
              <w:adjustRightInd w:val="0"/>
              <w:spacing w:after="100" w:afterAutospacing="1" w:line="240" w:lineRule="auto"/>
              <w:contextualSpacing/>
              <w:jc w:val="center"/>
              <w:rPr>
                <w:rFonts w:ascii="Verdana" w:eastAsia="Times New Roman" w:hAnsi="Verdana"/>
                <w:sz w:val="20"/>
                <w:szCs w:val="20"/>
              </w:rPr>
            </w:pPr>
            <w:r>
              <w:rPr>
                <w:rFonts w:ascii="Verdana" w:eastAsia="Times New Roman" w:hAnsi="Verdana"/>
                <w:sz w:val="20"/>
                <w:szCs w:val="20"/>
              </w:rPr>
              <w:t>Percent</w:t>
            </w:r>
          </w:p>
        </w:tc>
        <w:tc>
          <w:tcPr>
            <w:tcW w:w="4405" w:type="dxa"/>
            <w:tcBorders>
              <w:top w:val="single" w:sz="12" w:space="0" w:color="000000"/>
              <w:left w:val="single" w:sz="18" w:space="0" w:color="0070C0"/>
              <w:bottom w:val="single" w:sz="18" w:space="0" w:color="C0504D" w:themeColor="accent2"/>
              <w:right w:val="single" w:sz="2" w:space="0" w:color="0070C0"/>
            </w:tcBorders>
            <w:vAlign w:val="center"/>
          </w:tcPr>
          <w:p w14:paraId="7CD51283" w14:textId="14D48BD6" w:rsidR="00755C15" w:rsidRDefault="00755C15" w:rsidP="00675D1F">
            <w:pPr>
              <w:widowControl w:val="0"/>
              <w:tabs>
                <w:tab w:val="left" w:pos="220"/>
                <w:tab w:val="left" w:pos="720"/>
              </w:tabs>
              <w:autoSpaceDE w:val="0"/>
              <w:autoSpaceDN w:val="0"/>
              <w:adjustRightInd w:val="0"/>
              <w:spacing w:after="100" w:afterAutospacing="1" w:line="240" w:lineRule="auto"/>
              <w:contextualSpacing/>
              <w:jc w:val="center"/>
              <w:rPr>
                <w:rFonts w:ascii="Verdana" w:eastAsia="Times New Roman" w:hAnsi="Verdana"/>
                <w:sz w:val="20"/>
                <w:szCs w:val="20"/>
              </w:rPr>
            </w:pPr>
            <w:r>
              <w:rPr>
                <w:rFonts w:ascii="Verdana" w:eastAsia="Times New Roman" w:hAnsi="Verdana"/>
                <w:sz w:val="20"/>
                <w:szCs w:val="20"/>
              </w:rPr>
              <w:t>Change</w:t>
            </w:r>
          </w:p>
        </w:tc>
        <w:tc>
          <w:tcPr>
            <w:tcW w:w="1267" w:type="dxa"/>
            <w:tcBorders>
              <w:top w:val="single" w:sz="12" w:space="0" w:color="000000"/>
              <w:left w:val="single" w:sz="2" w:space="0" w:color="0070C0"/>
              <w:bottom w:val="single" w:sz="18" w:space="0" w:color="C0504D" w:themeColor="accent2"/>
              <w:right w:val="single" w:sz="12" w:space="0" w:color="000000"/>
            </w:tcBorders>
            <w:vAlign w:val="center"/>
          </w:tcPr>
          <w:p w14:paraId="15342653" w14:textId="77777777" w:rsidR="00755C15" w:rsidRDefault="00755C15" w:rsidP="00675D1F">
            <w:pPr>
              <w:widowControl w:val="0"/>
              <w:tabs>
                <w:tab w:val="left" w:pos="220"/>
                <w:tab w:val="left" w:pos="720"/>
              </w:tabs>
              <w:autoSpaceDE w:val="0"/>
              <w:autoSpaceDN w:val="0"/>
              <w:adjustRightInd w:val="0"/>
              <w:spacing w:after="100" w:afterAutospacing="1" w:line="240" w:lineRule="auto"/>
              <w:contextualSpacing/>
              <w:jc w:val="center"/>
              <w:rPr>
                <w:rFonts w:ascii="Verdana" w:eastAsia="Times New Roman" w:hAnsi="Verdana"/>
                <w:sz w:val="20"/>
                <w:szCs w:val="20"/>
              </w:rPr>
            </w:pPr>
            <w:r>
              <w:rPr>
                <w:rFonts w:ascii="Verdana" w:eastAsia="Times New Roman" w:hAnsi="Verdana"/>
                <w:sz w:val="20"/>
                <w:szCs w:val="20"/>
              </w:rPr>
              <w:t>Percent</w:t>
            </w:r>
          </w:p>
        </w:tc>
      </w:tr>
      <w:tr w:rsidR="00755C15" w:rsidRPr="00DB5378" w14:paraId="1DD8F9AF" w14:textId="77777777" w:rsidTr="00755C15">
        <w:tblPrEx>
          <w:tblBorders>
            <w:top w:val="none" w:sz="0" w:space="0" w:color="auto"/>
          </w:tblBorders>
        </w:tblPrEx>
        <w:trPr>
          <w:jc w:val="center"/>
        </w:trPr>
        <w:tc>
          <w:tcPr>
            <w:tcW w:w="4406" w:type="dxa"/>
            <w:tcBorders>
              <w:top w:val="single" w:sz="18" w:space="0" w:color="C0504D" w:themeColor="accent2"/>
              <w:left w:val="single" w:sz="12" w:space="0" w:color="000000"/>
              <w:bottom w:val="single" w:sz="4" w:space="0" w:color="000000"/>
              <w:right w:val="single" w:sz="2" w:space="0" w:color="0070C0"/>
            </w:tcBorders>
            <w:vAlign w:val="center"/>
          </w:tcPr>
          <w:p w14:paraId="31865BFC" w14:textId="454D75ED" w:rsidR="00755C15" w:rsidRPr="00DB5378" w:rsidRDefault="00755C15" w:rsidP="00675D1F">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sz w:val="20"/>
                <w:szCs w:val="20"/>
              </w:rPr>
            </w:pPr>
            <w:r>
              <w:rPr>
                <w:rFonts w:ascii="Verdana" w:eastAsia="Times New Roman" w:hAnsi="Verdana"/>
                <w:sz w:val="20"/>
                <w:szCs w:val="20"/>
              </w:rPr>
              <w:t>Likely to buy brands on sale/promotion</w:t>
            </w:r>
          </w:p>
        </w:tc>
        <w:tc>
          <w:tcPr>
            <w:tcW w:w="1174" w:type="dxa"/>
            <w:tcBorders>
              <w:top w:val="single" w:sz="18" w:space="0" w:color="C0504D" w:themeColor="accent2"/>
              <w:left w:val="single" w:sz="2" w:space="0" w:color="0070C0"/>
              <w:bottom w:val="single" w:sz="4" w:space="0" w:color="auto"/>
              <w:right w:val="single" w:sz="18" w:space="0" w:color="0070C0"/>
            </w:tcBorders>
            <w:shd w:val="clear" w:color="auto" w:fill="00B050"/>
            <w:vAlign w:val="center"/>
          </w:tcPr>
          <w:p w14:paraId="0A83A38C" w14:textId="4DDCD1CB" w:rsidR="00755C15" w:rsidRPr="00DB5378" w:rsidRDefault="00755C15" w:rsidP="00675D1F">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42%</w:t>
            </w:r>
          </w:p>
        </w:tc>
        <w:tc>
          <w:tcPr>
            <w:tcW w:w="4405" w:type="dxa"/>
            <w:tcBorders>
              <w:top w:val="single" w:sz="18" w:space="0" w:color="C0504D" w:themeColor="accent2"/>
              <w:left w:val="single" w:sz="18" w:space="0" w:color="0070C0"/>
              <w:bottom w:val="single" w:sz="4" w:space="0" w:color="auto"/>
              <w:right w:val="single" w:sz="2" w:space="0" w:color="0070C0"/>
            </w:tcBorders>
            <w:shd w:val="clear" w:color="auto" w:fill="auto"/>
            <w:vAlign w:val="center"/>
          </w:tcPr>
          <w:p w14:paraId="7725F2E5" w14:textId="2F472EE2" w:rsidR="00755C15" w:rsidRDefault="00755C15" w:rsidP="00675D1F">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rPr>
                <w:rFonts w:ascii="Verdana" w:eastAsia="Times New Roman" w:hAnsi="Verdana"/>
                <w:sz w:val="20"/>
                <w:szCs w:val="20"/>
              </w:rPr>
            </w:pPr>
            <w:r>
              <w:rPr>
                <w:rFonts w:ascii="Verdana" w:eastAsia="Times New Roman" w:hAnsi="Verdana"/>
                <w:sz w:val="20"/>
                <w:szCs w:val="20"/>
              </w:rPr>
              <w:t>Likely to buy cheaper brands</w:t>
            </w:r>
          </w:p>
        </w:tc>
        <w:tc>
          <w:tcPr>
            <w:tcW w:w="1267" w:type="dxa"/>
            <w:tcBorders>
              <w:top w:val="single" w:sz="18" w:space="0" w:color="C0504D" w:themeColor="accent2"/>
              <w:left w:val="single" w:sz="2" w:space="0" w:color="0070C0"/>
              <w:bottom w:val="single" w:sz="4" w:space="0" w:color="auto"/>
              <w:right w:val="single" w:sz="12" w:space="0" w:color="000000"/>
            </w:tcBorders>
            <w:shd w:val="clear" w:color="auto" w:fill="C2D69B" w:themeFill="accent3" w:themeFillTint="99"/>
            <w:vAlign w:val="center"/>
          </w:tcPr>
          <w:p w14:paraId="05E42E83" w14:textId="50A47857" w:rsidR="00755C15" w:rsidRDefault="00755C15" w:rsidP="00675D1F">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32%</w:t>
            </w:r>
          </w:p>
        </w:tc>
      </w:tr>
      <w:tr w:rsidR="00755C15" w:rsidRPr="00DB5378" w14:paraId="6FF928EB" w14:textId="77777777" w:rsidTr="00755C15">
        <w:tblPrEx>
          <w:tblBorders>
            <w:top w:val="none" w:sz="0" w:space="0" w:color="auto"/>
          </w:tblBorders>
        </w:tblPrEx>
        <w:trPr>
          <w:jc w:val="center"/>
        </w:trPr>
        <w:tc>
          <w:tcPr>
            <w:tcW w:w="4406" w:type="dxa"/>
            <w:tcBorders>
              <w:top w:val="single" w:sz="4" w:space="0" w:color="000000"/>
              <w:left w:val="single" w:sz="12" w:space="0" w:color="000000"/>
              <w:bottom w:val="single" w:sz="4" w:space="0" w:color="000000"/>
              <w:right w:val="single" w:sz="2" w:space="0" w:color="0070C0"/>
            </w:tcBorders>
            <w:vAlign w:val="center"/>
          </w:tcPr>
          <w:p w14:paraId="2D736680" w14:textId="195BF1D0" w:rsidR="00755C15" w:rsidRDefault="00755C15" w:rsidP="00675D1F">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sz w:val="20"/>
                <w:szCs w:val="20"/>
              </w:rPr>
            </w:pPr>
            <w:r>
              <w:rPr>
                <w:rFonts w:ascii="Verdana" w:eastAsia="Times New Roman" w:hAnsi="Verdana"/>
                <w:sz w:val="20"/>
                <w:szCs w:val="20"/>
              </w:rPr>
              <w:t>Likely to buy fewer products overall</w:t>
            </w:r>
          </w:p>
        </w:tc>
        <w:tc>
          <w:tcPr>
            <w:tcW w:w="1174" w:type="dxa"/>
            <w:tcBorders>
              <w:top w:val="single" w:sz="4" w:space="0" w:color="auto"/>
              <w:left w:val="single" w:sz="2" w:space="0" w:color="0070C0"/>
              <w:bottom w:val="single" w:sz="4" w:space="0" w:color="000000"/>
              <w:right w:val="single" w:sz="18" w:space="0" w:color="0070C0"/>
            </w:tcBorders>
            <w:shd w:val="clear" w:color="auto" w:fill="C2D69B" w:themeFill="accent3" w:themeFillTint="99"/>
            <w:vAlign w:val="center"/>
          </w:tcPr>
          <w:p w14:paraId="3F3006AE" w14:textId="1CBA8277" w:rsidR="00755C15" w:rsidRDefault="00755C15" w:rsidP="00675D1F">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34%</w:t>
            </w:r>
          </w:p>
        </w:tc>
        <w:tc>
          <w:tcPr>
            <w:tcW w:w="4405" w:type="dxa"/>
            <w:tcBorders>
              <w:top w:val="single" w:sz="4" w:space="0" w:color="auto"/>
              <w:left w:val="single" w:sz="18" w:space="0" w:color="0070C0"/>
              <w:bottom w:val="single" w:sz="4" w:space="0" w:color="000000"/>
              <w:right w:val="single" w:sz="2" w:space="0" w:color="0070C0"/>
            </w:tcBorders>
            <w:shd w:val="clear" w:color="auto" w:fill="auto"/>
            <w:vAlign w:val="center"/>
          </w:tcPr>
          <w:p w14:paraId="307D144F" w14:textId="6CA28B52" w:rsidR="00755C15" w:rsidRDefault="00755C15" w:rsidP="00675D1F">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rPr>
                <w:rFonts w:ascii="Verdana" w:eastAsia="Times New Roman" w:hAnsi="Verdana"/>
                <w:sz w:val="20"/>
                <w:szCs w:val="20"/>
              </w:rPr>
            </w:pPr>
            <w:r>
              <w:rPr>
                <w:rFonts w:ascii="Verdana" w:eastAsia="Times New Roman" w:hAnsi="Verdana"/>
                <w:sz w:val="20"/>
                <w:szCs w:val="20"/>
              </w:rPr>
              <w:t>Likely to sacrifice other purchases to pay for more costly essentials</w:t>
            </w:r>
          </w:p>
        </w:tc>
        <w:tc>
          <w:tcPr>
            <w:tcW w:w="1267" w:type="dxa"/>
            <w:tcBorders>
              <w:top w:val="single" w:sz="4" w:space="0" w:color="auto"/>
              <w:left w:val="single" w:sz="2" w:space="0" w:color="0070C0"/>
              <w:bottom w:val="single" w:sz="4" w:space="0" w:color="000000"/>
              <w:right w:val="single" w:sz="12" w:space="0" w:color="000000"/>
            </w:tcBorders>
            <w:shd w:val="clear" w:color="auto" w:fill="C2D69B" w:themeFill="accent3" w:themeFillTint="99"/>
            <w:vAlign w:val="center"/>
          </w:tcPr>
          <w:p w14:paraId="4980DF09" w14:textId="06BE305F" w:rsidR="00755C15" w:rsidRDefault="00755C15" w:rsidP="00675D1F">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27%</w:t>
            </w:r>
          </w:p>
        </w:tc>
      </w:tr>
      <w:tr w:rsidR="00755C15" w:rsidRPr="00DB5378" w14:paraId="16D35E7E" w14:textId="77777777" w:rsidTr="00755C15">
        <w:tblPrEx>
          <w:tblBorders>
            <w:top w:val="none" w:sz="0" w:space="0" w:color="auto"/>
          </w:tblBorders>
        </w:tblPrEx>
        <w:trPr>
          <w:jc w:val="center"/>
        </w:trPr>
        <w:tc>
          <w:tcPr>
            <w:tcW w:w="4406" w:type="dxa"/>
            <w:tcBorders>
              <w:top w:val="single" w:sz="4" w:space="0" w:color="000000"/>
              <w:left w:val="single" w:sz="12" w:space="0" w:color="000000"/>
              <w:bottom w:val="single" w:sz="12" w:space="0" w:color="auto"/>
              <w:right w:val="single" w:sz="2" w:space="0" w:color="0070C0"/>
            </w:tcBorders>
            <w:vAlign w:val="center"/>
          </w:tcPr>
          <w:p w14:paraId="72A9A488" w14:textId="3C739F1A" w:rsidR="00755C15" w:rsidRPr="00DB5378" w:rsidRDefault="00755C15" w:rsidP="00755C15">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sz w:val="20"/>
                <w:szCs w:val="20"/>
              </w:rPr>
            </w:pPr>
            <w:r>
              <w:rPr>
                <w:rFonts w:ascii="Verdana" w:eastAsia="Times New Roman" w:hAnsi="Verdana"/>
                <w:sz w:val="20"/>
                <w:szCs w:val="20"/>
              </w:rPr>
              <w:t>Likely to wait to buy items when on sale</w:t>
            </w:r>
          </w:p>
        </w:tc>
        <w:tc>
          <w:tcPr>
            <w:tcW w:w="1174" w:type="dxa"/>
            <w:tcBorders>
              <w:top w:val="single" w:sz="4" w:space="0" w:color="000000"/>
              <w:left w:val="single" w:sz="2" w:space="0" w:color="0070C0"/>
              <w:bottom w:val="single" w:sz="12" w:space="0" w:color="auto"/>
              <w:right w:val="single" w:sz="18" w:space="0" w:color="0070C0"/>
            </w:tcBorders>
            <w:shd w:val="clear" w:color="auto" w:fill="C2D69B" w:themeFill="accent3" w:themeFillTint="99"/>
            <w:vAlign w:val="center"/>
          </w:tcPr>
          <w:p w14:paraId="7119E50C" w14:textId="46648040" w:rsidR="00755C15" w:rsidRPr="00DB5378" w:rsidRDefault="00755C15" w:rsidP="00755C15">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33%</w:t>
            </w:r>
          </w:p>
        </w:tc>
        <w:tc>
          <w:tcPr>
            <w:tcW w:w="4405" w:type="dxa"/>
            <w:tcBorders>
              <w:top w:val="single" w:sz="4" w:space="0" w:color="000000"/>
              <w:left w:val="single" w:sz="18" w:space="0" w:color="0070C0"/>
              <w:bottom w:val="single" w:sz="12" w:space="0" w:color="auto"/>
              <w:right w:val="single" w:sz="2" w:space="0" w:color="0070C0"/>
            </w:tcBorders>
            <w:shd w:val="clear" w:color="auto" w:fill="auto"/>
            <w:vAlign w:val="center"/>
          </w:tcPr>
          <w:p w14:paraId="0974F014" w14:textId="273B3282" w:rsidR="00755C15" w:rsidRPr="00DB5378" w:rsidRDefault="00755C15" w:rsidP="00755C15">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rPr>
                <w:rFonts w:ascii="Verdana" w:eastAsia="Times New Roman" w:hAnsi="Verdana"/>
                <w:sz w:val="20"/>
                <w:szCs w:val="20"/>
              </w:rPr>
            </w:pPr>
            <w:r>
              <w:rPr>
                <w:rFonts w:ascii="Verdana" w:eastAsia="Times New Roman" w:hAnsi="Verdana"/>
                <w:sz w:val="20"/>
                <w:szCs w:val="20"/>
              </w:rPr>
              <w:t>Likely to buy private label/store brands</w:t>
            </w:r>
          </w:p>
        </w:tc>
        <w:tc>
          <w:tcPr>
            <w:tcW w:w="1267" w:type="dxa"/>
            <w:tcBorders>
              <w:top w:val="single" w:sz="4" w:space="0" w:color="000000"/>
              <w:left w:val="single" w:sz="2" w:space="0" w:color="0070C0"/>
              <w:bottom w:val="single" w:sz="12" w:space="0" w:color="auto"/>
              <w:right w:val="single" w:sz="12" w:space="0" w:color="000000"/>
            </w:tcBorders>
            <w:shd w:val="clear" w:color="auto" w:fill="C2D69B" w:themeFill="accent3" w:themeFillTint="99"/>
            <w:vAlign w:val="center"/>
          </w:tcPr>
          <w:p w14:paraId="662AE656" w14:textId="1CD093C8" w:rsidR="00755C15" w:rsidRPr="00DB5378" w:rsidRDefault="00755C15" w:rsidP="00755C15">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26%</w:t>
            </w:r>
          </w:p>
        </w:tc>
      </w:tr>
    </w:tbl>
    <w:p w14:paraId="45DCB4CE" w14:textId="0F4C8141" w:rsidR="00755C15" w:rsidRDefault="00755C15" w:rsidP="00755C15">
      <w:pPr>
        <w:spacing w:after="0" w:line="240" w:lineRule="auto"/>
        <w:ind w:hanging="900"/>
        <w:contextualSpacing/>
        <w:mirrorIndents/>
        <w:rPr>
          <w:rFonts w:ascii="Verdana" w:hAnsi="Verdana"/>
          <w:sz w:val="16"/>
          <w:szCs w:val="16"/>
        </w:rPr>
      </w:pPr>
      <w:r>
        <w:rPr>
          <w:rFonts w:ascii="Verdana" w:hAnsi="Verdana"/>
          <w:iCs/>
          <w:sz w:val="16"/>
          <w:szCs w:val="16"/>
        </w:rPr>
        <w:t>Ipsos, April 2022</w:t>
      </w:r>
    </w:p>
    <w:p w14:paraId="17E9DEC1" w14:textId="5AC257D2" w:rsidR="00E47E67" w:rsidRPr="00755C15" w:rsidRDefault="00E47E67" w:rsidP="00755C15">
      <w:pPr>
        <w:spacing w:after="0" w:line="240" w:lineRule="auto"/>
        <w:contextualSpacing/>
        <w:mirrorIndents/>
        <w:jc w:val="center"/>
        <w:rPr>
          <w:rFonts w:ascii="Verdana" w:hAnsi="Verdana"/>
          <w:b/>
          <w:bCs/>
          <w:color w:val="0070C0"/>
          <w:sz w:val="20"/>
          <w:szCs w:val="20"/>
        </w:rPr>
      </w:pPr>
      <w:r w:rsidRPr="00755C15">
        <w:rPr>
          <w:rFonts w:ascii="Verdana" w:hAnsi="Verdana"/>
          <w:b/>
          <w:bCs/>
          <w:color w:val="0070C0"/>
          <w:sz w:val="20"/>
          <w:szCs w:val="20"/>
        </w:rPr>
        <w:lastRenderedPageBreak/>
        <w:t xml:space="preserve">Credit Card Interest Rates </w:t>
      </w:r>
      <w:r w:rsidR="00FD1A45">
        <w:rPr>
          <w:rFonts w:ascii="Verdana" w:hAnsi="Verdana"/>
          <w:b/>
          <w:bCs/>
          <w:color w:val="0070C0"/>
          <w:sz w:val="20"/>
          <w:szCs w:val="20"/>
        </w:rPr>
        <w:t xml:space="preserve">Are </w:t>
      </w:r>
      <w:r w:rsidRPr="00755C15">
        <w:rPr>
          <w:rFonts w:ascii="Verdana" w:hAnsi="Verdana"/>
          <w:b/>
          <w:bCs/>
          <w:color w:val="0070C0"/>
          <w:sz w:val="20"/>
          <w:szCs w:val="20"/>
        </w:rPr>
        <w:t>Increasing</w:t>
      </w:r>
    </w:p>
    <w:p w14:paraId="0213509C" w14:textId="77777777" w:rsidR="00E47E67" w:rsidRPr="00E47E67" w:rsidRDefault="00E47E67" w:rsidP="00E47E67">
      <w:pPr>
        <w:spacing w:after="0" w:line="240" w:lineRule="auto"/>
        <w:contextualSpacing/>
        <w:mirrorIndents/>
        <w:rPr>
          <w:rFonts w:ascii="Verdana" w:hAnsi="Verdana"/>
          <w:sz w:val="20"/>
          <w:szCs w:val="20"/>
        </w:rPr>
      </w:pPr>
    </w:p>
    <w:p w14:paraId="0320A77B" w14:textId="2714283C" w:rsidR="00755C15" w:rsidRDefault="00755C15" w:rsidP="00E47E67">
      <w:pPr>
        <w:spacing w:after="0" w:line="240" w:lineRule="auto"/>
        <w:contextualSpacing/>
        <w:mirrorIndents/>
        <w:rPr>
          <w:rFonts w:ascii="Verdana" w:hAnsi="Verdana"/>
          <w:sz w:val="20"/>
          <w:szCs w:val="20"/>
        </w:rPr>
      </w:pPr>
      <w:r>
        <w:rPr>
          <w:rFonts w:ascii="Verdana" w:hAnsi="Verdana"/>
          <w:sz w:val="20"/>
          <w:szCs w:val="20"/>
        </w:rPr>
        <w:t xml:space="preserve">The US Federal Reserve’s half-point prime rate increase was the signal for some credit card lenders to increase their interest rates, too. Most of these increases are coming from retailers' credit cards while other lenders (Discover, Chase, etc.) are likely to do so soon. </w:t>
      </w:r>
    </w:p>
    <w:p w14:paraId="3E4824F7" w14:textId="77777777" w:rsidR="00755C15" w:rsidRDefault="00755C15" w:rsidP="00E47E67">
      <w:pPr>
        <w:spacing w:after="0" w:line="240" w:lineRule="auto"/>
        <w:contextualSpacing/>
        <w:mirrorIndents/>
        <w:rPr>
          <w:rFonts w:ascii="Verdana" w:hAnsi="Verdana"/>
          <w:sz w:val="20"/>
          <w:szCs w:val="20"/>
        </w:rPr>
      </w:pPr>
    </w:p>
    <w:p w14:paraId="67016E53" w14:textId="7300E25A" w:rsidR="00755C15" w:rsidRDefault="00755C15" w:rsidP="00E47E67">
      <w:pPr>
        <w:spacing w:after="0" w:line="240" w:lineRule="auto"/>
        <w:contextualSpacing/>
        <w:mirrorIndents/>
        <w:rPr>
          <w:rFonts w:ascii="Verdana" w:hAnsi="Verdana"/>
          <w:sz w:val="20"/>
          <w:szCs w:val="20"/>
        </w:rPr>
      </w:pPr>
      <w:r>
        <w:rPr>
          <w:rFonts w:ascii="Verdana" w:hAnsi="Verdana"/>
          <w:sz w:val="20"/>
          <w:szCs w:val="20"/>
        </w:rPr>
        <w:t>CreditCards.com reports 55 of the 100 cards it monitors offered APRs of less than 15% during early March. As of the week of 5/18/22, 41 of those 100 cards offered APRs of 14.99% and 27% had APRs of less than 14%.</w:t>
      </w:r>
    </w:p>
    <w:p w14:paraId="03F88F8F" w14:textId="71A813F9" w:rsidR="00755C15" w:rsidRDefault="00755C15" w:rsidP="00E47E67">
      <w:pPr>
        <w:spacing w:after="0" w:line="240" w:lineRule="auto"/>
        <w:contextualSpacing/>
        <w:mirrorIndents/>
        <w:rPr>
          <w:rFonts w:ascii="Verdana" w:hAnsi="Verdana"/>
          <w:sz w:val="20"/>
          <w:szCs w:val="20"/>
        </w:rPr>
      </w:pPr>
    </w:p>
    <w:p w14:paraId="58132C0B" w14:textId="65CEE795" w:rsidR="00755C15" w:rsidRDefault="00755C15" w:rsidP="00E47E67">
      <w:pPr>
        <w:spacing w:after="0" w:line="240" w:lineRule="auto"/>
        <w:contextualSpacing/>
        <w:mirrorIndents/>
        <w:rPr>
          <w:rFonts w:ascii="Verdana" w:hAnsi="Verdana"/>
          <w:sz w:val="20"/>
          <w:szCs w:val="20"/>
        </w:rPr>
      </w:pPr>
      <w:r>
        <w:rPr>
          <w:rFonts w:ascii="Verdana" w:hAnsi="Verdana"/>
          <w:sz w:val="20"/>
          <w:szCs w:val="20"/>
        </w:rPr>
        <w:t>Increasing rates haven’t seemed to affect consumer spending yet. Bank of America reported a 13% increase in total debit and credit card spending during April. Consumers’ finances are generally good, with large</w:t>
      </w:r>
      <w:r w:rsidR="00997063">
        <w:rPr>
          <w:rFonts w:ascii="Verdana" w:hAnsi="Verdana"/>
          <w:sz w:val="20"/>
          <w:szCs w:val="20"/>
        </w:rPr>
        <w:t>r</w:t>
      </w:r>
      <w:r>
        <w:rPr>
          <w:rFonts w:ascii="Verdana" w:hAnsi="Verdana"/>
          <w:sz w:val="20"/>
          <w:szCs w:val="20"/>
        </w:rPr>
        <w:t xml:space="preserve"> checking account balances and less debt.</w:t>
      </w:r>
    </w:p>
    <w:p w14:paraId="74F3C890" w14:textId="476238C5" w:rsidR="00755C15" w:rsidRDefault="00755C15" w:rsidP="00E47E67">
      <w:pPr>
        <w:spacing w:after="0" w:line="240" w:lineRule="auto"/>
        <w:contextualSpacing/>
        <w:mirrorIndents/>
        <w:rPr>
          <w:rFonts w:ascii="Verdana" w:hAnsi="Verdana"/>
          <w:sz w:val="20"/>
          <w:szCs w:val="20"/>
        </w:rPr>
      </w:pPr>
    </w:p>
    <w:p w14:paraId="3F85FD66" w14:textId="12570262" w:rsidR="008C04E5" w:rsidRPr="00CC1ECE" w:rsidRDefault="009D7090" w:rsidP="008C04E5">
      <w:pPr>
        <w:pStyle w:val="Header"/>
        <w:contextualSpacing/>
        <w:jc w:val="center"/>
        <w:rPr>
          <w:rFonts w:ascii="Verdana" w:hAnsi="Verdana"/>
          <w:b/>
          <w:sz w:val="20"/>
          <w:szCs w:val="20"/>
        </w:rPr>
      </w:pPr>
      <w:r>
        <w:rPr>
          <w:rFonts w:ascii="Verdana" w:hAnsi="Verdana"/>
          <w:b/>
          <w:sz w:val="20"/>
          <w:szCs w:val="20"/>
        </w:rPr>
        <w:t>Weekly Credit Card Interest Rate Comparisons* by Type of Card, May 2022</w:t>
      </w:r>
    </w:p>
    <w:tbl>
      <w:tblPr>
        <w:tblW w:w="11301" w:type="dxa"/>
        <w:jc w:val="center"/>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1991"/>
        <w:gridCol w:w="1174"/>
        <w:gridCol w:w="1174"/>
        <w:gridCol w:w="1174"/>
        <w:gridCol w:w="1987"/>
        <w:gridCol w:w="1267"/>
        <w:gridCol w:w="1267"/>
        <w:gridCol w:w="1267"/>
      </w:tblGrid>
      <w:tr w:rsidR="008C04E5" w:rsidRPr="00DB5378" w14:paraId="3EA40D96" w14:textId="77777777" w:rsidTr="008C04E5">
        <w:trPr>
          <w:jc w:val="center"/>
        </w:trPr>
        <w:tc>
          <w:tcPr>
            <w:tcW w:w="1991" w:type="dxa"/>
            <w:tcBorders>
              <w:top w:val="single" w:sz="12" w:space="0" w:color="000000"/>
              <w:left w:val="single" w:sz="12" w:space="0" w:color="000000"/>
              <w:bottom w:val="single" w:sz="18" w:space="0" w:color="C0504D" w:themeColor="accent2"/>
              <w:right w:val="single" w:sz="12" w:space="0" w:color="0070C0"/>
            </w:tcBorders>
            <w:vAlign w:val="center"/>
          </w:tcPr>
          <w:p w14:paraId="36D1A1D1" w14:textId="7DB2D02A" w:rsidR="008C04E5" w:rsidRPr="00DB5378" w:rsidRDefault="008C04E5" w:rsidP="008C04E5">
            <w:pPr>
              <w:widowControl w:val="0"/>
              <w:tabs>
                <w:tab w:val="left" w:pos="220"/>
                <w:tab w:val="left" w:pos="720"/>
              </w:tabs>
              <w:autoSpaceDE w:val="0"/>
              <w:autoSpaceDN w:val="0"/>
              <w:adjustRightInd w:val="0"/>
              <w:spacing w:after="100" w:afterAutospacing="1" w:line="240" w:lineRule="auto"/>
              <w:contextualSpacing/>
              <w:jc w:val="center"/>
              <w:rPr>
                <w:rFonts w:ascii="Verdana" w:eastAsia="Times New Roman" w:hAnsi="Verdana"/>
                <w:sz w:val="20"/>
                <w:szCs w:val="20"/>
              </w:rPr>
            </w:pPr>
            <w:r>
              <w:rPr>
                <w:rFonts w:ascii="Verdana" w:eastAsia="Times New Roman" w:hAnsi="Verdana"/>
                <w:sz w:val="20"/>
                <w:szCs w:val="20"/>
              </w:rPr>
              <w:t>Card Type</w:t>
            </w:r>
          </w:p>
        </w:tc>
        <w:tc>
          <w:tcPr>
            <w:tcW w:w="1174" w:type="dxa"/>
            <w:tcBorders>
              <w:top w:val="single" w:sz="12" w:space="0" w:color="000000"/>
              <w:left w:val="single" w:sz="12" w:space="0" w:color="0070C0"/>
              <w:bottom w:val="single" w:sz="18" w:space="0" w:color="C0504D" w:themeColor="accent2"/>
              <w:right w:val="single" w:sz="2" w:space="0" w:color="0070C0"/>
            </w:tcBorders>
            <w:vAlign w:val="center"/>
          </w:tcPr>
          <w:p w14:paraId="7343B89A" w14:textId="49758C40" w:rsidR="008C04E5" w:rsidRDefault="008C04E5" w:rsidP="008C04E5">
            <w:pPr>
              <w:widowControl w:val="0"/>
              <w:tabs>
                <w:tab w:val="left" w:pos="220"/>
                <w:tab w:val="left" w:pos="720"/>
              </w:tabs>
              <w:autoSpaceDE w:val="0"/>
              <w:autoSpaceDN w:val="0"/>
              <w:adjustRightInd w:val="0"/>
              <w:spacing w:after="100" w:afterAutospacing="1" w:line="240" w:lineRule="auto"/>
              <w:contextualSpacing/>
              <w:jc w:val="center"/>
              <w:rPr>
                <w:rFonts w:ascii="Verdana" w:eastAsia="Times New Roman" w:hAnsi="Verdana"/>
                <w:sz w:val="20"/>
                <w:szCs w:val="20"/>
              </w:rPr>
            </w:pPr>
            <w:r>
              <w:rPr>
                <w:rFonts w:ascii="Verdana" w:eastAsia="Times New Roman" w:hAnsi="Verdana"/>
                <w:sz w:val="20"/>
                <w:szCs w:val="20"/>
              </w:rPr>
              <w:t>Avg. APR</w:t>
            </w:r>
          </w:p>
        </w:tc>
        <w:tc>
          <w:tcPr>
            <w:tcW w:w="1174" w:type="dxa"/>
            <w:tcBorders>
              <w:top w:val="single" w:sz="12" w:space="0" w:color="000000"/>
              <w:left w:val="single" w:sz="2" w:space="0" w:color="0070C0"/>
              <w:bottom w:val="single" w:sz="18" w:space="0" w:color="C0504D" w:themeColor="accent2"/>
              <w:right w:val="single" w:sz="2" w:space="0" w:color="0070C0"/>
            </w:tcBorders>
            <w:vAlign w:val="center"/>
          </w:tcPr>
          <w:p w14:paraId="406AE4A2" w14:textId="1200B963" w:rsidR="008C04E5" w:rsidRDefault="008C04E5" w:rsidP="008C04E5">
            <w:pPr>
              <w:widowControl w:val="0"/>
              <w:tabs>
                <w:tab w:val="left" w:pos="220"/>
                <w:tab w:val="left" w:pos="720"/>
              </w:tabs>
              <w:autoSpaceDE w:val="0"/>
              <w:autoSpaceDN w:val="0"/>
              <w:adjustRightInd w:val="0"/>
              <w:spacing w:after="100" w:afterAutospacing="1" w:line="240" w:lineRule="auto"/>
              <w:contextualSpacing/>
              <w:jc w:val="center"/>
              <w:rPr>
                <w:rFonts w:ascii="Verdana" w:eastAsia="Times New Roman" w:hAnsi="Verdana"/>
                <w:sz w:val="20"/>
                <w:szCs w:val="20"/>
              </w:rPr>
            </w:pPr>
            <w:r>
              <w:rPr>
                <w:rFonts w:ascii="Verdana" w:eastAsia="Times New Roman" w:hAnsi="Verdana"/>
                <w:sz w:val="20"/>
                <w:szCs w:val="20"/>
              </w:rPr>
              <w:t>Last Week</w:t>
            </w:r>
          </w:p>
        </w:tc>
        <w:tc>
          <w:tcPr>
            <w:tcW w:w="1174" w:type="dxa"/>
            <w:tcBorders>
              <w:top w:val="single" w:sz="12" w:space="0" w:color="000000"/>
              <w:left w:val="single" w:sz="2" w:space="0" w:color="0070C0"/>
              <w:bottom w:val="single" w:sz="18" w:space="0" w:color="C0504D" w:themeColor="accent2"/>
              <w:right w:val="single" w:sz="18" w:space="0" w:color="0070C0"/>
            </w:tcBorders>
            <w:vAlign w:val="center"/>
          </w:tcPr>
          <w:p w14:paraId="2339AB04" w14:textId="6A7F6ADC" w:rsidR="008C04E5" w:rsidRPr="00DB5378" w:rsidRDefault="008C04E5" w:rsidP="008C04E5">
            <w:pPr>
              <w:widowControl w:val="0"/>
              <w:tabs>
                <w:tab w:val="left" w:pos="220"/>
                <w:tab w:val="left" w:pos="720"/>
              </w:tabs>
              <w:autoSpaceDE w:val="0"/>
              <w:autoSpaceDN w:val="0"/>
              <w:adjustRightInd w:val="0"/>
              <w:spacing w:after="100" w:afterAutospacing="1" w:line="240" w:lineRule="auto"/>
              <w:contextualSpacing/>
              <w:jc w:val="center"/>
              <w:rPr>
                <w:rFonts w:ascii="Verdana" w:eastAsia="Times New Roman" w:hAnsi="Verdana"/>
                <w:sz w:val="20"/>
                <w:szCs w:val="20"/>
              </w:rPr>
            </w:pPr>
            <w:r>
              <w:rPr>
                <w:rFonts w:ascii="Verdana" w:eastAsia="Times New Roman" w:hAnsi="Verdana"/>
                <w:sz w:val="20"/>
                <w:szCs w:val="20"/>
              </w:rPr>
              <w:t>6 Months Age</w:t>
            </w:r>
          </w:p>
        </w:tc>
        <w:tc>
          <w:tcPr>
            <w:tcW w:w="1987" w:type="dxa"/>
            <w:tcBorders>
              <w:top w:val="single" w:sz="12" w:space="0" w:color="000000"/>
              <w:left w:val="single" w:sz="18" w:space="0" w:color="0070C0"/>
              <w:bottom w:val="single" w:sz="18" w:space="0" w:color="C0504D" w:themeColor="accent2"/>
              <w:right w:val="single" w:sz="12" w:space="0" w:color="0070C0"/>
            </w:tcBorders>
            <w:vAlign w:val="center"/>
          </w:tcPr>
          <w:p w14:paraId="766274FE" w14:textId="43C51EE8" w:rsidR="008C04E5" w:rsidRDefault="008C04E5" w:rsidP="008C04E5">
            <w:pPr>
              <w:widowControl w:val="0"/>
              <w:tabs>
                <w:tab w:val="left" w:pos="220"/>
                <w:tab w:val="left" w:pos="720"/>
              </w:tabs>
              <w:autoSpaceDE w:val="0"/>
              <w:autoSpaceDN w:val="0"/>
              <w:adjustRightInd w:val="0"/>
              <w:spacing w:after="100" w:afterAutospacing="1" w:line="240" w:lineRule="auto"/>
              <w:contextualSpacing/>
              <w:jc w:val="center"/>
              <w:rPr>
                <w:rFonts w:ascii="Verdana" w:eastAsia="Times New Roman" w:hAnsi="Verdana"/>
                <w:sz w:val="20"/>
                <w:szCs w:val="20"/>
              </w:rPr>
            </w:pPr>
            <w:r>
              <w:rPr>
                <w:rFonts w:ascii="Verdana" w:eastAsia="Times New Roman" w:hAnsi="Verdana"/>
                <w:sz w:val="20"/>
                <w:szCs w:val="20"/>
              </w:rPr>
              <w:t>Card Type</w:t>
            </w:r>
          </w:p>
        </w:tc>
        <w:tc>
          <w:tcPr>
            <w:tcW w:w="1267" w:type="dxa"/>
            <w:tcBorders>
              <w:top w:val="single" w:sz="12" w:space="0" w:color="000000"/>
              <w:left w:val="single" w:sz="12" w:space="0" w:color="0070C0"/>
              <w:bottom w:val="single" w:sz="18" w:space="0" w:color="C0504D" w:themeColor="accent2"/>
              <w:right w:val="single" w:sz="2" w:space="0" w:color="0070C0"/>
            </w:tcBorders>
            <w:vAlign w:val="center"/>
          </w:tcPr>
          <w:p w14:paraId="21849BE1" w14:textId="5776EAA7" w:rsidR="008C04E5" w:rsidRDefault="008C04E5" w:rsidP="008C04E5">
            <w:pPr>
              <w:widowControl w:val="0"/>
              <w:tabs>
                <w:tab w:val="left" w:pos="220"/>
                <w:tab w:val="left" w:pos="720"/>
              </w:tabs>
              <w:autoSpaceDE w:val="0"/>
              <w:autoSpaceDN w:val="0"/>
              <w:adjustRightInd w:val="0"/>
              <w:spacing w:after="100" w:afterAutospacing="1" w:line="240" w:lineRule="auto"/>
              <w:contextualSpacing/>
              <w:jc w:val="center"/>
              <w:rPr>
                <w:rFonts w:ascii="Verdana" w:eastAsia="Times New Roman" w:hAnsi="Verdana"/>
                <w:sz w:val="20"/>
                <w:szCs w:val="20"/>
              </w:rPr>
            </w:pPr>
            <w:r>
              <w:rPr>
                <w:rFonts w:ascii="Verdana" w:eastAsia="Times New Roman" w:hAnsi="Verdana"/>
                <w:sz w:val="20"/>
                <w:szCs w:val="20"/>
              </w:rPr>
              <w:t>Avg. APR</w:t>
            </w:r>
          </w:p>
        </w:tc>
        <w:tc>
          <w:tcPr>
            <w:tcW w:w="1267" w:type="dxa"/>
            <w:tcBorders>
              <w:top w:val="single" w:sz="12" w:space="0" w:color="000000"/>
              <w:left w:val="single" w:sz="2" w:space="0" w:color="0070C0"/>
              <w:bottom w:val="single" w:sz="18" w:space="0" w:color="C0504D" w:themeColor="accent2"/>
              <w:right w:val="single" w:sz="2" w:space="0" w:color="0070C0"/>
            </w:tcBorders>
            <w:vAlign w:val="center"/>
          </w:tcPr>
          <w:p w14:paraId="4ABDF3BA" w14:textId="0814E19A" w:rsidR="008C04E5" w:rsidRDefault="008C04E5" w:rsidP="008C04E5">
            <w:pPr>
              <w:widowControl w:val="0"/>
              <w:tabs>
                <w:tab w:val="left" w:pos="220"/>
                <w:tab w:val="left" w:pos="720"/>
              </w:tabs>
              <w:autoSpaceDE w:val="0"/>
              <w:autoSpaceDN w:val="0"/>
              <w:adjustRightInd w:val="0"/>
              <w:spacing w:after="100" w:afterAutospacing="1" w:line="240" w:lineRule="auto"/>
              <w:contextualSpacing/>
              <w:jc w:val="center"/>
              <w:rPr>
                <w:rFonts w:ascii="Verdana" w:eastAsia="Times New Roman" w:hAnsi="Verdana"/>
                <w:sz w:val="20"/>
                <w:szCs w:val="20"/>
              </w:rPr>
            </w:pPr>
            <w:r>
              <w:rPr>
                <w:rFonts w:ascii="Verdana" w:eastAsia="Times New Roman" w:hAnsi="Verdana"/>
                <w:sz w:val="20"/>
                <w:szCs w:val="20"/>
              </w:rPr>
              <w:t>Last Week</w:t>
            </w:r>
          </w:p>
        </w:tc>
        <w:tc>
          <w:tcPr>
            <w:tcW w:w="1267" w:type="dxa"/>
            <w:tcBorders>
              <w:top w:val="single" w:sz="12" w:space="0" w:color="000000"/>
              <w:left w:val="single" w:sz="2" w:space="0" w:color="0070C0"/>
              <w:bottom w:val="single" w:sz="18" w:space="0" w:color="C0504D" w:themeColor="accent2"/>
              <w:right w:val="single" w:sz="12" w:space="0" w:color="000000"/>
            </w:tcBorders>
            <w:vAlign w:val="center"/>
          </w:tcPr>
          <w:p w14:paraId="3A2F2B7C" w14:textId="695B8711" w:rsidR="008C04E5" w:rsidRDefault="008C04E5" w:rsidP="008C04E5">
            <w:pPr>
              <w:widowControl w:val="0"/>
              <w:tabs>
                <w:tab w:val="left" w:pos="220"/>
                <w:tab w:val="left" w:pos="720"/>
              </w:tabs>
              <w:autoSpaceDE w:val="0"/>
              <w:autoSpaceDN w:val="0"/>
              <w:adjustRightInd w:val="0"/>
              <w:spacing w:after="100" w:afterAutospacing="1" w:line="240" w:lineRule="auto"/>
              <w:contextualSpacing/>
              <w:jc w:val="center"/>
              <w:rPr>
                <w:rFonts w:ascii="Verdana" w:eastAsia="Times New Roman" w:hAnsi="Verdana"/>
                <w:sz w:val="20"/>
                <w:szCs w:val="20"/>
              </w:rPr>
            </w:pPr>
            <w:r>
              <w:rPr>
                <w:rFonts w:ascii="Verdana" w:eastAsia="Times New Roman" w:hAnsi="Verdana"/>
                <w:sz w:val="20"/>
                <w:szCs w:val="20"/>
              </w:rPr>
              <w:t>6 Months Age</w:t>
            </w:r>
          </w:p>
        </w:tc>
      </w:tr>
      <w:tr w:rsidR="008C04E5" w:rsidRPr="00DB5378" w14:paraId="47207888" w14:textId="77777777" w:rsidTr="00FD1A45">
        <w:tblPrEx>
          <w:tblBorders>
            <w:top w:val="none" w:sz="0" w:space="0" w:color="auto"/>
          </w:tblBorders>
        </w:tblPrEx>
        <w:trPr>
          <w:jc w:val="center"/>
        </w:trPr>
        <w:tc>
          <w:tcPr>
            <w:tcW w:w="1991" w:type="dxa"/>
            <w:tcBorders>
              <w:top w:val="single" w:sz="18" w:space="0" w:color="C0504D" w:themeColor="accent2"/>
              <w:left w:val="single" w:sz="12" w:space="0" w:color="000000"/>
              <w:bottom w:val="single" w:sz="4" w:space="0" w:color="000000"/>
              <w:right w:val="single" w:sz="12" w:space="0" w:color="0070C0"/>
            </w:tcBorders>
            <w:vAlign w:val="center"/>
          </w:tcPr>
          <w:p w14:paraId="36AA0FA8" w14:textId="317F8FDC" w:rsidR="008C04E5" w:rsidRPr="00DB5378" w:rsidRDefault="008C04E5" w:rsidP="00675D1F">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sz w:val="20"/>
                <w:szCs w:val="20"/>
              </w:rPr>
            </w:pPr>
            <w:r>
              <w:rPr>
                <w:rFonts w:ascii="Verdana" w:eastAsia="Times New Roman" w:hAnsi="Verdana"/>
                <w:sz w:val="20"/>
                <w:szCs w:val="20"/>
              </w:rPr>
              <w:t>National average</w:t>
            </w:r>
          </w:p>
        </w:tc>
        <w:tc>
          <w:tcPr>
            <w:tcW w:w="1174" w:type="dxa"/>
            <w:tcBorders>
              <w:top w:val="single" w:sz="18" w:space="0" w:color="C0504D" w:themeColor="accent2"/>
              <w:left w:val="single" w:sz="12" w:space="0" w:color="0070C0"/>
              <w:bottom w:val="single" w:sz="4" w:space="0" w:color="auto"/>
              <w:right w:val="single" w:sz="2" w:space="0" w:color="0070C0"/>
            </w:tcBorders>
            <w:shd w:val="clear" w:color="auto" w:fill="F2DBDB" w:themeFill="accent2" w:themeFillTint="33"/>
            <w:vAlign w:val="center"/>
          </w:tcPr>
          <w:p w14:paraId="18D0237D" w14:textId="6F42B4FB" w:rsidR="008C04E5" w:rsidRPr="00DB5378" w:rsidRDefault="008C04E5" w:rsidP="00FD1A45">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16.58%</w:t>
            </w:r>
          </w:p>
        </w:tc>
        <w:tc>
          <w:tcPr>
            <w:tcW w:w="1174" w:type="dxa"/>
            <w:tcBorders>
              <w:top w:val="single" w:sz="18" w:space="0" w:color="C0504D" w:themeColor="accent2"/>
              <w:left w:val="single" w:sz="2" w:space="0" w:color="0070C0"/>
              <w:bottom w:val="single" w:sz="4" w:space="0" w:color="auto"/>
              <w:right w:val="single" w:sz="2" w:space="0" w:color="0070C0"/>
            </w:tcBorders>
            <w:vAlign w:val="center"/>
          </w:tcPr>
          <w:p w14:paraId="12439765" w14:textId="525C76A0" w:rsidR="008C04E5" w:rsidRPr="00DB5378" w:rsidRDefault="008C04E5" w:rsidP="00FD1A45">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16.54%</w:t>
            </w:r>
          </w:p>
        </w:tc>
        <w:tc>
          <w:tcPr>
            <w:tcW w:w="1174" w:type="dxa"/>
            <w:tcBorders>
              <w:top w:val="single" w:sz="18" w:space="0" w:color="C0504D" w:themeColor="accent2"/>
              <w:left w:val="single" w:sz="2" w:space="0" w:color="0070C0"/>
              <w:bottom w:val="single" w:sz="4" w:space="0" w:color="auto"/>
              <w:right w:val="single" w:sz="18" w:space="0" w:color="0070C0"/>
            </w:tcBorders>
            <w:shd w:val="clear" w:color="auto" w:fill="auto"/>
            <w:vAlign w:val="center"/>
          </w:tcPr>
          <w:p w14:paraId="3527638B" w14:textId="07CCC2E6" w:rsidR="008C04E5" w:rsidRPr="00DB5378" w:rsidRDefault="008C04E5" w:rsidP="00FD1A45">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16.13%</w:t>
            </w:r>
          </w:p>
        </w:tc>
        <w:tc>
          <w:tcPr>
            <w:tcW w:w="1987" w:type="dxa"/>
            <w:tcBorders>
              <w:top w:val="single" w:sz="18" w:space="0" w:color="C0504D" w:themeColor="accent2"/>
              <w:left w:val="single" w:sz="18" w:space="0" w:color="0070C0"/>
              <w:bottom w:val="single" w:sz="4" w:space="0" w:color="auto"/>
              <w:right w:val="single" w:sz="12" w:space="0" w:color="0070C0"/>
            </w:tcBorders>
            <w:shd w:val="clear" w:color="auto" w:fill="auto"/>
            <w:vAlign w:val="center"/>
          </w:tcPr>
          <w:p w14:paraId="43229839" w14:textId="21CC90AE" w:rsidR="008C04E5" w:rsidRDefault="008C04E5" w:rsidP="00675D1F">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rPr>
                <w:rFonts w:ascii="Verdana" w:eastAsia="Times New Roman" w:hAnsi="Verdana"/>
                <w:sz w:val="20"/>
                <w:szCs w:val="20"/>
              </w:rPr>
            </w:pPr>
            <w:r>
              <w:rPr>
                <w:rFonts w:ascii="Verdana" w:eastAsia="Times New Roman" w:hAnsi="Verdana"/>
                <w:sz w:val="20"/>
                <w:szCs w:val="20"/>
              </w:rPr>
              <w:t>Student</w:t>
            </w:r>
          </w:p>
        </w:tc>
        <w:tc>
          <w:tcPr>
            <w:tcW w:w="1267" w:type="dxa"/>
            <w:tcBorders>
              <w:top w:val="single" w:sz="18" w:space="0" w:color="C0504D" w:themeColor="accent2"/>
              <w:left w:val="single" w:sz="12" w:space="0" w:color="0070C0"/>
              <w:bottom w:val="single" w:sz="4" w:space="0" w:color="auto"/>
              <w:right w:val="single" w:sz="2" w:space="0" w:color="0070C0"/>
            </w:tcBorders>
            <w:shd w:val="clear" w:color="auto" w:fill="F2F2F2" w:themeFill="background1" w:themeFillShade="F2"/>
            <w:vAlign w:val="center"/>
          </w:tcPr>
          <w:p w14:paraId="40B3245A" w14:textId="15F253C1" w:rsidR="008C04E5" w:rsidRDefault="008C04E5" w:rsidP="00FD1A45">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17.07%</w:t>
            </w:r>
          </w:p>
        </w:tc>
        <w:tc>
          <w:tcPr>
            <w:tcW w:w="1267" w:type="dxa"/>
            <w:tcBorders>
              <w:top w:val="single" w:sz="18" w:space="0" w:color="C0504D" w:themeColor="accent2"/>
              <w:left w:val="single" w:sz="2" w:space="0" w:color="0070C0"/>
              <w:bottom w:val="single" w:sz="4" w:space="0" w:color="auto"/>
              <w:right w:val="single" w:sz="2" w:space="0" w:color="0070C0"/>
            </w:tcBorders>
            <w:vAlign w:val="center"/>
          </w:tcPr>
          <w:p w14:paraId="3F2D33B1" w14:textId="7A072CFB" w:rsidR="008C04E5" w:rsidRDefault="008C04E5" w:rsidP="00FD1A45">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17.07%</w:t>
            </w:r>
          </w:p>
        </w:tc>
        <w:tc>
          <w:tcPr>
            <w:tcW w:w="1267" w:type="dxa"/>
            <w:tcBorders>
              <w:top w:val="single" w:sz="18" w:space="0" w:color="C0504D" w:themeColor="accent2"/>
              <w:left w:val="single" w:sz="2" w:space="0" w:color="0070C0"/>
              <w:bottom w:val="single" w:sz="4" w:space="0" w:color="auto"/>
              <w:right w:val="single" w:sz="12" w:space="0" w:color="000000"/>
            </w:tcBorders>
            <w:shd w:val="clear" w:color="auto" w:fill="auto"/>
            <w:vAlign w:val="center"/>
          </w:tcPr>
          <w:p w14:paraId="21369C8C" w14:textId="1A8D6BEB" w:rsidR="008C04E5" w:rsidRDefault="008C04E5" w:rsidP="00FD1A45">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16.78%</w:t>
            </w:r>
          </w:p>
        </w:tc>
      </w:tr>
      <w:tr w:rsidR="008C04E5" w:rsidRPr="00DB5378" w14:paraId="2E1611EB" w14:textId="77777777" w:rsidTr="00FD1A45">
        <w:tblPrEx>
          <w:tblBorders>
            <w:top w:val="none" w:sz="0" w:space="0" w:color="auto"/>
          </w:tblBorders>
        </w:tblPrEx>
        <w:trPr>
          <w:jc w:val="center"/>
        </w:trPr>
        <w:tc>
          <w:tcPr>
            <w:tcW w:w="1991" w:type="dxa"/>
            <w:tcBorders>
              <w:top w:val="single" w:sz="4" w:space="0" w:color="000000"/>
              <w:left w:val="single" w:sz="12" w:space="0" w:color="000000"/>
              <w:bottom w:val="single" w:sz="4" w:space="0" w:color="000000"/>
              <w:right w:val="single" w:sz="12" w:space="0" w:color="0070C0"/>
            </w:tcBorders>
            <w:vAlign w:val="center"/>
          </w:tcPr>
          <w:p w14:paraId="43BCD2CC" w14:textId="610BAADA" w:rsidR="008C04E5" w:rsidRDefault="008C04E5" w:rsidP="00675D1F">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sz w:val="20"/>
                <w:szCs w:val="20"/>
              </w:rPr>
            </w:pPr>
            <w:r>
              <w:rPr>
                <w:rFonts w:ascii="Verdana" w:eastAsia="Times New Roman" w:hAnsi="Verdana"/>
                <w:sz w:val="20"/>
                <w:szCs w:val="20"/>
              </w:rPr>
              <w:t>Low interest</w:t>
            </w:r>
          </w:p>
        </w:tc>
        <w:tc>
          <w:tcPr>
            <w:tcW w:w="1174" w:type="dxa"/>
            <w:tcBorders>
              <w:top w:val="single" w:sz="4" w:space="0" w:color="auto"/>
              <w:left w:val="single" w:sz="12" w:space="0" w:color="0070C0"/>
              <w:bottom w:val="single" w:sz="4" w:space="0" w:color="000000"/>
              <w:right w:val="single" w:sz="2" w:space="0" w:color="0070C0"/>
            </w:tcBorders>
            <w:shd w:val="clear" w:color="auto" w:fill="F2DBDB" w:themeFill="accent2" w:themeFillTint="33"/>
            <w:vAlign w:val="center"/>
          </w:tcPr>
          <w:p w14:paraId="6404D20E" w14:textId="3CC9B87D" w:rsidR="008C04E5" w:rsidRDefault="008C04E5" w:rsidP="00FD1A45">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13.53%</w:t>
            </w:r>
          </w:p>
        </w:tc>
        <w:tc>
          <w:tcPr>
            <w:tcW w:w="1174" w:type="dxa"/>
            <w:tcBorders>
              <w:top w:val="single" w:sz="4" w:space="0" w:color="auto"/>
              <w:left w:val="single" w:sz="2" w:space="0" w:color="0070C0"/>
              <w:bottom w:val="single" w:sz="4" w:space="0" w:color="000000"/>
              <w:right w:val="single" w:sz="2" w:space="0" w:color="0070C0"/>
            </w:tcBorders>
            <w:vAlign w:val="center"/>
          </w:tcPr>
          <w:p w14:paraId="7B21E011" w14:textId="05A63BDD" w:rsidR="008C04E5" w:rsidRDefault="008C04E5" w:rsidP="00FD1A45">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13.50%</w:t>
            </w:r>
          </w:p>
        </w:tc>
        <w:tc>
          <w:tcPr>
            <w:tcW w:w="1174" w:type="dxa"/>
            <w:tcBorders>
              <w:top w:val="single" w:sz="4" w:space="0" w:color="auto"/>
              <w:left w:val="single" w:sz="2" w:space="0" w:color="0070C0"/>
              <w:bottom w:val="single" w:sz="4" w:space="0" w:color="000000"/>
              <w:right w:val="single" w:sz="18" w:space="0" w:color="0070C0"/>
            </w:tcBorders>
            <w:shd w:val="clear" w:color="auto" w:fill="auto"/>
            <w:vAlign w:val="center"/>
          </w:tcPr>
          <w:p w14:paraId="3DEFAA56" w14:textId="1CCBC18E" w:rsidR="008C04E5" w:rsidRDefault="008C04E5" w:rsidP="00FD1A45">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12.94%</w:t>
            </w:r>
          </w:p>
        </w:tc>
        <w:tc>
          <w:tcPr>
            <w:tcW w:w="1987" w:type="dxa"/>
            <w:tcBorders>
              <w:top w:val="single" w:sz="4" w:space="0" w:color="auto"/>
              <w:left w:val="single" w:sz="18" w:space="0" w:color="0070C0"/>
              <w:bottom w:val="single" w:sz="4" w:space="0" w:color="000000"/>
              <w:right w:val="single" w:sz="12" w:space="0" w:color="0070C0"/>
            </w:tcBorders>
            <w:shd w:val="clear" w:color="auto" w:fill="auto"/>
            <w:vAlign w:val="center"/>
          </w:tcPr>
          <w:p w14:paraId="2E6670FF" w14:textId="51DBE211" w:rsidR="008C04E5" w:rsidRDefault="008C04E5" w:rsidP="00675D1F">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rPr>
                <w:rFonts w:ascii="Verdana" w:eastAsia="Times New Roman" w:hAnsi="Verdana"/>
                <w:sz w:val="20"/>
                <w:szCs w:val="20"/>
              </w:rPr>
            </w:pPr>
            <w:r>
              <w:rPr>
                <w:rFonts w:ascii="Verdana" w:eastAsia="Times New Roman" w:hAnsi="Verdana"/>
                <w:sz w:val="20"/>
                <w:szCs w:val="20"/>
              </w:rPr>
              <w:t>Airline</w:t>
            </w:r>
          </w:p>
        </w:tc>
        <w:tc>
          <w:tcPr>
            <w:tcW w:w="1267" w:type="dxa"/>
            <w:tcBorders>
              <w:top w:val="single" w:sz="4" w:space="0" w:color="auto"/>
              <w:left w:val="single" w:sz="12" w:space="0" w:color="0070C0"/>
              <w:bottom w:val="single" w:sz="4" w:space="0" w:color="000000"/>
              <w:right w:val="single" w:sz="2" w:space="0" w:color="0070C0"/>
            </w:tcBorders>
            <w:shd w:val="clear" w:color="auto" w:fill="F2F2F2" w:themeFill="background1" w:themeFillShade="F2"/>
            <w:vAlign w:val="center"/>
          </w:tcPr>
          <w:p w14:paraId="471956C9" w14:textId="0873B3AF" w:rsidR="008C04E5" w:rsidRDefault="008C04E5" w:rsidP="00FD1A45">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16.04%</w:t>
            </w:r>
          </w:p>
        </w:tc>
        <w:tc>
          <w:tcPr>
            <w:tcW w:w="1267" w:type="dxa"/>
            <w:tcBorders>
              <w:top w:val="single" w:sz="4" w:space="0" w:color="auto"/>
              <w:left w:val="single" w:sz="2" w:space="0" w:color="0070C0"/>
              <w:bottom w:val="single" w:sz="4" w:space="0" w:color="000000"/>
              <w:right w:val="single" w:sz="2" w:space="0" w:color="0070C0"/>
            </w:tcBorders>
            <w:vAlign w:val="center"/>
          </w:tcPr>
          <w:p w14:paraId="586D8E9C" w14:textId="6219EB89" w:rsidR="008C04E5" w:rsidRDefault="008C04E5" w:rsidP="00FD1A45">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16.04%</w:t>
            </w:r>
          </w:p>
        </w:tc>
        <w:tc>
          <w:tcPr>
            <w:tcW w:w="1267" w:type="dxa"/>
            <w:tcBorders>
              <w:top w:val="single" w:sz="4" w:space="0" w:color="auto"/>
              <w:left w:val="single" w:sz="2" w:space="0" w:color="0070C0"/>
              <w:bottom w:val="single" w:sz="4" w:space="0" w:color="000000"/>
              <w:right w:val="single" w:sz="12" w:space="0" w:color="000000"/>
            </w:tcBorders>
            <w:shd w:val="clear" w:color="auto" w:fill="auto"/>
            <w:vAlign w:val="center"/>
          </w:tcPr>
          <w:p w14:paraId="2B09B29E" w14:textId="37DFEC8E" w:rsidR="008C04E5" w:rsidRDefault="008C04E5" w:rsidP="00FD1A45">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15.46%</w:t>
            </w:r>
          </w:p>
        </w:tc>
      </w:tr>
      <w:tr w:rsidR="008C04E5" w:rsidRPr="00DB5378" w14:paraId="2A6AC15D" w14:textId="77777777" w:rsidTr="00FD1A45">
        <w:tblPrEx>
          <w:tblBorders>
            <w:top w:val="none" w:sz="0" w:space="0" w:color="auto"/>
          </w:tblBorders>
        </w:tblPrEx>
        <w:trPr>
          <w:jc w:val="center"/>
        </w:trPr>
        <w:tc>
          <w:tcPr>
            <w:tcW w:w="1991" w:type="dxa"/>
            <w:tcBorders>
              <w:top w:val="single" w:sz="4" w:space="0" w:color="000000"/>
              <w:left w:val="single" w:sz="12" w:space="0" w:color="000000"/>
              <w:bottom w:val="single" w:sz="4" w:space="0" w:color="000000"/>
              <w:right w:val="single" w:sz="12" w:space="0" w:color="0070C0"/>
            </w:tcBorders>
            <w:vAlign w:val="center"/>
          </w:tcPr>
          <w:p w14:paraId="50134183" w14:textId="34B9684A" w:rsidR="008C04E5" w:rsidRDefault="008C04E5" w:rsidP="00675D1F">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sz w:val="20"/>
                <w:szCs w:val="20"/>
              </w:rPr>
            </w:pPr>
            <w:r>
              <w:rPr>
                <w:rFonts w:ascii="Verdana" w:eastAsia="Times New Roman" w:hAnsi="Verdana"/>
                <w:sz w:val="20"/>
                <w:szCs w:val="20"/>
              </w:rPr>
              <w:t>Cash back</w:t>
            </w:r>
          </w:p>
        </w:tc>
        <w:tc>
          <w:tcPr>
            <w:tcW w:w="1174" w:type="dxa"/>
            <w:tcBorders>
              <w:top w:val="single" w:sz="4" w:space="0" w:color="auto"/>
              <w:left w:val="single" w:sz="12" w:space="0" w:color="0070C0"/>
              <w:bottom w:val="single" w:sz="4" w:space="0" w:color="000000"/>
              <w:right w:val="single" w:sz="2" w:space="0" w:color="0070C0"/>
            </w:tcBorders>
            <w:shd w:val="clear" w:color="auto" w:fill="F2DBDB" w:themeFill="accent2" w:themeFillTint="33"/>
            <w:vAlign w:val="center"/>
          </w:tcPr>
          <w:p w14:paraId="6F1D6215" w14:textId="3FEF11D9" w:rsidR="008C04E5" w:rsidRDefault="008C04E5" w:rsidP="00FD1A45">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16.51%</w:t>
            </w:r>
          </w:p>
        </w:tc>
        <w:tc>
          <w:tcPr>
            <w:tcW w:w="1174" w:type="dxa"/>
            <w:tcBorders>
              <w:top w:val="single" w:sz="4" w:space="0" w:color="auto"/>
              <w:left w:val="single" w:sz="2" w:space="0" w:color="0070C0"/>
              <w:bottom w:val="single" w:sz="4" w:space="0" w:color="000000"/>
              <w:right w:val="single" w:sz="2" w:space="0" w:color="0070C0"/>
            </w:tcBorders>
            <w:vAlign w:val="center"/>
          </w:tcPr>
          <w:p w14:paraId="0F0C10C8" w14:textId="3CAAB58D" w:rsidR="008C04E5" w:rsidRDefault="008C04E5" w:rsidP="00FD1A45">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16.47%</w:t>
            </w:r>
          </w:p>
        </w:tc>
        <w:tc>
          <w:tcPr>
            <w:tcW w:w="1174" w:type="dxa"/>
            <w:tcBorders>
              <w:top w:val="single" w:sz="4" w:space="0" w:color="auto"/>
              <w:left w:val="single" w:sz="2" w:space="0" w:color="0070C0"/>
              <w:bottom w:val="single" w:sz="4" w:space="0" w:color="000000"/>
              <w:right w:val="single" w:sz="18" w:space="0" w:color="0070C0"/>
            </w:tcBorders>
            <w:shd w:val="clear" w:color="auto" w:fill="auto"/>
            <w:vAlign w:val="center"/>
          </w:tcPr>
          <w:p w14:paraId="0DC52E76" w14:textId="1ADFCDB3" w:rsidR="008C04E5" w:rsidRDefault="008C04E5" w:rsidP="00FD1A45">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16.14%</w:t>
            </w:r>
          </w:p>
        </w:tc>
        <w:tc>
          <w:tcPr>
            <w:tcW w:w="1987" w:type="dxa"/>
            <w:tcBorders>
              <w:top w:val="single" w:sz="4" w:space="0" w:color="auto"/>
              <w:left w:val="single" w:sz="18" w:space="0" w:color="0070C0"/>
              <w:bottom w:val="single" w:sz="4" w:space="0" w:color="000000"/>
              <w:right w:val="single" w:sz="12" w:space="0" w:color="0070C0"/>
            </w:tcBorders>
            <w:shd w:val="clear" w:color="auto" w:fill="auto"/>
            <w:vAlign w:val="center"/>
          </w:tcPr>
          <w:p w14:paraId="60941F9C" w14:textId="118B77E0" w:rsidR="008C04E5" w:rsidRDefault="008C04E5" w:rsidP="00675D1F">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rPr>
                <w:rFonts w:ascii="Verdana" w:eastAsia="Times New Roman" w:hAnsi="Verdana"/>
                <w:sz w:val="20"/>
                <w:szCs w:val="20"/>
              </w:rPr>
            </w:pPr>
            <w:r>
              <w:rPr>
                <w:rFonts w:ascii="Verdana" w:eastAsia="Times New Roman" w:hAnsi="Verdana"/>
                <w:sz w:val="20"/>
                <w:szCs w:val="20"/>
              </w:rPr>
              <w:t>Rewards</w:t>
            </w:r>
          </w:p>
        </w:tc>
        <w:tc>
          <w:tcPr>
            <w:tcW w:w="1267" w:type="dxa"/>
            <w:tcBorders>
              <w:top w:val="single" w:sz="4" w:space="0" w:color="auto"/>
              <w:left w:val="single" w:sz="12" w:space="0" w:color="0070C0"/>
              <w:bottom w:val="single" w:sz="4" w:space="0" w:color="000000"/>
              <w:right w:val="single" w:sz="2" w:space="0" w:color="0070C0"/>
            </w:tcBorders>
            <w:shd w:val="clear" w:color="auto" w:fill="F2DBDB" w:themeFill="accent2" w:themeFillTint="33"/>
            <w:vAlign w:val="center"/>
          </w:tcPr>
          <w:p w14:paraId="0CAE9F94" w14:textId="3D27A575" w:rsidR="008C04E5" w:rsidRDefault="008C04E5" w:rsidP="00FD1A45">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16.39%</w:t>
            </w:r>
          </w:p>
        </w:tc>
        <w:tc>
          <w:tcPr>
            <w:tcW w:w="1267" w:type="dxa"/>
            <w:tcBorders>
              <w:top w:val="single" w:sz="4" w:space="0" w:color="auto"/>
              <w:left w:val="single" w:sz="2" w:space="0" w:color="0070C0"/>
              <w:bottom w:val="single" w:sz="4" w:space="0" w:color="000000"/>
              <w:right w:val="single" w:sz="2" w:space="0" w:color="0070C0"/>
            </w:tcBorders>
            <w:vAlign w:val="center"/>
          </w:tcPr>
          <w:p w14:paraId="1A443D51" w14:textId="2A7F3A7F" w:rsidR="008C04E5" w:rsidRDefault="008C04E5" w:rsidP="00FD1A45">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16.35%</w:t>
            </w:r>
          </w:p>
        </w:tc>
        <w:tc>
          <w:tcPr>
            <w:tcW w:w="1267" w:type="dxa"/>
            <w:tcBorders>
              <w:top w:val="single" w:sz="4" w:space="0" w:color="auto"/>
              <w:left w:val="single" w:sz="2" w:space="0" w:color="0070C0"/>
              <w:bottom w:val="single" w:sz="4" w:space="0" w:color="000000"/>
              <w:right w:val="single" w:sz="12" w:space="0" w:color="000000"/>
            </w:tcBorders>
            <w:shd w:val="clear" w:color="auto" w:fill="auto"/>
            <w:vAlign w:val="center"/>
          </w:tcPr>
          <w:p w14:paraId="2D8D8D19" w14:textId="1B18C3B2" w:rsidR="008C04E5" w:rsidRDefault="008C04E5" w:rsidP="00FD1A45">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15.91%</w:t>
            </w:r>
          </w:p>
        </w:tc>
      </w:tr>
      <w:tr w:rsidR="008C04E5" w:rsidRPr="00DB5378" w14:paraId="5E524FB7" w14:textId="77777777" w:rsidTr="00FD1A45">
        <w:tblPrEx>
          <w:tblBorders>
            <w:top w:val="none" w:sz="0" w:space="0" w:color="auto"/>
          </w:tblBorders>
        </w:tblPrEx>
        <w:trPr>
          <w:jc w:val="center"/>
        </w:trPr>
        <w:tc>
          <w:tcPr>
            <w:tcW w:w="1991" w:type="dxa"/>
            <w:tcBorders>
              <w:top w:val="single" w:sz="4" w:space="0" w:color="000000"/>
              <w:left w:val="single" w:sz="12" w:space="0" w:color="000000"/>
              <w:bottom w:val="single" w:sz="4" w:space="0" w:color="000000"/>
              <w:right w:val="single" w:sz="12" w:space="0" w:color="0070C0"/>
            </w:tcBorders>
            <w:vAlign w:val="center"/>
          </w:tcPr>
          <w:p w14:paraId="2E89DA2B" w14:textId="358FF468" w:rsidR="008C04E5" w:rsidRDefault="008C04E5" w:rsidP="00675D1F">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sz w:val="20"/>
                <w:szCs w:val="20"/>
              </w:rPr>
            </w:pPr>
            <w:r>
              <w:rPr>
                <w:rFonts w:ascii="Verdana" w:eastAsia="Times New Roman" w:hAnsi="Verdana"/>
                <w:sz w:val="20"/>
                <w:szCs w:val="20"/>
              </w:rPr>
              <w:t>Balance transfer</w:t>
            </w:r>
          </w:p>
        </w:tc>
        <w:tc>
          <w:tcPr>
            <w:tcW w:w="1174" w:type="dxa"/>
            <w:tcBorders>
              <w:top w:val="single" w:sz="4" w:space="0" w:color="auto"/>
              <w:left w:val="single" w:sz="12" w:space="0" w:color="0070C0"/>
              <w:bottom w:val="single" w:sz="4" w:space="0" w:color="000000"/>
              <w:right w:val="single" w:sz="2" w:space="0" w:color="0070C0"/>
            </w:tcBorders>
            <w:shd w:val="clear" w:color="auto" w:fill="F2DBDB" w:themeFill="accent2" w:themeFillTint="33"/>
            <w:vAlign w:val="center"/>
          </w:tcPr>
          <w:p w14:paraId="610E560E" w14:textId="77A8E3A3" w:rsidR="008C04E5" w:rsidRDefault="008C04E5" w:rsidP="00FD1A45">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14.57%</w:t>
            </w:r>
          </w:p>
        </w:tc>
        <w:tc>
          <w:tcPr>
            <w:tcW w:w="1174" w:type="dxa"/>
            <w:tcBorders>
              <w:top w:val="single" w:sz="4" w:space="0" w:color="auto"/>
              <w:left w:val="single" w:sz="2" w:space="0" w:color="0070C0"/>
              <w:bottom w:val="single" w:sz="4" w:space="0" w:color="000000"/>
              <w:right w:val="single" w:sz="2" w:space="0" w:color="0070C0"/>
            </w:tcBorders>
            <w:vAlign w:val="center"/>
          </w:tcPr>
          <w:p w14:paraId="7777151D" w14:textId="1273EBC8" w:rsidR="008C04E5" w:rsidRDefault="008C04E5" w:rsidP="00FD1A45">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14.56%</w:t>
            </w:r>
          </w:p>
        </w:tc>
        <w:tc>
          <w:tcPr>
            <w:tcW w:w="1174" w:type="dxa"/>
            <w:tcBorders>
              <w:top w:val="single" w:sz="4" w:space="0" w:color="auto"/>
              <w:left w:val="single" w:sz="2" w:space="0" w:color="0070C0"/>
              <w:bottom w:val="single" w:sz="4" w:space="0" w:color="000000"/>
              <w:right w:val="single" w:sz="18" w:space="0" w:color="0070C0"/>
            </w:tcBorders>
            <w:shd w:val="clear" w:color="auto" w:fill="auto"/>
            <w:vAlign w:val="center"/>
          </w:tcPr>
          <w:p w14:paraId="79836627" w14:textId="19C87561" w:rsidR="008C04E5" w:rsidRDefault="008C04E5" w:rsidP="00FD1A45">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13.99%</w:t>
            </w:r>
          </w:p>
        </w:tc>
        <w:tc>
          <w:tcPr>
            <w:tcW w:w="1987" w:type="dxa"/>
            <w:tcBorders>
              <w:top w:val="single" w:sz="4" w:space="0" w:color="auto"/>
              <w:left w:val="single" w:sz="18" w:space="0" w:color="0070C0"/>
              <w:bottom w:val="single" w:sz="4" w:space="0" w:color="000000"/>
              <w:right w:val="single" w:sz="12" w:space="0" w:color="0070C0"/>
            </w:tcBorders>
            <w:shd w:val="clear" w:color="auto" w:fill="auto"/>
            <w:vAlign w:val="center"/>
          </w:tcPr>
          <w:p w14:paraId="40F2F1C2" w14:textId="2B600150" w:rsidR="008C04E5" w:rsidRDefault="008C04E5" w:rsidP="00675D1F">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rPr>
                <w:rFonts w:ascii="Verdana" w:eastAsia="Times New Roman" w:hAnsi="Verdana"/>
                <w:sz w:val="20"/>
                <w:szCs w:val="20"/>
              </w:rPr>
            </w:pPr>
            <w:r>
              <w:rPr>
                <w:rFonts w:ascii="Verdana" w:eastAsia="Times New Roman" w:hAnsi="Verdana"/>
                <w:sz w:val="20"/>
                <w:szCs w:val="20"/>
              </w:rPr>
              <w:t>Instant approval</w:t>
            </w:r>
          </w:p>
        </w:tc>
        <w:tc>
          <w:tcPr>
            <w:tcW w:w="1267" w:type="dxa"/>
            <w:tcBorders>
              <w:top w:val="single" w:sz="4" w:space="0" w:color="auto"/>
              <w:left w:val="single" w:sz="12" w:space="0" w:color="0070C0"/>
              <w:bottom w:val="single" w:sz="4" w:space="0" w:color="000000"/>
              <w:right w:val="single" w:sz="2" w:space="0" w:color="0070C0"/>
            </w:tcBorders>
            <w:shd w:val="clear" w:color="auto" w:fill="E5B8B7" w:themeFill="accent2" w:themeFillTint="66"/>
            <w:vAlign w:val="center"/>
          </w:tcPr>
          <w:p w14:paraId="27889A78" w14:textId="3AA7425D" w:rsidR="008C04E5" w:rsidRDefault="008C04E5" w:rsidP="00FD1A45">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19.67%</w:t>
            </w:r>
          </w:p>
        </w:tc>
        <w:tc>
          <w:tcPr>
            <w:tcW w:w="1267" w:type="dxa"/>
            <w:tcBorders>
              <w:top w:val="single" w:sz="4" w:space="0" w:color="auto"/>
              <w:left w:val="single" w:sz="2" w:space="0" w:color="0070C0"/>
              <w:bottom w:val="single" w:sz="4" w:space="0" w:color="000000"/>
              <w:right w:val="single" w:sz="2" w:space="0" w:color="0070C0"/>
            </w:tcBorders>
            <w:vAlign w:val="center"/>
          </w:tcPr>
          <w:p w14:paraId="26DB0F7D" w14:textId="25230A52" w:rsidR="008C04E5" w:rsidRDefault="008C04E5" w:rsidP="00FD1A45">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19.57%</w:t>
            </w:r>
          </w:p>
        </w:tc>
        <w:tc>
          <w:tcPr>
            <w:tcW w:w="1267" w:type="dxa"/>
            <w:tcBorders>
              <w:top w:val="single" w:sz="4" w:space="0" w:color="auto"/>
              <w:left w:val="single" w:sz="2" w:space="0" w:color="0070C0"/>
              <w:bottom w:val="single" w:sz="4" w:space="0" w:color="000000"/>
              <w:right w:val="single" w:sz="12" w:space="0" w:color="000000"/>
            </w:tcBorders>
            <w:shd w:val="clear" w:color="auto" w:fill="auto"/>
            <w:vAlign w:val="center"/>
          </w:tcPr>
          <w:p w14:paraId="4331889A" w14:textId="71D3D6D7" w:rsidR="008C04E5" w:rsidRDefault="008C04E5" w:rsidP="00FD1A45">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19.10%</w:t>
            </w:r>
          </w:p>
        </w:tc>
      </w:tr>
      <w:tr w:rsidR="008C04E5" w:rsidRPr="00DB5378" w14:paraId="118D1797" w14:textId="77777777" w:rsidTr="00FD1A45">
        <w:tblPrEx>
          <w:tblBorders>
            <w:top w:val="none" w:sz="0" w:space="0" w:color="auto"/>
          </w:tblBorders>
        </w:tblPrEx>
        <w:trPr>
          <w:jc w:val="center"/>
        </w:trPr>
        <w:tc>
          <w:tcPr>
            <w:tcW w:w="1991" w:type="dxa"/>
            <w:tcBorders>
              <w:top w:val="single" w:sz="4" w:space="0" w:color="000000"/>
              <w:left w:val="single" w:sz="12" w:space="0" w:color="000000"/>
              <w:bottom w:val="single" w:sz="12" w:space="0" w:color="auto"/>
              <w:right w:val="single" w:sz="12" w:space="0" w:color="0070C0"/>
            </w:tcBorders>
            <w:vAlign w:val="center"/>
          </w:tcPr>
          <w:p w14:paraId="1FBA38E4" w14:textId="14B5BF41" w:rsidR="008C04E5" w:rsidRPr="00DB5378" w:rsidRDefault="008C04E5" w:rsidP="00675D1F">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sz w:val="20"/>
                <w:szCs w:val="20"/>
              </w:rPr>
            </w:pPr>
            <w:r>
              <w:rPr>
                <w:rFonts w:ascii="Verdana" w:eastAsia="Times New Roman" w:hAnsi="Verdana"/>
                <w:sz w:val="20"/>
                <w:szCs w:val="20"/>
              </w:rPr>
              <w:t>Business</w:t>
            </w:r>
          </w:p>
        </w:tc>
        <w:tc>
          <w:tcPr>
            <w:tcW w:w="1174" w:type="dxa"/>
            <w:tcBorders>
              <w:top w:val="single" w:sz="4" w:space="0" w:color="000000"/>
              <w:left w:val="single" w:sz="12" w:space="0" w:color="0070C0"/>
              <w:bottom w:val="single" w:sz="12" w:space="0" w:color="auto"/>
              <w:right w:val="single" w:sz="2" w:space="0" w:color="0070C0"/>
            </w:tcBorders>
            <w:shd w:val="clear" w:color="auto" w:fill="F2DBDB" w:themeFill="accent2" w:themeFillTint="33"/>
            <w:vAlign w:val="center"/>
          </w:tcPr>
          <w:p w14:paraId="1E324447" w14:textId="1C74A958" w:rsidR="008C04E5" w:rsidRPr="00DB5378" w:rsidRDefault="008C04E5" w:rsidP="00FD1A45">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14.62%</w:t>
            </w:r>
          </w:p>
        </w:tc>
        <w:tc>
          <w:tcPr>
            <w:tcW w:w="1174" w:type="dxa"/>
            <w:tcBorders>
              <w:top w:val="single" w:sz="4" w:space="0" w:color="000000"/>
              <w:left w:val="single" w:sz="2" w:space="0" w:color="0070C0"/>
              <w:bottom w:val="single" w:sz="12" w:space="0" w:color="auto"/>
              <w:right w:val="single" w:sz="2" w:space="0" w:color="0070C0"/>
            </w:tcBorders>
            <w:vAlign w:val="center"/>
          </w:tcPr>
          <w:p w14:paraId="66E269AE" w14:textId="3F265AAD" w:rsidR="008C04E5" w:rsidRPr="00DB5378" w:rsidRDefault="008C04E5" w:rsidP="00FD1A45">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14.59%</w:t>
            </w:r>
          </w:p>
        </w:tc>
        <w:tc>
          <w:tcPr>
            <w:tcW w:w="1174" w:type="dxa"/>
            <w:tcBorders>
              <w:top w:val="single" w:sz="4" w:space="0" w:color="000000"/>
              <w:left w:val="single" w:sz="2" w:space="0" w:color="0070C0"/>
              <w:bottom w:val="single" w:sz="12" w:space="0" w:color="auto"/>
              <w:right w:val="single" w:sz="18" w:space="0" w:color="0070C0"/>
            </w:tcBorders>
            <w:shd w:val="clear" w:color="auto" w:fill="auto"/>
            <w:vAlign w:val="center"/>
          </w:tcPr>
          <w:p w14:paraId="46255879" w14:textId="6EE71EC0" w:rsidR="008C04E5" w:rsidRPr="00DB5378" w:rsidRDefault="008C04E5" w:rsidP="00FD1A45">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14.16%</w:t>
            </w:r>
          </w:p>
        </w:tc>
        <w:tc>
          <w:tcPr>
            <w:tcW w:w="1987" w:type="dxa"/>
            <w:tcBorders>
              <w:top w:val="single" w:sz="4" w:space="0" w:color="000000"/>
              <w:left w:val="single" w:sz="18" w:space="0" w:color="0070C0"/>
              <w:bottom w:val="single" w:sz="12" w:space="0" w:color="auto"/>
              <w:right w:val="single" w:sz="12" w:space="0" w:color="0070C0"/>
            </w:tcBorders>
            <w:shd w:val="clear" w:color="auto" w:fill="auto"/>
            <w:vAlign w:val="center"/>
          </w:tcPr>
          <w:p w14:paraId="21BFE50A" w14:textId="0DBD6FDE" w:rsidR="008C04E5" w:rsidRPr="00DB5378" w:rsidRDefault="008C04E5" w:rsidP="00675D1F">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rPr>
                <w:rFonts w:ascii="Verdana" w:eastAsia="Times New Roman" w:hAnsi="Verdana"/>
                <w:sz w:val="20"/>
                <w:szCs w:val="20"/>
              </w:rPr>
            </w:pPr>
            <w:r>
              <w:rPr>
                <w:rFonts w:ascii="Verdana" w:eastAsia="Times New Roman" w:hAnsi="Verdana"/>
                <w:sz w:val="20"/>
                <w:szCs w:val="20"/>
              </w:rPr>
              <w:t>Bad credit</w:t>
            </w:r>
          </w:p>
        </w:tc>
        <w:tc>
          <w:tcPr>
            <w:tcW w:w="1267" w:type="dxa"/>
            <w:tcBorders>
              <w:top w:val="single" w:sz="4" w:space="0" w:color="000000"/>
              <w:left w:val="single" w:sz="12" w:space="0" w:color="0070C0"/>
              <w:bottom w:val="single" w:sz="12" w:space="0" w:color="auto"/>
              <w:right w:val="single" w:sz="2" w:space="0" w:color="0070C0"/>
            </w:tcBorders>
            <w:shd w:val="clear" w:color="auto" w:fill="F2F2F2" w:themeFill="background1" w:themeFillShade="F2"/>
            <w:vAlign w:val="center"/>
          </w:tcPr>
          <w:p w14:paraId="528B82E0" w14:textId="47D87582" w:rsidR="008C04E5" w:rsidRPr="00DB5378" w:rsidRDefault="008C04E5" w:rsidP="00FD1A45">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26.09%</w:t>
            </w:r>
          </w:p>
        </w:tc>
        <w:tc>
          <w:tcPr>
            <w:tcW w:w="1267" w:type="dxa"/>
            <w:tcBorders>
              <w:top w:val="single" w:sz="4" w:space="0" w:color="000000"/>
              <w:left w:val="single" w:sz="2" w:space="0" w:color="0070C0"/>
              <w:bottom w:val="single" w:sz="12" w:space="0" w:color="auto"/>
              <w:right w:val="single" w:sz="2" w:space="0" w:color="0070C0"/>
            </w:tcBorders>
            <w:vAlign w:val="center"/>
          </w:tcPr>
          <w:p w14:paraId="0F5B37FB" w14:textId="64BB9044" w:rsidR="008C04E5" w:rsidRPr="00DB5378" w:rsidRDefault="008C04E5" w:rsidP="00FD1A45">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26.09%</w:t>
            </w:r>
          </w:p>
        </w:tc>
        <w:tc>
          <w:tcPr>
            <w:tcW w:w="1267" w:type="dxa"/>
            <w:tcBorders>
              <w:top w:val="single" w:sz="4" w:space="0" w:color="000000"/>
              <w:left w:val="single" w:sz="2" w:space="0" w:color="0070C0"/>
              <w:bottom w:val="single" w:sz="12" w:space="0" w:color="auto"/>
              <w:right w:val="single" w:sz="12" w:space="0" w:color="000000"/>
            </w:tcBorders>
            <w:shd w:val="clear" w:color="auto" w:fill="auto"/>
            <w:vAlign w:val="center"/>
          </w:tcPr>
          <w:p w14:paraId="59C26442" w14:textId="23BA7066" w:rsidR="008C04E5" w:rsidRPr="00DB5378" w:rsidRDefault="008C04E5" w:rsidP="00FD1A45">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25.80%</w:t>
            </w:r>
          </w:p>
        </w:tc>
      </w:tr>
    </w:tbl>
    <w:p w14:paraId="6CCEA6A3" w14:textId="300A40BA" w:rsidR="009D7090" w:rsidRDefault="008C04E5" w:rsidP="008C04E5">
      <w:pPr>
        <w:spacing w:after="0" w:line="240" w:lineRule="auto"/>
        <w:contextualSpacing/>
        <w:mirrorIndents/>
        <w:rPr>
          <w:rFonts w:ascii="Verdana" w:hAnsi="Verdana"/>
          <w:sz w:val="16"/>
          <w:szCs w:val="16"/>
        </w:rPr>
      </w:pPr>
      <w:r>
        <w:rPr>
          <w:rFonts w:ascii="Verdana" w:hAnsi="Verdana"/>
          <w:iCs/>
          <w:sz w:val="16"/>
          <w:szCs w:val="16"/>
        </w:rPr>
        <w:t>CreditCards.com</w:t>
      </w:r>
      <w:r w:rsidR="009D7090">
        <w:rPr>
          <w:rFonts w:ascii="Verdana" w:hAnsi="Verdana"/>
          <w:iCs/>
          <w:sz w:val="16"/>
          <w:szCs w:val="16"/>
        </w:rPr>
        <w:t xml:space="preserve">, </w:t>
      </w:r>
      <w:r>
        <w:rPr>
          <w:rFonts w:ascii="Verdana" w:hAnsi="Verdana"/>
          <w:iCs/>
          <w:sz w:val="16"/>
          <w:szCs w:val="16"/>
        </w:rPr>
        <w:t>May</w:t>
      </w:r>
      <w:r w:rsidR="009D7090">
        <w:rPr>
          <w:rFonts w:ascii="Verdana" w:hAnsi="Verdana"/>
          <w:iCs/>
          <w:sz w:val="16"/>
          <w:szCs w:val="16"/>
        </w:rPr>
        <w:t xml:space="preserve"> 2022</w:t>
      </w:r>
      <w:r>
        <w:rPr>
          <w:rFonts w:ascii="Verdana" w:hAnsi="Verdana"/>
          <w:iCs/>
          <w:sz w:val="16"/>
          <w:szCs w:val="16"/>
        </w:rPr>
        <w:t xml:space="preserve">   *for the week ending 5/18/22   </w:t>
      </w:r>
      <w:r>
        <w:rPr>
          <w:rFonts w:ascii="Verdana" w:hAnsi="Verdana"/>
          <w:sz w:val="16"/>
          <w:szCs w:val="16"/>
        </w:rPr>
        <w:t xml:space="preserve">(color represents change from </w:t>
      </w:r>
      <w:r w:rsidR="002F7DC6">
        <w:rPr>
          <w:rFonts w:ascii="Verdana" w:hAnsi="Verdana"/>
          <w:sz w:val="16"/>
          <w:szCs w:val="16"/>
        </w:rPr>
        <w:t xml:space="preserve">the </w:t>
      </w:r>
      <w:r>
        <w:rPr>
          <w:rFonts w:ascii="Verdana" w:hAnsi="Verdana"/>
          <w:sz w:val="16"/>
          <w:szCs w:val="16"/>
        </w:rPr>
        <w:t>previous week)</w:t>
      </w:r>
    </w:p>
    <w:p w14:paraId="1E28AC2B" w14:textId="77777777" w:rsidR="00755C15" w:rsidRDefault="00755C15" w:rsidP="00E47E67">
      <w:pPr>
        <w:spacing w:after="0" w:line="240" w:lineRule="auto"/>
        <w:contextualSpacing/>
        <w:mirrorIndents/>
        <w:rPr>
          <w:rFonts w:ascii="Verdana" w:hAnsi="Verdana"/>
          <w:sz w:val="20"/>
          <w:szCs w:val="20"/>
        </w:rPr>
      </w:pPr>
    </w:p>
    <w:p w14:paraId="3A081084" w14:textId="3CF244F0" w:rsidR="00E47E67" w:rsidRPr="000E368C" w:rsidRDefault="00E47E67" w:rsidP="000E368C">
      <w:pPr>
        <w:spacing w:after="0" w:line="240" w:lineRule="auto"/>
        <w:contextualSpacing/>
        <w:mirrorIndents/>
        <w:jc w:val="center"/>
        <w:rPr>
          <w:rFonts w:ascii="Verdana" w:hAnsi="Verdana"/>
          <w:b/>
          <w:bCs/>
          <w:color w:val="0070C0"/>
          <w:sz w:val="20"/>
          <w:szCs w:val="20"/>
        </w:rPr>
      </w:pPr>
      <w:r w:rsidRPr="000E368C">
        <w:rPr>
          <w:rFonts w:ascii="Verdana" w:hAnsi="Verdana"/>
          <w:b/>
          <w:bCs/>
          <w:color w:val="0070C0"/>
          <w:sz w:val="20"/>
          <w:szCs w:val="20"/>
        </w:rPr>
        <w:t>Consumer Spending Insights</w:t>
      </w:r>
    </w:p>
    <w:p w14:paraId="626E795C" w14:textId="77777777" w:rsidR="00E47E67" w:rsidRPr="00E47E67" w:rsidRDefault="00E47E67" w:rsidP="00E47E67">
      <w:pPr>
        <w:spacing w:after="0" w:line="240" w:lineRule="auto"/>
        <w:contextualSpacing/>
        <w:mirrorIndents/>
        <w:rPr>
          <w:rFonts w:ascii="Verdana" w:hAnsi="Verdana"/>
          <w:sz w:val="20"/>
          <w:szCs w:val="20"/>
        </w:rPr>
      </w:pPr>
    </w:p>
    <w:p w14:paraId="74D42845" w14:textId="363D4CDE" w:rsidR="008C04E5" w:rsidRDefault="00E26F83" w:rsidP="00E47E67">
      <w:pPr>
        <w:spacing w:after="0" w:line="240" w:lineRule="auto"/>
        <w:contextualSpacing/>
        <w:mirrorIndents/>
        <w:rPr>
          <w:rFonts w:ascii="Verdana" w:hAnsi="Verdana"/>
          <w:sz w:val="20"/>
          <w:szCs w:val="20"/>
        </w:rPr>
      </w:pPr>
      <w:r>
        <w:rPr>
          <w:rFonts w:ascii="Verdana" w:hAnsi="Verdana"/>
          <w:sz w:val="20"/>
          <w:szCs w:val="20"/>
        </w:rPr>
        <w:t>McKinsey &amp; Company’s February/March 2022 Consumer Pulse Survey found that despite inflation, Americans were still willing to spend, increasing 18% during March 2022 compared to March 2020 and 12% more than pre-pandemic forecasts.</w:t>
      </w:r>
    </w:p>
    <w:p w14:paraId="68BAB4CA" w14:textId="5DB6A8E9" w:rsidR="00E26F83" w:rsidRDefault="00E26F83" w:rsidP="00E47E67">
      <w:pPr>
        <w:spacing w:after="0" w:line="240" w:lineRule="auto"/>
        <w:contextualSpacing/>
        <w:mirrorIndents/>
        <w:rPr>
          <w:rFonts w:ascii="Verdana" w:hAnsi="Verdana"/>
          <w:sz w:val="20"/>
          <w:szCs w:val="20"/>
        </w:rPr>
      </w:pPr>
    </w:p>
    <w:p w14:paraId="437AD254" w14:textId="501C990F" w:rsidR="00E26F83" w:rsidRDefault="00E26F83" w:rsidP="00E47E67">
      <w:pPr>
        <w:spacing w:after="0" w:line="240" w:lineRule="auto"/>
        <w:contextualSpacing/>
        <w:mirrorIndents/>
        <w:rPr>
          <w:rFonts w:ascii="Verdana" w:hAnsi="Verdana"/>
          <w:sz w:val="20"/>
          <w:szCs w:val="20"/>
        </w:rPr>
      </w:pPr>
      <w:r>
        <w:rPr>
          <w:rFonts w:ascii="Verdana" w:hAnsi="Verdana"/>
          <w:sz w:val="20"/>
          <w:szCs w:val="20"/>
        </w:rPr>
        <w:t>Americans now have $2.8 trillion more in savings than</w:t>
      </w:r>
      <w:r w:rsidR="00997063">
        <w:rPr>
          <w:rFonts w:ascii="Verdana" w:hAnsi="Verdana"/>
          <w:sz w:val="20"/>
          <w:szCs w:val="20"/>
        </w:rPr>
        <w:t xml:space="preserve"> during</w:t>
      </w:r>
      <w:r>
        <w:rPr>
          <w:rFonts w:ascii="Verdana" w:hAnsi="Verdana"/>
          <w:sz w:val="20"/>
          <w:szCs w:val="20"/>
        </w:rPr>
        <w:t xml:space="preserve"> 2019, which is likely to boost consumer spending for several more months. Nonetheless, 46% of surveyed consumers said they were shopping </w:t>
      </w:r>
      <w:r w:rsidR="00997063">
        <w:rPr>
          <w:rFonts w:ascii="Verdana" w:hAnsi="Verdana"/>
          <w:sz w:val="20"/>
          <w:szCs w:val="20"/>
        </w:rPr>
        <w:t xml:space="preserve">for </w:t>
      </w:r>
      <w:r>
        <w:rPr>
          <w:rFonts w:ascii="Verdana" w:hAnsi="Verdana"/>
          <w:sz w:val="20"/>
          <w:szCs w:val="20"/>
        </w:rPr>
        <w:t>a different brand compared to 33% during September 2020.</w:t>
      </w:r>
    </w:p>
    <w:p w14:paraId="1D692DE3" w14:textId="53DF1359" w:rsidR="008C04E5" w:rsidRDefault="008C04E5" w:rsidP="00E47E67">
      <w:pPr>
        <w:spacing w:after="0" w:line="240" w:lineRule="auto"/>
        <w:contextualSpacing/>
        <w:mirrorIndents/>
        <w:rPr>
          <w:rFonts w:ascii="Verdana" w:hAnsi="Verdana"/>
          <w:sz w:val="20"/>
          <w:szCs w:val="20"/>
        </w:rPr>
      </w:pPr>
    </w:p>
    <w:p w14:paraId="2FF61DEA" w14:textId="22751968" w:rsidR="00E26F83" w:rsidRDefault="00E26F83" w:rsidP="00E47E67">
      <w:pPr>
        <w:spacing w:after="0" w:line="240" w:lineRule="auto"/>
        <w:contextualSpacing/>
        <w:mirrorIndents/>
        <w:rPr>
          <w:rFonts w:ascii="Verdana" w:hAnsi="Verdana"/>
          <w:sz w:val="20"/>
          <w:szCs w:val="20"/>
        </w:rPr>
      </w:pPr>
      <w:r>
        <w:rPr>
          <w:rFonts w:ascii="Verdana" w:hAnsi="Verdana"/>
          <w:sz w:val="20"/>
          <w:szCs w:val="20"/>
        </w:rPr>
        <w:t>A February 2022 CreditCards.com survey found 47% of surveyed consumers were unlikely to increase their discretionary spending during summer 2022; however, Gen Zers and Millennials were more likely to spend more compared to Gen Xers and Baby Boomers.</w:t>
      </w:r>
    </w:p>
    <w:p w14:paraId="7042C119" w14:textId="77777777" w:rsidR="007B29D3" w:rsidRDefault="007B29D3" w:rsidP="00E47E67">
      <w:pPr>
        <w:spacing w:after="0" w:line="240" w:lineRule="auto"/>
        <w:contextualSpacing/>
        <w:mirrorIndents/>
        <w:rPr>
          <w:rFonts w:ascii="Verdana" w:hAnsi="Verdana"/>
          <w:sz w:val="20"/>
          <w:szCs w:val="20"/>
        </w:rPr>
      </w:pPr>
    </w:p>
    <w:p w14:paraId="778C324D" w14:textId="77777777" w:rsidR="007B29D3" w:rsidRDefault="007B29D3" w:rsidP="007B29D3">
      <w:pPr>
        <w:pStyle w:val="Header"/>
        <w:contextualSpacing/>
        <w:jc w:val="center"/>
        <w:rPr>
          <w:b/>
          <w:sz w:val="20"/>
          <w:szCs w:val="20"/>
        </w:rPr>
      </w:pPr>
      <w:r>
        <w:rPr>
          <w:b/>
          <w:sz w:val="20"/>
          <w:szCs w:val="20"/>
        </w:rPr>
        <w:t xml:space="preserve">Top 10 Categories of Average Monthly </w:t>
      </w:r>
    </w:p>
    <w:p w14:paraId="7A3B69EB" w14:textId="51F9CF22" w:rsidR="007B29D3" w:rsidRPr="00DB0E88" w:rsidRDefault="007B29D3" w:rsidP="007B29D3">
      <w:pPr>
        <w:pStyle w:val="Header"/>
        <w:contextualSpacing/>
        <w:jc w:val="center"/>
        <w:rPr>
          <w:b/>
          <w:sz w:val="20"/>
          <w:szCs w:val="20"/>
        </w:rPr>
      </w:pPr>
      <w:r>
        <w:rPr>
          <w:b/>
          <w:sz w:val="20"/>
          <w:szCs w:val="20"/>
        </w:rPr>
        <w:t>Consumer Spending by US Adults, March 2022</w:t>
      </w:r>
    </w:p>
    <w:tbl>
      <w:tblPr>
        <w:tblW w:w="9182" w:type="dxa"/>
        <w:jc w:val="center"/>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3326"/>
        <w:gridCol w:w="1267"/>
        <w:gridCol w:w="3322"/>
        <w:gridCol w:w="1267"/>
      </w:tblGrid>
      <w:tr w:rsidR="007B29D3" w:rsidRPr="00DB0E88" w14:paraId="1698467A" w14:textId="77777777" w:rsidTr="00FD1A45">
        <w:trPr>
          <w:jc w:val="center"/>
        </w:trPr>
        <w:tc>
          <w:tcPr>
            <w:tcW w:w="3326" w:type="dxa"/>
            <w:tcBorders>
              <w:top w:val="single" w:sz="12" w:space="0" w:color="000000"/>
              <w:left w:val="single" w:sz="12" w:space="0" w:color="000000"/>
              <w:bottom w:val="single" w:sz="18" w:space="0" w:color="C0504D" w:themeColor="accent2"/>
              <w:right w:val="single" w:sz="8" w:space="0" w:color="0070C0"/>
            </w:tcBorders>
            <w:vAlign w:val="center"/>
          </w:tcPr>
          <w:p w14:paraId="545B45F2" w14:textId="77777777" w:rsidR="007B29D3" w:rsidRPr="00DB0E88" w:rsidRDefault="007B29D3" w:rsidP="00FD1A45">
            <w:pPr>
              <w:widowControl w:val="0"/>
              <w:tabs>
                <w:tab w:val="left" w:pos="220"/>
                <w:tab w:val="left" w:pos="720"/>
              </w:tabs>
              <w:autoSpaceDE w:val="0"/>
              <w:autoSpaceDN w:val="0"/>
              <w:adjustRightInd w:val="0"/>
              <w:spacing w:after="0" w:line="240" w:lineRule="auto"/>
              <w:contextualSpacing/>
              <w:jc w:val="center"/>
              <w:rPr>
                <w:rFonts w:eastAsia="Times New Roman"/>
                <w:sz w:val="20"/>
                <w:szCs w:val="20"/>
              </w:rPr>
            </w:pPr>
            <w:r>
              <w:rPr>
                <w:rFonts w:eastAsia="Times New Roman"/>
                <w:sz w:val="20"/>
                <w:szCs w:val="20"/>
              </w:rPr>
              <w:t>Category</w:t>
            </w:r>
          </w:p>
        </w:tc>
        <w:tc>
          <w:tcPr>
            <w:tcW w:w="1267" w:type="dxa"/>
            <w:tcBorders>
              <w:top w:val="single" w:sz="12" w:space="0" w:color="000000"/>
              <w:left w:val="single" w:sz="8" w:space="0" w:color="0070C0"/>
              <w:bottom w:val="single" w:sz="18" w:space="0" w:color="C0504D" w:themeColor="accent2"/>
              <w:right w:val="single" w:sz="18" w:space="0" w:color="0070C0"/>
            </w:tcBorders>
            <w:vAlign w:val="center"/>
          </w:tcPr>
          <w:p w14:paraId="4C972C35" w14:textId="3EC1E018" w:rsidR="007B29D3" w:rsidRPr="00DB0E88" w:rsidRDefault="007B29D3" w:rsidP="00FD1A45">
            <w:pPr>
              <w:widowControl w:val="0"/>
              <w:tabs>
                <w:tab w:val="left" w:pos="220"/>
                <w:tab w:val="left" w:pos="720"/>
              </w:tabs>
              <w:autoSpaceDE w:val="0"/>
              <w:autoSpaceDN w:val="0"/>
              <w:adjustRightInd w:val="0"/>
              <w:spacing w:after="0" w:line="240" w:lineRule="auto"/>
              <w:contextualSpacing/>
              <w:jc w:val="center"/>
              <w:rPr>
                <w:rFonts w:eastAsia="Times New Roman"/>
                <w:sz w:val="20"/>
                <w:szCs w:val="20"/>
              </w:rPr>
            </w:pPr>
            <w:r>
              <w:rPr>
                <w:rFonts w:eastAsia="Times New Roman"/>
                <w:sz w:val="20"/>
                <w:szCs w:val="20"/>
              </w:rPr>
              <w:t>Amount</w:t>
            </w:r>
          </w:p>
        </w:tc>
        <w:tc>
          <w:tcPr>
            <w:tcW w:w="3322" w:type="dxa"/>
            <w:tcBorders>
              <w:top w:val="single" w:sz="12" w:space="0" w:color="000000"/>
              <w:left w:val="single" w:sz="18" w:space="0" w:color="0070C0"/>
              <w:bottom w:val="single" w:sz="18" w:space="0" w:color="C0504D" w:themeColor="accent2"/>
              <w:right w:val="single" w:sz="8" w:space="0" w:color="0070C0"/>
            </w:tcBorders>
            <w:vAlign w:val="center"/>
          </w:tcPr>
          <w:p w14:paraId="5E87B82E" w14:textId="77777777" w:rsidR="007B29D3" w:rsidRPr="00DB0E88" w:rsidRDefault="007B29D3" w:rsidP="00FD1A45">
            <w:pPr>
              <w:widowControl w:val="0"/>
              <w:tabs>
                <w:tab w:val="left" w:pos="220"/>
                <w:tab w:val="left" w:pos="720"/>
              </w:tabs>
              <w:autoSpaceDE w:val="0"/>
              <w:autoSpaceDN w:val="0"/>
              <w:adjustRightInd w:val="0"/>
              <w:spacing w:after="0" w:line="240" w:lineRule="auto"/>
              <w:contextualSpacing/>
              <w:jc w:val="center"/>
              <w:rPr>
                <w:rFonts w:eastAsia="Times New Roman"/>
                <w:sz w:val="20"/>
                <w:szCs w:val="20"/>
              </w:rPr>
            </w:pPr>
            <w:r>
              <w:rPr>
                <w:rFonts w:eastAsia="Times New Roman"/>
                <w:sz w:val="20"/>
                <w:szCs w:val="20"/>
              </w:rPr>
              <w:t>Category</w:t>
            </w:r>
          </w:p>
        </w:tc>
        <w:tc>
          <w:tcPr>
            <w:tcW w:w="1267" w:type="dxa"/>
            <w:tcBorders>
              <w:top w:val="single" w:sz="12" w:space="0" w:color="000000"/>
              <w:left w:val="single" w:sz="8" w:space="0" w:color="0070C0"/>
              <w:bottom w:val="single" w:sz="18" w:space="0" w:color="C0504D" w:themeColor="accent2"/>
              <w:right w:val="single" w:sz="12" w:space="0" w:color="000000"/>
            </w:tcBorders>
            <w:vAlign w:val="center"/>
          </w:tcPr>
          <w:p w14:paraId="17B1AF21" w14:textId="77777777" w:rsidR="007B29D3" w:rsidRPr="00DB0E88" w:rsidRDefault="007B29D3" w:rsidP="00FD1A45">
            <w:pPr>
              <w:widowControl w:val="0"/>
              <w:tabs>
                <w:tab w:val="left" w:pos="220"/>
                <w:tab w:val="left" w:pos="720"/>
              </w:tabs>
              <w:autoSpaceDE w:val="0"/>
              <w:autoSpaceDN w:val="0"/>
              <w:adjustRightInd w:val="0"/>
              <w:spacing w:after="0" w:line="240" w:lineRule="auto"/>
              <w:contextualSpacing/>
              <w:jc w:val="center"/>
              <w:rPr>
                <w:rFonts w:eastAsia="Times New Roman"/>
                <w:sz w:val="20"/>
                <w:szCs w:val="20"/>
              </w:rPr>
            </w:pPr>
            <w:r>
              <w:rPr>
                <w:rFonts w:eastAsia="Times New Roman"/>
                <w:sz w:val="20"/>
                <w:szCs w:val="20"/>
              </w:rPr>
              <w:t>Change</w:t>
            </w:r>
          </w:p>
        </w:tc>
      </w:tr>
      <w:tr w:rsidR="007B29D3" w:rsidRPr="00DB0E88" w14:paraId="0C575E8D" w14:textId="77777777" w:rsidTr="007B29D3">
        <w:tblPrEx>
          <w:tblBorders>
            <w:top w:val="none" w:sz="0" w:space="0" w:color="auto"/>
          </w:tblBorders>
        </w:tblPrEx>
        <w:trPr>
          <w:jc w:val="center"/>
        </w:trPr>
        <w:tc>
          <w:tcPr>
            <w:tcW w:w="3326" w:type="dxa"/>
            <w:tcBorders>
              <w:top w:val="single" w:sz="18" w:space="0" w:color="C0504D" w:themeColor="accent2"/>
              <w:left w:val="single" w:sz="12" w:space="0" w:color="000000"/>
              <w:bottom w:val="single" w:sz="4" w:space="0" w:color="000000"/>
              <w:right w:val="single" w:sz="8" w:space="0" w:color="0070C0"/>
            </w:tcBorders>
            <w:vAlign w:val="center"/>
          </w:tcPr>
          <w:p w14:paraId="6AD486B7" w14:textId="5199A9AD" w:rsidR="007B29D3" w:rsidRPr="00DB0E88" w:rsidRDefault="007B29D3" w:rsidP="00675D1F">
            <w:pPr>
              <w:widowControl w:val="0"/>
              <w:tabs>
                <w:tab w:val="left" w:pos="220"/>
                <w:tab w:val="left" w:pos="720"/>
              </w:tabs>
              <w:autoSpaceDE w:val="0"/>
              <w:autoSpaceDN w:val="0"/>
              <w:adjustRightInd w:val="0"/>
              <w:spacing w:after="0" w:line="240" w:lineRule="auto"/>
              <w:contextualSpacing/>
              <w:rPr>
                <w:rFonts w:eastAsia="Times New Roman"/>
                <w:sz w:val="20"/>
                <w:szCs w:val="20"/>
              </w:rPr>
            </w:pPr>
            <w:r>
              <w:rPr>
                <w:rFonts w:eastAsia="Times New Roman"/>
                <w:sz w:val="20"/>
                <w:szCs w:val="20"/>
              </w:rPr>
              <w:t>#1: Housing</w:t>
            </w:r>
          </w:p>
        </w:tc>
        <w:tc>
          <w:tcPr>
            <w:tcW w:w="1267" w:type="dxa"/>
            <w:tcBorders>
              <w:top w:val="single" w:sz="18" w:space="0" w:color="C0504D" w:themeColor="accent2"/>
              <w:left w:val="single" w:sz="8" w:space="0" w:color="0070C0"/>
              <w:bottom w:val="single" w:sz="4" w:space="0" w:color="000000"/>
              <w:right w:val="single" w:sz="18" w:space="0" w:color="0070C0"/>
            </w:tcBorders>
            <w:shd w:val="clear" w:color="auto" w:fill="FF0000"/>
            <w:vAlign w:val="center"/>
          </w:tcPr>
          <w:p w14:paraId="764116DC" w14:textId="52D9791F" w:rsidR="007B29D3" w:rsidRPr="00DB0E88" w:rsidRDefault="007B29D3" w:rsidP="00675D1F">
            <w:pPr>
              <w:widowControl w:val="0"/>
              <w:numPr>
                <w:ilvl w:val="0"/>
                <w:numId w:val="1"/>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Pr>
                <w:rFonts w:eastAsia="Times New Roman"/>
                <w:sz w:val="20"/>
                <w:szCs w:val="20"/>
              </w:rPr>
              <w:t>$1,169</w:t>
            </w:r>
          </w:p>
        </w:tc>
        <w:tc>
          <w:tcPr>
            <w:tcW w:w="3322" w:type="dxa"/>
            <w:tcBorders>
              <w:top w:val="single" w:sz="18" w:space="0" w:color="C0504D" w:themeColor="accent2"/>
              <w:left w:val="single" w:sz="18" w:space="0" w:color="0070C0"/>
              <w:bottom w:val="single" w:sz="4" w:space="0" w:color="000000"/>
              <w:right w:val="single" w:sz="8" w:space="0" w:color="0070C0"/>
            </w:tcBorders>
            <w:shd w:val="clear" w:color="auto" w:fill="auto"/>
            <w:vAlign w:val="center"/>
          </w:tcPr>
          <w:p w14:paraId="3A16E3D8" w14:textId="6460D165" w:rsidR="007B29D3" w:rsidRPr="00DB0E88" w:rsidRDefault="007B29D3" w:rsidP="00675D1F">
            <w:pPr>
              <w:widowControl w:val="0"/>
              <w:numPr>
                <w:ilvl w:val="0"/>
                <w:numId w:val="1"/>
              </w:numPr>
              <w:tabs>
                <w:tab w:val="left" w:pos="220"/>
                <w:tab w:val="left" w:pos="720"/>
              </w:tabs>
              <w:autoSpaceDE w:val="0"/>
              <w:autoSpaceDN w:val="0"/>
              <w:adjustRightInd w:val="0"/>
              <w:spacing w:after="0" w:line="240" w:lineRule="auto"/>
              <w:ind w:left="0" w:firstLine="0"/>
              <w:contextualSpacing/>
              <w:rPr>
                <w:rFonts w:eastAsia="Times New Roman"/>
                <w:sz w:val="20"/>
                <w:szCs w:val="20"/>
              </w:rPr>
            </w:pPr>
            <w:r>
              <w:rPr>
                <w:rFonts w:eastAsia="Times New Roman"/>
                <w:sz w:val="20"/>
                <w:szCs w:val="20"/>
              </w:rPr>
              <w:t>#6: Health insurance</w:t>
            </w:r>
          </w:p>
        </w:tc>
        <w:tc>
          <w:tcPr>
            <w:tcW w:w="1267" w:type="dxa"/>
            <w:tcBorders>
              <w:top w:val="single" w:sz="18" w:space="0" w:color="C0504D" w:themeColor="accent2"/>
              <w:left w:val="single" w:sz="8" w:space="0" w:color="0070C0"/>
              <w:bottom w:val="single" w:sz="4" w:space="0" w:color="000000"/>
              <w:right w:val="single" w:sz="12" w:space="0" w:color="000000"/>
            </w:tcBorders>
            <w:shd w:val="clear" w:color="auto" w:fill="E5B8B7" w:themeFill="accent2" w:themeFillTint="66"/>
            <w:vAlign w:val="center"/>
          </w:tcPr>
          <w:p w14:paraId="1B2F9AEE" w14:textId="1B8CE009" w:rsidR="007B29D3" w:rsidRPr="00DB0E88" w:rsidRDefault="007B29D3" w:rsidP="00675D1F">
            <w:pPr>
              <w:widowControl w:val="0"/>
              <w:numPr>
                <w:ilvl w:val="0"/>
                <w:numId w:val="1"/>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Pr>
                <w:rFonts w:eastAsia="Times New Roman"/>
                <w:sz w:val="20"/>
                <w:szCs w:val="20"/>
              </w:rPr>
              <w:t>$149</w:t>
            </w:r>
          </w:p>
        </w:tc>
      </w:tr>
      <w:tr w:rsidR="007B29D3" w:rsidRPr="00DB0E88" w14:paraId="53EA2D19" w14:textId="77777777" w:rsidTr="007B29D3">
        <w:tblPrEx>
          <w:tblBorders>
            <w:top w:val="none" w:sz="0" w:space="0" w:color="auto"/>
          </w:tblBorders>
        </w:tblPrEx>
        <w:trPr>
          <w:jc w:val="center"/>
        </w:trPr>
        <w:tc>
          <w:tcPr>
            <w:tcW w:w="3326" w:type="dxa"/>
            <w:tcBorders>
              <w:top w:val="single" w:sz="4" w:space="0" w:color="000000"/>
              <w:left w:val="single" w:sz="12" w:space="0" w:color="000000"/>
              <w:bottom w:val="single" w:sz="4" w:space="0" w:color="000000"/>
              <w:right w:val="single" w:sz="8" w:space="0" w:color="0070C0"/>
            </w:tcBorders>
            <w:vAlign w:val="center"/>
          </w:tcPr>
          <w:p w14:paraId="0ED302A5" w14:textId="30A8EFAE" w:rsidR="007B29D3" w:rsidRPr="00DB0E88" w:rsidRDefault="007B29D3" w:rsidP="00675D1F">
            <w:pPr>
              <w:widowControl w:val="0"/>
              <w:tabs>
                <w:tab w:val="left" w:pos="220"/>
                <w:tab w:val="left" w:pos="720"/>
              </w:tabs>
              <w:autoSpaceDE w:val="0"/>
              <w:autoSpaceDN w:val="0"/>
              <w:adjustRightInd w:val="0"/>
              <w:spacing w:after="0" w:line="240" w:lineRule="auto"/>
              <w:contextualSpacing/>
              <w:rPr>
                <w:rFonts w:eastAsia="Times New Roman"/>
                <w:sz w:val="20"/>
                <w:szCs w:val="20"/>
              </w:rPr>
            </w:pPr>
            <w:r>
              <w:rPr>
                <w:rFonts w:eastAsia="Times New Roman"/>
                <w:sz w:val="20"/>
                <w:szCs w:val="20"/>
              </w:rPr>
              <w:t>#2: Grocery</w:t>
            </w:r>
          </w:p>
        </w:tc>
        <w:tc>
          <w:tcPr>
            <w:tcW w:w="1267" w:type="dxa"/>
            <w:tcBorders>
              <w:top w:val="single" w:sz="4" w:space="0" w:color="000000"/>
              <w:left w:val="single" w:sz="8" w:space="0" w:color="0070C0"/>
              <w:bottom w:val="single" w:sz="4" w:space="0" w:color="000000"/>
              <w:right w:val="single" w:sz="18" w:space="0" w:color="0070C0"/>
            </w:tcBorders>
            <w:shd w:val="clear" w:color="auto" w:fill="D99594" w:themeFill="accent2" w:themeFillTint="99"/>
            <w:vAlign w:val="center"/>
          </w:tcPr>
          <w:p w14:paraId="501928FD" w14:textId="6B1622D8" w:rsidR="007B29D3" w:rsidRPr="00DB0E88" w:rsidRDefault="007B29D3" w:rsidP="00675D1F">
            <w:pPr>
              <w:widowControl w:val="0"/>
              <w:numPr>
                <w:ilvl w:val="0"/>
                <w:numId w:val="1"/>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Pr>
                <w:rFonts w:eastAsia="Times New Roman"/>
                <w:sz w:val="20"/>
                <w:szCs w:val="20"/>
              </w:rPr>
              <w:t>$443</w:t>
            </w:r>
          </w:p>
        </w:tc>
        <w:tc>
          <w:tcPr>
            <w:tcW w:w="3322" w:type="dxa"/>
            <w:tcBorders>
              <w:top w:val="single" w:sz="4" w:space="0" w:color="000000"/>
              <w:left w:val="single" w:sz="18" w:space="0" w:color="0070C0"/>
              <w:bottom w:val="single" w:sz="4" w:space="0" w:color="000000"/>
              <w:right w:val="single" w:sz="8" w:space="0" w:color="0070C0"/>
            </w:tcBorders>
            <w:shd w:val="clear" w:color="auto" w:fill="auto"/>
            <w:vAlign w:val="center"/>
          </w:tcPr>
          <w:p w14:paraId="704662D3" w14:textId="1F3EAF9E" w:rsidR="007B29D3" w:rsidRPr="00DB0E88" w:rsidRDefault="007B29D3" w:rsidP="00675D1F">
            <w:pPr>
              <w:widowControl w:val="0"/>
              <w:numPr>
                <w:ilvl w:val="0"/>
                <w:numId w:val="1"/>
              </w:numPr>
              <w:tabs>
                <w:tab w:val="left" w:pos="220"/>
                <w:tab w:val="left" w:pos="720"/>
              </w:tabs>
              <w:autoSpaceDE w:val="0"/>
              <w:autoSpaceDN w:val="0"/>
              <w:adjustRightInd w:val="0"/>
              <w:spacing w:after="0" w:line="240" w:lineRule="auto"/>
              <w:ind w:left="0" w:firstLine="0"/>
              <w:contextualSpacing/>
              <w:rPr>
                <w:rFonts w:eastAsia="Times New Roman"/>
                <w:sz w:val="20"/>
                <w:szCs w:val="20"/>
              </w:rPr>
            </w:pPr>
            <w:r>
              <w:rPr>
                <w:rFonts w:eastAsia="Times New Roman"/>
                <w:sz w:val="20"/>
                <w:szCs w:val="20"/>
              </w:rPr>
              <w:t>#7: Telecom</w:t>
            </w:r>
          </w:p>
        </w:tc>
        <w:tc>
          <w:tcPr>
            <w:tcW w:w="1267" w:type="dxa"/>
            <w:tcBorders>
              <w:top w:val="single" w:sz="4" w:space="0" w:color="000000"/>
              <w:left w:val="single" w:sz="8" w:space="0" w:color="0070C0"/>
              <w:bottom w:val="single" w:sz="4" w:space="0" w:color="000000"/>
              <w:right w:val="single" w:sz="12" w:space="0" w:color="000000"/>
            </w:tcBorders>
            <w:shd w:val="clear" w:color="auto" w:fill="E5B8B7" w:themeFill="accent2" w:themeFillTint="66"/>
            <w:vAlign w:val="center"/>
          </w:tcPr>
          <w:p w14:paraId="574A2E97" w14:textId="46929420" w:rsidR="007B29D3" w:rsidRPr="00DB0E88" w:rsidRDefault="007B29D3" w:rsidP="00675D1F">
            <w:pPr>
              <w:widowControl w:val="0"/>
              <w:numPr>
                <w:ilvl w:val="0"/>
                <w:numId w:val="1"/>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Pr>
                <w:rFonts w:eastAsia="Times New Roman"/>
                <w:sz w:val="20"/>
                <w:szCs w:val="20"/>
              </w:rPr>
              <w:t>$138</w:t>
            </w:r>
          </w:p>
        </w:tc>
      </w:tr>
      <w:tr w:rsidR="007B29D3" w:rsidRPr="00DB0E88" w14:paraId="40BD3649" w14:textId="77777777" w:rsidTr="007B29D3">
        <w:tblPrEx>
          <w:tblBorders>
            <w:top w:val="none" w:sz="0" w:space="0" w:color="auto"/>
          </w:tblBorders>
        </w:tblPrEx>
        <w:trPr>
          <w:jc w:val="center"/>
        </w:trPr>
        <w:tc>
          <w:tcPr>
            <w:tcW w:w="3326" w:type="dxa"/>
            <w:tcBorders>
              <w:top w:val="single" w:sz="4" w:space="0" w:color="000000"/>
              <w:left w:val="single" w:sz="12" w:space="0" w:color="000000"/>
              <w:bottom w:val="single" w:sz="4" w:space="0" w:color="000000"/>
              <w:right w:val="single" w:sz="8" w:space="0" w:color="0070C0"/>
            </w:tcBorders>
            <w:vAlign w:val="center"/>
          </w:tcPr>
          <w:p w14:paraId="59D0F48B" w14:textId="11951AD4" w:rsidR="007B29D3" w:rsidRPr="00DB0E88" w:rsidRDefault="007B29D3" w:rsidP="00675D1F">
            <w:pPr>
              <w:widowControl w:val="0"/>
              <w:tabs>
                <w:tab w:val="left" w:pos="220"/>
                <w:tab w:val="left" w:pos="720"/>
              </w:tabs>
              <w:autoSpaceDE w:val="0"/>
              <w:autoSpaceDN w:val="0"/>
              <w:adjustRightInd w:val="0"/>
              <w:spacing w:after="0" w:line="240" w:lineRule="auto"/>
              <w:contextualSpacing/>
              <w:rPr>
                <w:rFonts w:eastAsia="Times New Roman"/>
                <w:sz w:val="20"/>
                <w:szCs w:val="20"/>
              </w:rPr>
            </w:pPr>
            <w:r>
              <w:rPr>
                <w:rFonts w:eastAsia="Times New Roman"/>
                <w:sz w:val="20"/>
                <w:szCs w:val="20"/>
              </w:rPr>
              <w:t>#3: Utilities</w:t>
            </w:r>
          </w:p>
        </w:tc>
        <w:tc>
          <w:tcPr>
            <w:tcW w:w="1267" w:type="dxa"/>
            <w:tcBorders>
              <w:top w:val="single" w:sz="4" w:space="0" w:color="000000"/>
              <w:left w:val="single" w:sz="8" w:space="0" w:color="0070C0"/>
              <w:bottom w:val="single" w:sz="4" w:space="0" w:color="000000"/>
              <w:right w:val="single" w:sz="18" w:space="0" w:color="0070C0"/>
            </w:tcBorders>
            <w:shd w:val="clear" w:color="auto" w:fill="D99594" w:themeFill="accent2" w:themeFillTint="99"/>
            <w:vAlign w:val="center"/>
          </w:tcPr>
          <w:p w14:paraId="404257E1" w14:textId="75E524B0" w:rsidR="007B29D3" w:rsidRPr="00DB0E88" w:rsidRDefault="007B29D3" w:rsidP="00675D1F">
            <w:pPr>
              <w:widowControl w:val="0"/>
              <w:numPr>
                <w:ilvl w:val="0"/>
                <w:numId w:val="1"/>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Pr>
                <w:rFonts w:eastAsia="Times New Roman"/>
                <w:sz w:val="20"/>
                <w:szCs w:val="20"/>
              </w:rPr>
              <w:t>$205</w:t>
            </w:r>
          </w:p>
        </w:tc>
        <w:tc>
          <w:tcPr>
            <w:tcW w:w="3322" w:type="dxa"/>
            <w:tcBorders>
              <w:top w:val="single" w:sz="4" w:space="0" w:color="000000"/>
              <w:left w:val="single" w:sz="18" w:space="0" w:color="0070C0"/>
              <w:bottom w:val="single" w:sz="4" w:space="0" w:color="000000"/>
              <w:right w:val="single" w:sz="8" w:space="0" w:color="0070C0"/>
            </w:tcBorders>
            <w:shd w:val="clear" w:color="auto" w:fill="auto"/>
            <w:vAlign w:val="center"/>
          </w:tcPr>
          <w:p w14:paraId="4C323558" w14:textId="37720DC9" w:rsidR="007B29D3" w:rsidRPr="00DB0E88" w:rsidRDefault="007B29D3" w:rsidP="00675D1F">
            <w:pPr>
              <w:widowControl w:val="0"/>
              <w:numPr>
                <w:ilvl w:val="0"/>
                <w:numId w:val="1"/>
              </w:numPr>
              <w:tabs>
                <w:tab w:val="left" w:pos="220"/>
                <w:tab w:val="left" w:pos="720"/>
              </w:tabs>
              <w:autoSpaceDE w:val="0"/>
              <w:autoSpaceDN w:val="0"/>
              <w:adjustRightInd w:val="0"/>
              <w:spacing w:after="0" w:line="240" w:lineRule="auto"/>
              <w:ind w:left="0" w:firstLine="0"/>
              <w:contextualSpacing/>
              <w:rPr>
                <w:rFonts w:eastAsia="Times New Roman"/>
                <w:sz w:val="20"/>
                <w:szCs w:val="20"/>
              </w:rPr>
            </w:pPr>
            <w:r>
              <w:rPr>
                <w:rFonts w:eastAsia="Times New Roman"/>
                <w:sz w:val="20"/>
                <w:szCs w:val="20"/>
              </w:rPr>
              <w:t>#8: Recreation/Entertainment</w:t>
            </w:r>
          </w:p>
        </w:tc>
        <w:tc>
          <w:tcPr>
            <w:tcW w:w="1267" w:type="dxa"/>
            <w:tcBorders>
              <w:top w:val="single" w:sz="4" w:space="0" w:color="000000"/>
              <w:left w:val="single" w:sz="8" w:space="0" w:color="0070C0"/>
              <w:bottom w:val="single" w:sz="4" w:space="0" w:color="000000"/>
              <w:right w:val="single" w:sz="12" w:space="0" w:color="000000"/>
            </w:tcBorders>
            <w:shd w:val="clear" w:color="auto" w:fill="E5B8B7" w:themeFill="accent2" w:themeFillTint="66"/>
            <w:vAlign w:val="center"/>
          </w:tcPr>
          <w:p w14:paraId="3D354C4F" w14:textId="17A4BCCB" w:rsidR="007B29D3" w:rsidRPr="00DB0E88" w:rsidRDefault="007B29D3" w:rsidP="00675D1F">
            <w:pPr>
              <w:widowControl w:val="0"/>
              <w:numPr>
                <w:ilvl w:val="0"/>
                <w:numId w:val="1"/>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Pr>
                <w:rFonts w:eastAsia="Times New Roman"/>
                <w:sz w:val="20"/>
                <w:szCs w:val="20"/>
              </w:rPr>
              <w:t>$137</w:t>
            </w:r>
          </w:p>
        </w:tc>
      </w:tr>
      <w:tr w:rsidR="007B29D3" w:rsidRPr="00DB0E88" w14:paraId="61F9898C" w14:textId="77777777" w:rsidTr="007B29D3">
        <w:tblPrEx>
          <w:tblBorders>
            <w:top w:val="none" w:sz="0" w:space="0" w:color="auto"/>
          </w:tblBorders>
        </w:tblPrEx>
        <w:trPr>
          <w:jc w:val="center"/>
        </w:trPr>
        <w:tc>
          <w:tcPr>
            <w:tcW w:w="3326" w:type="dxa"/>
            <w:tcBorders>
              <w:top w:val="single" w:sz="4" w:space="0" w:color="000000"/>
              <w:left w:val="single" w:sz="12" w:space="0" w:color="000000"/>
              <w:bottom w:val="single" w:sz="4" w:space="0" w:color="000000"/>
              <w:right w:val="single" w:sz="8" w:space="0" w:color="0070C0"/>
            </w:tcBorders>
            <w:vAlign w:val="center"/>
          </w:tcPr>
          <w:p w14:paraId="35D86237" w14:textId="21FB9D83" w:rsidR="007B29D3" w:rsidRPr="00DB0E88" w:rsidRDefault="007B29D3" w:rsidP="00675D1F">
            <w:pPr>
              <w:widowControl w:val="0"/>
              <w:tabs>
                <w:tab w:val="left" w:pos="220"/>
                <w:tab w:val="left" w:pos="720"/>
              </w:tabs>
              <w:autoSpaceDE w:val="0"/>
              <w:autoSpaceDN w:val="0"/>
              <w:adjustRightInd w:val="0"/>
              <w:spacing w:after="0" w:line="240" w:lineRule="auto"/>
              <w:contextualSpacing/>
              <w:rPr>
                <w:rFonts w:eastAsia="Times New Roman"/>
                <w:sz w:val="20"/>
                <w:szCs w:val="20"/>
              </w:rPr>
            </w:pPr>
            <w:r>
              <w:rPr>
                <w:rFonts w:eastAsia="Times New Roman"/>
                <w:sz w:val="20"/>
                <w:szCs w:val="20"/>
              </w:rPr>
              <w:t>#4: Auto leases and loans</w:t>
            </w:r>
          </w:p>
        </w:tc>
        <w:tc>
          <w:tcPr>
            <w:tcW w:w="1267" w:type="dxa"/>
            <w:tcBorders>
              <w:top w:val="single" w:sz="4" w:space="0" w:color="000000"/>
              <w:left w:val="single" w:sz="8" w:space="0" w:color="0070C0"/>
              <w:bottom w:val="single" w:sz="4" w:space="0" w:color="000000"/>
              <w:right w:val="single" w:sz="18" w:space="0" w:color="0070C0"/>
            </w:tcBorders>
            <w:shd w:val="clear" w:color="auto" w:fill="E5B8B7" w:themeFill="accent2" w:themeFillTint="66"/>
            <w:vAlign w:val="center"/>
          </w:tcPr>
          <w:p w14:paraId="493CADB3" w14:textId="1B44E9EC" w:rsidR="007B29D3" w:rsidRPr="00DB0E88" w:rsidRDefault="007B29D3" w:rsidP="00675D1F">
            <w:pPr>
              <w:widowControl w:val="0"/>
              <w:numPr>
                <w:ilvl w:val="0"/>
                <w:numId w:val="1"/>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Pr>
                <w:rFonts w:eastAsia="Times New Roman"/>
                <w:sz w:val="20"/>
                <w:szCs w:val="20"/>
              </w:rPr>
              <w:t>$159</w:t>
            </w:r>
          </w:p>
        </w:tc>
        <w:tc>
          <w:tcPr>
            <w:tcW w:w="3322" w:type="dxa"/>
            <w:tcBorders>
              <w:top w:val="single" w:sz="4" w:space="0" w:color="000000"/>
              <w:left w:val="single" w:sz="18" w:space="0" w:color="0070C0"/>
              <w:bottom w:val="single" w:sz="4" w:space="0" w:color="000000"/>
              <w:right w:val="single" w:sz="8" w:space="0" w:color="0070C0"/>
            </w:tcBorders>
            <w:shd w:val="clear" w:color="auto" w:fill="auto"/>
            <w:vAlign w:val="center"/>
          </w:tcPr>
          <w:p w14:paraId="37E07E13" w14:textId="03D2D51C" w:rsidR="007B29D3" w:rsidRPr="00DB0E88" w:rsidRDefault="007B29D3" w:rsidP="00675D1F">
            <w:pPr>
              <w:widowControl w:val="0"/>
              <w:numPr>
                <w:ilvl w:val="0"/>
                <w:numId w:val="1"/>
              </w:numPr>
              <w:tabs>
                <w:tab w:val="left" w:pos="220"/>
                <w:tab w:val="left" w:pos="720"/>
              </w:tabs>
              <w:autoSpaceDE w:val="0"/>
              <w:autoSpaceDN w:val="0"/>
              <w:adjustRightInd w:val="0"/>
              <w:spacing w:after="0" w:line="240" w:lineRule="auto"/>
              <w:ind w:left="0" w:firstLine="0"/>
              <w:contextualSpacing/>
              <w:rPr>
                <w:rFonts w:eastAsia="Times New Roman"/>
                <w:sz w:val="20"/>
                <w:szCs w:val="20"/>
              </w:rPr>
            </w:pPr>
            <w:r>
              <w:rPr>
                <w:rFonts w:eastAsia="Times New Roman"/>
                <w:sz w:val="20"/>
                <w:szCs w:val="20"/>
              </w:rPr>
              <w:t>#9: Car insurance</w:t>
            </w:r>
          </w:p>
        </w:tc>
        <w:tc>
          <w:tcPr>
            <w:tcW w:w="1267" w:type="dxa"/>
            <w:tcBorders>
              <w:top w:val="single" w:sz="4" w:space="0" w:color="000000"/>
              <w:left w:val="single" w:sz="8" w:space="0" w:color="0070C0"/>
              <w:bottom w:val="single" w:sz="4" w:space="0" w:color="000000"/>
              <w:right w:val="single" w:sz="12" w:space="0" w:color="000000"/>
            </w:tcBorders>
            <w:shd w:val="clear" w:color="auto" w:fill="F2DBDB" w:themeFill="accent2" w:themeFillTint="33"/>
            <w:vAlign w:val="center"/>
          </w:tcPr>
          <w:p w14:paraId="3A5174C5" w14:textId="350FE2E3" w:rsidR="007B29D3" w:rsidRPr="00DB0E88" w:rsidRDefault="007B29D3" w:rsidP="00675D1F">
            <w:pPr>
              <w:widowControl w:val="0"/>
              <w:numPr>
                <w:ilvl w:val="0"/>
                <w:numId w:val="1"/>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Pr>
                <w:rFonts w:eastAsia="Times New Roman"/>
                <w:sz w:val="20"/>
                <w:szCs w:val="20"/>
              </w:rPr>
              <w:t>$125</w:t>
            </w:r>
          </w:p>
        </w:tc>
      </w:tr>
      <w:tr w:rsidR="007B29D3" w:rsidRPr="00DB0E88" w14:paraId="374C6AB1" w14:textId="77777777" w:rsidTr="007B29D3">
        <w:tblPrEx>
          <w:tblBorders>
            <w:top w:val="none" w:sz="0" w:space="0" w:color="auto"/>
          </w:tblBorders>
        </w:tblPrEx>
        <w:trPr>
          <w:jc w:val="center"/>
        </w:trPr>
        <w:tc>
          <w:tcPr>
            <w:tcW w:w="3326" w:type="dxa"/>
            <w:tcBorders>
              <w:top w:val="single" w:sz="4" w:space="0" w:color="000000"/>
              <w:left w:val="single" w:sz="12" w:space="0" w:color="000000"/>
              <w:bottom w:val="single" w:sz="12" w:space="0" w:color="000000"/>
              <w:right w:val="single" w:sz="8" w:space="0" w:color="0070C0"/>
            </w:tcBorders>
            <w:vAlign w:val="center"/>
          </w:tcPr>
          <w:p w14:paraId="3D1EB3D9" w14:textId="09B71646" w:rsidR="007B29D3" w:rsidRPr="00DB0E88" w:rsidRDefault="007B29D3" w:rsidP="00675D1F">
            <w:pPr>
              <w:widowControl w:val="0"/>
              <w:tabs>
                <w:tab w:val="left" w:pos="220"/>
                <w:tab w:val="left" w:pos="720"/>
              </w:tabs>
              <w:autoSpaceDE w:val="0"/>
              <w:autoSpaceDN w:val="0"/>
              <w:adjustRightInd w:val="0"/>
              <w:spacing w:after="0" w:line="240" w:lineRule="auto"/>
              <w:contextualSpacing/>
              <w:rPr>
                <w:rFonts w:eastAsia="Times New Roman"/>
                <w:sz w:val="20"/>
                <w:szCs w:val="20"/>
              </w:rPr>
            </w:pPr>
            <w:r>
              <w:rPr>
                <w:rFonts w:eastAsia="Times New Roman"/>
                <w:sz w:val="20"/>
                <w:szCs w:val="20"/>
              </w:rPr>
              <w:t>#5: Gas</w:t>
            </w:r>
          </w:p>
        </w:tc>
        <w:tc>
          <w:tcPr>
            <w:tcW w:w="1267" w:type="dxa"/>
            <w:tcBorders>
              <w:top w:val="single" w:sz="4" w:space="0" w:color="000000"/>
              <w:left w:val="single" w:sz="8" w:space="0" w:color="0070C0"/>
              <w:bottom w:val="single" w:sz="12" w:space="0" w:color="000000"/>
              <w:right w:val="single" w:sz="18" w:space="0" w:color="0070C0"/>
            </w:tcBorders>
            <w:shd w:val="clear" w:color="auto" w:fill="E5B8B7" w:themeFill="accent2" w:themeFillTint="66"/>
            <w:vAlign w:val="center"/>
          </w:tcPr>
          <w:p w14:paraId="5DE66C90" w14:textId="143ED4F3" w:rsidR="007B29D3" w:rsidRPr="00DB0E88" w:rsidRDefault="007B29D3" w:rsidP="00675D1F">
            <w:pPr>
              <w:widowControl w:val="0"/>
              <w:numPr>
                <w:ilvl w:val="0"/>
                <w:numId w:val="1"/>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Pr>
                <w:rFonts w:eastAsia="Times New Roman"/>
                <w:sz w:val="20"/>
                <w:szCs w:val="20"/>
              </w:rPr>
              <w:t>$149</w:t>
            </w:r>
          </w:p>
        </w:tc>
        <w:tc>
          <w:tcPr>
            <w:tcW w:w="3322" w:type="dxa"/>
            <w:tcBorders>
              <w:top w:val="single" w:sz="4" w:space="0" w:color="000000"/>
              <w:left w:val="single" w:sz="18" w:space="0" w:color="0070C0"/>
              <w:bottom w:val="single" w:sz="12" w:space="0" w:color="000000"/>
              <w:right w:val="single" w:sz="8" w:space="0" w:color="0070C0"/>
            </w:tcBorders>
            <w:shd w:val="clear" w:color="auto" w:fill="auto"/>
            <w:vAlign w:val="center"/>
          </w:tcPr>
          <w:p w14:paraId="6BDFBD42" w14:textId="00DE0E19" w:rsidR="007B29D3" w:rsidRPr="00DB0E88" w:rsidRDefault="007B29D3" w:rsidP="00675D1F">
            <w:pPr>
              <w:widowControl w:val="0"/>
              <w:numPr>
                <w:ilvl w:val="0"/>
                <w:numId w:val="1"/>
              </w:numPr>
              <w:tabs>
                <w:tab w:val="left" w:pos="220"/>
                <w:tab w:val="left" w:pos="720"/>
              </w:tabs>
              <w:autoSpaceDE w:val="0"/>
              <w:autoSpaceDN w:val="0"/>
              <w:adjustRightInd w:val="0"/>
              <w:spacing w:after="0" w:line="240" w:lineRule="auto"/>
              <w:ind w:left="0" w:firstLine="0"/>
              <w:contextualSpacing/>
              <w:rPr>
                <w:rFonts w:eastAsia="Times New Roman"/>
                <w:sz w:val="20"/>
                <w:szCs w:val="20"/>
              </w:rPr>
            </w:pPr>
            <w:r>
              <w:rPr>
                <w:rFonts w:eastAsia="Times New Roman"/>
                <w:sz w:val="20"/>
                <w:szCs w:val="20"/>
              </w:rPr>
              <w:t>#10: Restaurants</w:t>
            </w:r>
          </w:p>
        </w:tc>
        <w:tc>
          <w:tcPr>
            <w:tcW w:w="1267" w:type="dxa"/>
            <w:tcBorders>
              <w:top w:val="single" w:sz="4" w:space="0" w:color="000000"/>
              <w:left w:val="single" w:sz="8" w:space="0" w:color="0070C0"/>
              <w:bottom w:val="single" w:sz="12" w:space="0" w:color="000000"/>
              <w:right w:val="single" w:sz="12" w:space="0" w:color="000000"/>
            </w:tcBorders>
            <w:shd w:val="clear" w:color="auto" w:fill="F2DBDB" w:themeFill="accent2" w:themeFillTint="33"/>
            <w:vAlign w:val="center"/>
          </w:tcPr>
          <w:p w14:paraId="016C6ADE" w14:textId="1737A53C" w:rsidR="007B29D3" w:rsidRPr="00DB0E88" w:rsidRDefault="007B29D3" w:rsidP="00675D1F">
            <w:pPr>
              <w:widowControl w:val="0"/>
              <w:numPr>
                <w:ilvl w:val="0"/>
                <w:numId w:val="1"/>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Pr>
                <w:rFonts w:eastAsia="Times New Roman"/>
                <w:sz w:val="20"/>
                <w:szCs w:val="20"/>
              </w:rPr>
              <w:t>$102</w:t>
            </w:r>
          </w:p>
        </w:tc>
      </w:tr>
    </w:tbl>
    <w:p w14:paraId="585F4EFD" w14:textId="4CCA9EFA" w:rsidR="007B29D3" w:rsidRDefault="007B29D3" w:rsidP="007B29D3">
      <w:pPr>
        <w:spacing w:after="0" w:line="240" w:lineRule="auto"/>
        <w:ind w:firstLine="90"/>
        <w:contextualSpacing/>
        <w:mirrorIndents/>
        <w:rPr>
          <w:rFonts w:ascii="Verdana" w:hAnsi="Verdana"/>
          <w:sz w:val="20"/>
          <w:szCs w:val="20"/>
        </w:rPr>
      </w:pPr>
      <w:r>
        <w:rPr>
          <w:sz w:val="16"/>
          <w:szCs w:val="16"/>
        </w:rPr>
        <w:t xml:space="preserve">Morning Consult, April 2022 </w:t>
      </w:r>
      <w:r>
        <w:rPr>
          <w:sz w:val="16"/>
          <w:szCs w:val="16"/>
        </w:rPr>
        <w:tab/>
      </w:r>
      <w:r>
        <w:rPr>
          <w:sz w:val="16"/>
          <w:szCs w:val="16"/>
        </w:rPr>
        <w:tab/>
      </w:r>
    </w:p>
    <w:p w14:paraId="7652D3CA" w14:textId="77777777" w:rsidR="007B29D3" w:rsidRDefault="007B29D3" w:rsidP="00E47E67">
      <w:pPr>
        <w:spacing w:after="0" w:line="240" w:lineRule="auto"/>
        <w:contextualSpacing/>
        <w:mirrorIndents/>
        <w:rPr>
          <w:rFonts w:ascii="Verdana" w:hAnsi="Verdana"/>
          <w:sz w:val="20"/>
          <w:szCs w:val="20"/>
        </w:rPr>
      </w:pPr>
    </w:p>
    <w:p w14:paraId="608BE0CA" w14:textId="77777777" w:rsidR="007B29D3" w:rsidRDefault="007B29D3" w:rsidP="00E47E67">
      <w:pPr>
        <w:spacing w:after="0" w:line="240" w:lineRule="auto"/>
        <w:contextualSpacing/>
        <w:mirrorIndents/>
        <w:rPr>
          <w:rFonts w:ascii="Verdana" w:hAnsi="Verdana"/>
          <w:sz w:val="20"/>
          <w:szCs w:val="20"/>
        </w:rPr>
      </w:pPr>
    </w:p>
    <w:p w14:paraId="4332B45C" w14:textId="44523597" w:rsidR="00E47E67" w:rsidRPr="00350C5C" w:rsidRDefault="00E47E67" w:rsidP="00350C5C">
      <w:pPr>
        <w:spacing w:after="0" w:line="240" w:lineRule="auto"/>
        <w:contextualSpacing/>
        <w:mirrorIndents/>
        <w:jc w:val="center"/>
        <w:rPr>
          <w:rFonts w:ascii="Verdana" w:hAnsi="Verdana"/>
          <w:b/>
          <w:bCs/>
          <w:color w:val="0070C0"/>
          <w:sz w:val="20"/>
          <w:szCs w:val="20"/>
        </w:rPr>
      </w:pPr>
      <w:r w:rsidRPr="00350C5C">
        <w:rPr>
          <w:rFonts w:ascii="Verdana" w:hAnsi="Verdana"/>
          <w:b/>
          <w:bCs/>
          <w:color w:val="0070C0"/>
          <w:sz w:val="20"/>
          <w:szCs w:val="20"/>
        </w:rPr>
        <w:lastRenderedPageBreak/>
        <w:t>Attracting Gen Zers, the Next Generation of Cardholders</w:t>
      </w:r>
    </w:p>
    <w:p w14:paraId="0B3E0385" w14:textId="77777777" w:rsidR="00E47E67" w:rsidRPr="00E47E67" w:rsidRDefault="00E47E67" w:rsidP="00E47E67">
      <w:pPr>
        <w:spacing w:after="0" w:line="240" w:lineRule="auto"/>
        <w:contextualSpacing/>
        <w:mirrorIndents/>
        <w:rPr>
          <w:rFonts w:ascii="Verdana" w:hAnsi="Verdana"/>
          <w:sz w:val="20"/>
          <w:szCs w:val="20"/>
        </w:rPr>
      </w:pPr>
    </w:p>
    <w:p w14:paraId="7B6AF8DA" w14:textId="57A1DF54" w:rsidR="00350C5C" w:rsidRDefault="00350C5C" w:rsidP="00E47E67">
      <w:pPr>
        <w:spacing w:after="0" w:line="240" w:lineRule="auto"/>
        <w:contextualSpacing/>
        <w:mirrorIndents/>
        <w:rPr>
          <w:rFonts w:ascii="Verdana" w:hAnsi="Verdana"/>
          <w:sz w:val="20"/>
          <w:szCs w:val="20"/>
        </w:rPr>
      </w:pPr>
      <w:r>
        <w:rPr>
          <w:rFonts w:ascii="Verdana" w:hAnsi="Verdana"/>
          <w:sz w:val="20"/>
          <w:szCs w:val="20"/>
        </w:rPr>
        <w:t>Many Gen Z adults face expensive college costs and/or student loan debt and an increasing need for consumer products; however, some are cautious about acquiring the</w:t>
      </w:r>
      <w:r w:rsidR="00997063">
        <w:rPr>
          <w:rFonts w:ascii="Verdana" w:hAnsi="Verdana"/>
          <w:sz w:val="20"/>
          <w:szCs w:val="20"/>
        </w:rPr>
        <w:t>ir</w:t>
      </w:r>
      <w:r>
        <w:rPr>
          <w:rFonts w:ascii="Verdana" w:hAnsi="Verdana"/>
          <w:sz w:val="20"/>
          <w:szCs w:val="20"/>
        </w:rPr>
        <w:t xml:space="preserve"> first credit card, although Bankrate.com reports 55% of Gen Zers have a credit card.</w:t>
      </w:r>
    </w:p>
    <w:p w14:paraId="57BDB982" w14:textId="24829AED" w:rsidR="00350C5C" w:rsidRDefault="00350C5C" w:rsidP="00E47E67">
      <w:pPr>
        <w:spacing w:after="0" w:line="240" w:lineRule="auto"/>
        <w:contextualSpacing/>
        <w:mirrorIndents/>
        <w:rPr>
          <w:rFonts w:ascii="Verdana" w:hAnsi="Verdana"/>
          <w:sz w:val="20"/>
          <w:szCs w:val="20"/>
        </w:rPr>
      </w:pPr>
    </w:p>
    <w:p w14:paraId="417E42C0" w14:textId="043182AA" w:rsidR="00350C5C" w:rsidRDefault="00350C5C" w:rsidP="00E47E67">
      <w:pPr>
        <w:spacing w:after="0" w:line="240" w:lineRule="auto"/>
        <w:contextualSpacing/>
        <w:mirrorIndents/>
        <w:rPr>
          <w:rFonts w:ascii="Verdana" w:hAnsi="Verdana"/>
          <w:sz w:val="20"/>
          <w:szCs w:val="20"/>
        </w:rPr>
      </w:pPr>
      <w:r>
        <w:rPr>
          <w:rFonts w:ascii="Verdana" w:hAnsi="Verdana"/>
          <w:sz w:val="20"/>
          <w:szCs w:val="20"/>
        </w:rPr>
        <w:t>Federal legislation of 2009 made the acquisition of a credit card more difficult for adults younger than 21. It requires a cosigner or income proof. More importantly, credit card companies are not allowed to promote cards on college campuses.</w:t>
      </w:r>
    </w:p>
    <w:p w14:paraId="2AAE2BDB" w14:textId="77777777" w:rsidR="00350C5C" w:rsidRDefault="00350C5C" w:rsidP="00E47E67">
      <w:pPr>
        <w:spacing w:after="0" w:line="240" w:lineRule="auto"/>
        <w:contextualSpacing/>
        <w:mirrorIndents/>
        <w:rPr>
          <w:rFonts w:ascii="Verdana" w:hAnsi="Verdana"/>
          <w:sz w:val="20"/>
          <w:szCs w:val="20"/>
        </w:rPr>
      </w:pPr>
    </w:p>
    <w:p w14:paraId="6B248FCF" w14:textId="4922B0DB" w:rsidR="00350C5C" w:rsidRDefault="00350C5C" w:rsidP="00E47E67">
      <w:pPr>
        <w:spacing w:after="0" w:line="240" w:lineRule="auto"/>
        <w:contextualSpacing/>
        <w:mirrorIndents/>
        <w:rPr>
          <w:rFonts w:ascii="Verdana" w:hAnsi="Verdana"/>
          <w:sz w:val="20"/>
          <w:szCs w:val="20"/>
        </w:rPr>
      </w:pPr>
      <w:r>
        <w:rPr>
          <w:rFonts w:ascii="Verdana" w:hAnsi="Verdana"/>
          <w:sz w:val="20"/>
          <w:szCs w:val="20"/>
        </w:rPr>
        <w:t>Various analysts in this sector state Gen Zers are not against credit cards, but want them to provide a useful value. Data from Transunion indicate</w:t>
      </w:r>
      <w:r w:rsidR="00FD1A45">
        <w:rPr>
          <w:rFonts w:ascii="Verdana" w:hAnsi="Verdana"/>
          <w:sz w:val="20"/>
          <w:szCs w:val="20"/>
        </w:rPr>
        <w:t>s</w:t>
      </w:r>
      <w:r>
        <w:rPr>
          <w:rFonts w:ascii="Verdana" w:hAnsi="Verdana"/>
          <w:sz w:val="20"/>
          <w:szCs w:val="20"/>
        </w:rPr>
        <w:t xml:space="preserve"> 3.1 million of the Q3 2021 card originations were Gen Zers, compared to 1.8 million during Q3 2020.</w:t>
      </w:r>
    </w:p>
    <w:p w14:paraId="4DCC7F72" w14:textId="5A535F77" w:rsidR="00350C5C" w:rsidRDefault="00350C5C" w:rsidP="00E47E67">
      <w:pPr>
        <w:spacing w:after="0" w:line="240" w:lineRule="auto"/>
        <w:contextualSpacing/>
        <w:mirrorIndents/>
        <w:rPr>
          <w:rFonts w:ascii="Verdana" w:hAnsi="Verdana"/>
          <w:sz w:val="20"/>
          <w:szCs w:val="20"/>
        </w:rPr>
      </w:pPr>
    </w:p>
    <w:p w14:paraId="3AEF2DEE" w14:textId="67182E5C" w:rsidR="00CE599E" w:rsidRPr="005D1511" w:rsidRDefault="00CE599E" w:rsidP="00CE599E">
      <w:pPr>
        <w:spacing w:after="0" w:line="240" w:lineRule="auto"/>
        <w:contextualSpacing/>
        <w:mirrorIndents/>
        <w:jc w:val="center"/>
        <w:rPr>
          <w:b/>
          <w:bCs/>
          <w:sz w:val="20"/>
          <w:szCs w:val="20"/>
        </w:rPr>
      </w:pPr>
      <w:r>
        <w:rPr>
          <w:b/>
          <w:bCs/>
          <w:sz w:val="20"/>
          <w:szCs w:val="20"/>
        </w:rPr>
        <w:t xml:space="preserve">Indices of Gen Z Adults’ Planned Purchases by Household Income, </w:t>
      </w:r>
      <w:r w:rsidRPr="005D1511">
        <w:rPr>
          <w:b/>
          <w:bCs/>
          <w:sz w:val="20"/>
          <w:szCs w:val="20"/>
        </w:rPr>
        <w:t>202</w:t>
      </w:r>
      <w:r>
        <w:rPr>
          <w:b/>
          <w:bCs/>
          <w:sz w:val="20"/>
          <w:szCs w:val="20"/>
        </w:rPr>
        <w:t>1</w:t>
      </w:r>
    </w:p>
    <w:tbl>
      <w:tblPr>
        <w:tblW w:w="10683" w:type="dxa"/>
        <w:jc w:val="center"/>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3053"/>
        <w:gridCol w:w="1526"/>
        <w:gridCol w:w="1526"/>
        <w:gridCol w:w="1526"/>
        <w:gridCol w:w="1526"/>
        <w:gridCol w:w="1526"/>
      </w:tblGrid>
      <w:tr w:rsidR="00CE599E" w:rsidRPr="005D1511" w14:paraId="0A37704A" w14:textId="77777777" w:rsidTr="00CE599E">
        <w:trPr>
          <w:jc w:val="center"/>
        </w:trPr>
        <w:tc>
          <w:tcPr>
            <w:tcW w:w="3053" w:type="dxa"/>
            <w:tcBorders>
              <w:top w:val="single" w:sz="12" w:space="0" w:color="000000"/>
              <w:left w:val="single" w:sz="12" w:space="0" w:color="000000"/>
              <w:bottom w:val="single" w:sz="18" w:space="0" w:color="C0504D" w:themeColor="accent2"/>
              <w:right w:val="single" w:sz="18" w:space="0" w:color="0070C0"/>
            </w:tcBorders>
            <w:shd w:val="clear" w:color="auto" w:fill="auto"/>
            <w:vAlign w:val="center"/>
          </w:tcPr>
          <w:p w14:paraId="04C1DB22" w14:textId="11FF28D0" w:rsidR="00CE599E" w:rsidRPr="004815C1" w:rsidRDefault="00CE599E" w:rsidP="00675D1F">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Planned Purchase</w:t>
            </w:r>
          </w:p>
        </w:tc>
        <w:tc>
          <w:tcPr>
            <w:tcW w:w="1526" w:type="dxa"/>
            <w:tcBorders>
              <w:top w:val="single" w:sz="12" w:space="0" w:color="000000"/>
              <w:left w:val="single" w:sz="18" w:space="0" w:color="0070C0"/>
              <w:bottom w:val="single" w:sz="18" w:space="0" w:color="C0504D" w:themeColor="accent2"/>
              <w:right w:val="single" w:sz="8" w:space="0" w:color="0070C0"/>
            </w:tcBorders>
            <w:shd w:val="clear" w:color="auto" w:fill="auto"/>
            <w:vAlign w:val="center"/>
          </w:tcPr>
          <w:p w14:paraId="1C004866" w14:textId="20148C99" w:rsidR="00CE599E" w:rsidRPr="004815C1" w:rsidRDefault="00CE599E" w:rsidP="00675D1F">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&lt;$15,000</w:t>
            </w:r>
          </w:p>
        </w:tc>
        <w:tc>
          <w:tcPr>
            <w:tcW w:w="1526"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51E62880" w14:textId="21BE7F14" w:rsidR="00CE599E" w:rsidRPr="004815C1" w:rsidRDefault="00CE599E" w:rsidP="00675D1F">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$15,000–$24,999</w:t>
            </w:r>
          </w:p>
        </w:tc>
        <w:tc>
          <w:tcPr>
            <w:tcW w:w="1526"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05ACA03A" w14:textId="1AC859ED" w:rsidR="00CE599E" w:rsidRPr="004815C1" w:rsidRDefault="00CE599E" w:rsidP="00675D1F">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$25,000–$34,999</w:t>
            </w:r>
          </w:p>
        </w:tc>
        <w:tc>
          <w:tcPr>
            <w:tcW w:w="1526"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4A8B8FDC" w14:textId="48641BF6" w:rsidR="00CE599E" w:rsidRPr="004815C1" w:rsidRDefault="00CE599E" w:rsidP="00675D1F">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$35,000–$49,999</w:t>
            </w:r>
          </w:p>
        </w:tc>
        <w:tc>
          <w:tcPr>
            <w:tcW w:w="1526" w:type="dxa"/>
            <w:tcBorders>
              <w:top w:val="single" w:sz="12" w:space="0" w:color="000000"/>
              <w:left w:val="single" w:sz="8" w:space="0" w:color="0070C0"/>
              <w:bottom w:val="single" w:sz="18" w:space="0" w:color="C0504D" w:themeColor="accent2"/>
              <w:right w:val="single" w:sz="12" w:space="0" w:color="000000"/>
            </w:tcBorders>
            <w:shd w:val="clear" w:color="auto" w:fill="auto"/>
            <w:vAlign w:val="center"/>
          </w:tcPr>
          <w:p w14:paraId="671ACD00" w14:textId="3649BDCF" w:rsidR="00CE599E" w:rsidRPr="004815C1" w:rsidRDefault="00CE599E" w:rsidP="00675D1F">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$50,000–$74,999</w:t>
            </w:r>
          </w:p>
        </w:tc>
      </w:tr>
      <w:tr w:rsidR="00A87AE3" w:rsidRPr="005D1511" w14:paraId="5BE71919" w14:textId="77777777" w:rsidTr="00A87AE3">
        <w:tblPrEx>
          <w:tblBorders>
            <w:top w:val="none" w:sz="0" w:space="0" w:color="auto"/>
          </w:tblBorders>
        </w:tblPrEx>
        <w:trPr>
          <w:jc w:val="center"/>
        </w:trPr>
        <w:tc>
          <w:tcPr>
            <w:tcW w:w="3053" w:type="dxa"/>
            <w:tcBorders>
              <w:top w:val="single" w:sz="18" w:space="0" w:color="C0504D" w:themeColor="accent2"/>
              <w:left w:val="single" w:sz="12" w:space="0" w:color="000000"/>
              <w:bottom w:val="single" w:sz="4" w:space="0" w:color="000000"/>
              <w:right w:val="single" w:sz="18" w:space="0" w:color="0070C0"/>
            </w:tcBorders>
            <w:shd w:val="clear" w:color="auto" w:fill="auto"/>
            <w:vAlign w:val="center"/>
          </w:tcPr>
          <w:p w14:paraId="0BDB80F5" w14:textId="3E804DBE" w:rsidR="00CE599E" w:rsidRPr="004815C1" w:rsidRDefault="00CE599E" w:rsidP="00675D1F">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Buy or lease new vehicle*</w:t>
            </w:r>
          </w:p>
        </w:tc>
        <w:tc>
          <w:tcPr>
            <w:tcW w:w="1526" w:type="dxa"/>
            <w:tcBorders>
              <w:top w:val="single" w:sz="18" w:space="0" w:color="C0504D" w:themeColor="accent2"/>
              <w:left w:val="single" w:sz="18" w:space="0" w:color="0070C0"/>
              <w:bottom w:val="single" w:sz="4" w:space="0" w:color="auto"/>
              <w:right w:val="single" w:sz="8" w:space="0" w:color="0070C0"/>
            </w:tcBorders>
            <w:shd w:val="clear" w:color="auto" w:fill="E5B8B7" w:themeFill="accent2" w:themeFillTint="66"/>
            <w:vAlign w:val="center"/>
          </w:tcPr>
          <w:p w14:paraId="7EEEE1B6" w14:textId="01F6CE17" w:rsidR="00CE599E" w:rsidRPr="004815C1" w:rsidRDefault="00CE599E"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71</w:t>
            </w:r>
          </w:p>
        </w:tc>
        <w:tc>
          <w:tcPr>
            <w:tcW w:w="1526" w:type="dxa"/>
            <w:tcBorders>
              <w:top w:val="single" w:sz="18" w:space="0" w:color="C0504D" w:themeColor="accent2"/>
              <w:left w:val="single" w:sz="8" w:space="0" w:color="0070C0"/>
              <w:bottom w:val="single" w:sz="4" w:space="0" w:color="auto"/>
              <w:right w:val="single" w:sz="8" w:space="0" w:color="0070C0"/>
            </w:tcBorders>
            <w:shd w:val="clear" w:color="auto" w:fill="C2D69B" w:themeFill="accent3" w:themeFillTint="99"/>
            <w:vAlign w:val="center"/>
          </w:tcPr>
          <w:p w14:paraId="2D55F17D" w14:textId="3245779A" w:rsidR="00CE599E" w:rsidRPr="004815C1" w:rsidRDefault="00CE599E"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129</w:t>
            </w:r>
          </w:p>
        </w:tc>
        <w:tc>
          <w:tcPr>
            <w:tcW w:w="1526" w:type="dxa"/>
            <w:tcBorders>
              <w:top w:val="single" w:sz="18" w:space="0" w:color="C0504D" w:themeColor="accent2"/>
              <w:left w:val="single" w:sz="8" w:space="0" w:color="0070C0"/>
              <w:bottom w:val="single" w:sz="4" w:space="0" w:color="auto"/>
              <w:right w:val="single" w:sz="8" w:space="0" w:color="0070C0"/>
            </w:tcBorders>
            <w:shd w:val="clear" w:color="auto" w:fill="C2D69B" w:themeFill="accent3" w:themeFillTint="99"/>
            <w:vAlign w:val="center"/>
          </w:tcPr>
          <w:p w14:paraId="551E1150" w14:textId="437FB7BB" w:rsidR="00CE599E" w:rsidRPr="004815C1" w:rsidRDefault="00CE599E"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122</w:t>
            </w:r>
          </w:p>
        </w:tc>
        <w:tc>
          <w:tcPr>
            <w:tcW w:w="1526" w:type="dxa"/>
            <w:tcBorders>
              <w:top w:val="single" w:sz="18" w:space="0" w:color="C0504D" w:themeColor="accent2"/>
              <w:left w:val="single" w:sz="8" w:space="0" w:color="0070C0"/>
              <w:bottom w:val="single" w:sz="4" w:space="0" w:color="auto"/>
              <w:right w:val="single" w:sz="8" w:space="0" w:color="0070C0"/>
            </w:tcBorders>
            <w:shd w:val="clear" w:color="auto" w:fill="E5B8B7" w:themeFill="accent2" w:themeFillTint="66"/>
            <w:vAlign w:val="center"/>
          </w:tcPr>
          <w:p w14:paraId="7D8B2025" w14:textId="5CFDA9E9" w:rsidR="00CE599E" w:rsidRPr="00F678A1" w:rsidRDefault="00CE599E"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87</w:t>
            </w:r>
          </w:p>
        </w:tc>
        <w:tc>
          <w:tcPr>
            <w:tcW w:w="1526" w:type="dxa"/>
            <w:tcBorders>
              <w:top w:val="single" w:sz="18" w:space="0" w:color="C0504D" w:themeColor="accent2"/>
              <w:left w:val="single" w:sz="8" w:space="0" w:color="0070C0"/>
              <w:bottom w:val="single" w:sz="4" w:space="0" w:color="auto"/>
              <w:right w:val="single" w:sz="12" w:space="0" w:color="000000"/>
            </w:tcBorders>
            <w:shd w:val="clear" w:color="auto" w:fill="E5B8B7" w:themeFill="accent2" w:themeFillTint="66"/>
            <w:vAlign w:val="center"/>
          </w:tcPr>
          <w:p w14:paraId="5D5D35D5" w14:textId="74017A63" w:rsidR="00CE599E" w:rsidRPr="004815C1" w:rsidRDefault="00CE599E" w:rsidP="00675D1F">
            <w:pPr>
              <w:widowControl w:val="0"/>
              <w:tabs>
                <w:tab w:val="left" w:pos="220"/>
                <w:tab w:val="left" w:pos="720"/>
              </w:tabs>
              <w:autoSpaceDE w:val="0"/>
              <w:autoSpaceDN w:val="0"/>
              <w:spacing w:after="0" w:line="240" w:lineRule="auto"/>
              <w:ind w:left="360"/>
              <w:contextualSpacing/>
              <w:mirrorIndents/>
              <w:jc w:val="right"/>
              <w:rPr>
                <w:rFonts w:ascii="Verdana" w:eastAsia="Times New Roman" w:hAnsi="Verdana"/>
                <w:sz w:val="20"/>
                <w:szCs w:val="20"/>
              </w:rPr>
            </w:pPr>
            <w:r>
              <w:rPr>
                <w:rFonts w:ascii="Verdana" w:eastAsia="Times New Roman" w:hAnsi="Verdana"/>
                <w:sz w:val="20"/>
                <w:szCs w:val="20"/>
              </w:rPr>
              <w:t>84</w:t>
            </w:r>
          </w:p>
        </w:tc>
      </w:tr>
      <w:tr w:rsidR="00A87AE3" w:rsidRPr="005D1511" w14:paraId="263D30A0" w14:textId="77777777" w:rsidTr="00A87AE3">
        <w:tblPrEx>
          <w:tblBorders>
            <w:top w:val="none" w:sz="0" w:space="0" w:color="auto"/>
          </w:tblBorders>
        </w:tblPrEx>
        <w:trPr>
          <w:jc w:val="center"/>
        </w:trPr>
        <w:tc>
          <w:tcPr>
            <w:tcW w:w="3053"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4BBAC36D" w14:textId="5B334677" w:rsidR="00CE599E" w:rsidRPr="004815C1" w:rsidRDefault="00CE599E" w:rsidP="00675D1F">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Buy or lease used vehicle*</w:t>
            </w:r>
          </w:p>
        </w:tc>
        <w:tc>
          <w:tcPr>
            <w:tcW w:w="1526" w:type="dxa"/>
            <w:tcBorders>
              <w:top w:val="single" w:sz="4" w:space="0" w:color="auto"/>
              <w:left w:val="single" w:sz="18" w:space="0" w:color="0070C0"/>
              <w:bottom w:val="single" w:sz="4" w:space="0" w:color="000000"/>
              <w:right w:val="single" w:sz="8" w:space="0" w:color="0070C0"/>
            </w:tcBorders>
            <w:shd w:val="clear" w:color="auto" w:fill="E5B8B7" w:themeFill="accent2" w:themeFillTint="66"/>
            <w:vAlign w:val="center"/>
          </w:tcPr>
          <w:p w14:paraId="56E8034A" w14:textId="45D8E645" w:rsidR="00CE599E" w:rsidRPr="004815C1" w:rsidRDefault="00CE599E"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80</w:t>
            </w:r>
          </w:p>
        </w:tc>
        <w:tc>
          <w:tcPr>
            <w:tcW w:w="1526"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1DD30DCB" w14:textId="4DF32425" w:rsidR="00CE599E" w:rsidRPr="004815C1" w:rsidRDefault="00CE599E"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133</w:t>
            </w:r>
          </w:p>
        </w:tc>
        <w:tc>
          <w:tcPr>
            <w:tcW w:w="1526"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44C4EB67" w14:textId="75B2AAE0" w:rsidR="00CE599E" w:rsidRPr="004815C1" w:rsidRDefault="00CE599E"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119</w:t>
            </w:r>
          </w:p>
        </w:tc>
        <w:tc>
          <w:tcPr>
            <w:tcW w:w="1526"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5187B345" w14:textId="1571F91F" w:rsidR="00CE599E" w:rsidRPr="004815C1" w:rsidRDefault="00CE599E"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137</w:t>
            </w:r>
          </w:p>
        </w:tc>
        <w:tc>
          <w:tcPr>
            <w:tcW w:w="1526" w:type="dxa"/>
            <w:tcBorders>
              <w:top w:val="single" w:sz="4" w:space="0" w:color="auto"/>
              <w:left w:val="single" w:sz="8" w:space="0" w:color="0070C0"/>
              <w:bottom w:val="single" w:sz="4" w:space="0" w:color="000000"/>
              <w:right w:val="single" w:sz="12" w:space="0" w:color="000000"/>
            </w:tcBorders>
            <w:shd w:val="clear" w:color="auto" w:fill="E5B8B7" w:themeFill="accent2" w:themeFillTint="66"/>
            <w:vAlign w:val="center"/>
          </w:tcPr>
          <w:p w14:paraId="5DF54AA3" w14:textId="4547E3CC" w:rsidR="00CE599E" w:rsidRPr="00B00624" w:rsidRDefault="00CE599E"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83</w:t>
            </w:r>
          </w:p>
        </w:tc>
      </w:tr>
      <w:tr w:rsidR="00CE599E" w:rsidRPr="005D1511" w14:paraId="2A5588F8" w14:textId="77777777" w:rsidTr="00A87AE3">
        <w:tblPrEx>
          <w:tblBorders>
            <w:top w:val="none" w:sz="0" w:space="0" w:color="auto"/>
          </w:tblBorders>
        </w:tblPrEx>
        <w:trPr>
          <w:jc w:val="center"/>
        </w:trPr>
        <w:tc>
          <w:tcPr>
            <w:tcW w:w="3053"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234D6C48" w14:textId="595F65F4" w:rsidR="00CE599E" w:rsidRPr="004815C1" w:rsidRDefault="00CE599E" w:rsidP="00675D1F">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Major household appliance*</w:t>
            </w:r>
          </w:p>
        </w:tc>
        <w:tc>
          <w:tcPr>
            <w:tcW w:w="1526" w:type="dxa"/>
            <w:tcBorders>
              <w:top w:val="single" w:sz="4" w:space="0" w:color="auto"/>
              <w:left w:val="single" w:sz="18" w:space="0" w:color="0070C0"/>
              <w:bottom w:val="single" w:sz="4" w:space="0" w:color="000000"/>
              <w:right w:val="single" w:sz="8" w:space="0" w:color="0070C0"/>
            </w:tcBorders>
            <w:shd w:val="clear" w:color="auto" w:fill="E5B8B7" w:themeFill="accent2" w:themeFillTint="66"/>
            <w:vAlign w:val="center"/>
          </w:tcPr>
          <w:p w14:paraId="6C3FCEAF" w14:textId="42F23E27" w:rsidR="00CE599E" w:rsidRPr="004815C1" w:rsidRDefault="00CE599E"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74</w:t>
            </w:r>
          </w:p>
        </w:tc>
        <w:tc>
          <w:tcPr>
            <w:tcW w:w="1526"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66E9092E" w14:textId="5F7EFBC2" w:rsidR="00CE599E" w:rsidRPr="004815C1" w:rsidRDefault="00CE599E"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120</w:t>
            </w:r>
          </w:p>
        </w:tc>
        <w:tc>
          <w:tcPr>
            <w:tcW w:w="1526"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1512226C" w14:textId="081E9802" w:rsidR="00CE599E" w:rsidRPr="004815C1" w:rsidRDefault="00CE599E"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141</w:t>
            </w:r>
          </w:p>
        </w:tc>
        <w:tc>
          <w:tcPr>
            <w:tcW w:w="1526" w:type="dxa"/>
            <w:tcBorders>
              <w:top w:val="single" w:sz="4" w:space="0" w:color="auto"/>
              <w:left w:val="single" w:sz="8" w:space="0" w:color="0070C0"/>
              <w:bottom w:val="single" w:sz="4" w:space="0" w:color="000000"/>
              <w:right w:val="single" w:sz="8" w:space="0" w:color="0070C0"/>
            </w:tcBorders>
            <w:shd w:val="clear" w:color="auto" w:fill="00B050"/>
            <w:vAlign w:val="center"/>
          </w:tcPr>
          <w:p w14:paraId="73BF549C" w14:textId="14E0CE3C" w:rsidR="00CE599E" w:rsidRPr="004815C1" w:rsidRDefault="00CE599E"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149</w:t>
            </w:r>
          </w:p>
        </w:tc>
        <w:tc>
          <w:tcPr>
            <w:tcW w:w="1526" w:type="dxa"/>
            <w:tcBorders>
              <w:top w:val="single" w:sz="4" w:space="0" w:color="auto"/>
              <w:left w:val="single" w:sz="8" w:space="0" w:color="0070C0"/>
              <w:bottom w:val="single" w:sz="4" w:space="0" w:color="000000"/>
              <w:right w:val="single" w:sz="12" w:space="0" w:color="000000"/>
            </w:tcBorders>
            <w:shd w:val="clear" w:color="auto" w:fill="D99594" w:themeFill="accent2" w:themeFillTint="99"/>
            <w:vAlign w:val="center"/>
          </w:tcPr>
          <w:p w14:paraId="0E1DDA8A" w14:textId="38777E5F" w:rsidR="00CE599E" w:rsidRPr="00B00624" w:rsidRDefault="00CE599E"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56</w:t>
            </w:r>
          </w:p>
        </w:tc>
      </w:tr>
      <w:tr w:rsidR="00A87AE3" w:rsidRPr="005D1511" w14:paraId="421B66FE" w14:textId="77777777" w:rsidTr="00A87AE3">
        <w:tblPrEx>
          <w:tblBorders>
            <w:top w:val="none" w:sz="0" w:space="0" w:color="auto"/>
          </w:tblBorders>
        </w:tblPrEx>
        <w:trPr>
          <w:jc w:val="center"/>
        </w:trPr>
        <w:tc>
          <w:tcPr>
            <w:tcW w:w="3053"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147F22B3" w14:textId="48120798" w:rsidR="00CE599E" w:rsidRDefault="00CE599E" w:rsidP="00675D1F">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New TV*</w:t>
            </w:r>
          </w:p>
        </w:tc>
        <w:tc>
          <w:tcPr>
            <w:tcW w:w="1526" w:type="dxa"/>
            <w:tcBorders>
              <w:top w:val="single" w:sz="4" w:space="0" w:color="auto"/>
              <w:left w:val="single" w:sz="18" w:space="0" w:color="0070C0"/>
              <w:bottom w:val="single" w:sz="4" w:space="0" w:color="000000"/>
              <w:right w:val="single" w:sz="8" w:space="0" w:color="0070C0"/>
            </w:tcBorders>
            <w:shd w:val="clear" w:color="auto" w:fill="F2DBDB" w:themeFill="accent2" w:themeFillTint="33"/>
            <w:vAlign w:val="center"/>
          </w:tcPr>
          <w:p w14:paraId="6C62E5D2" w14:textId="065E3948" w:rsidR="00CE599E" w:rsidRDefault="00CE599E"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97</w:t>
            </w:r>
          </w:p>
        </w:tc>
        <w:tc>
          <w:tcPr>
            <w:tcW w:w="1526" w:type="dxa"/>
            <w:tcBorders>
              <w:top w:val="single" w:sz="4" w:space="0" w:color="auto"/>
              <w:left w:val="single" w:sz="8" w:space="0" w:color="0070C0"/>
              <w:bottom w:val="single" w:sz="4" w:space="0" w:color="000000"/>
              <w:right w:val="single" w:sz="8" w:space="0" w:color="0070C0"/>
            </w:tcBorders>
            <w:shd w:val="clear" w:color="auto" w:fill="F2DBDB" w:themeFill="accent2" w:themeFillTint="33"/>
            <w:vAlign w:val="center"/>
          </w:tcPr>
          <w:p w14:paraId="29179D5B" w14:textId="0459F8E7" w:rsidR="00CE599E" w:rsidRDefault="00CE599E"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93</w:t>
            </w:r>
          </w:p>
        </w:tc>
        <w:tc>
          <w:tcPr>
            <w:tcW w:w="1526"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09FC6D7A" w14:textId="41B3481F" w:rsidR="00CE599E" w:rsidRDefault="00CE599E"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123</w:t>
            </w:r>
          </w:p>
        </w:tc>
        <w:tc>
          <w:tcPr>
            <w:tcW w:w="1526"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34008463" w14:textId="2E647700" w:rsidR="00CE599E" w:rsidRDefault="00CE599E"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121</w:t>
            </w:r>
          </w:p>
        </w:tc>
        <w:tc>
          <w:tcPr>
            <w:tcW w:w="1526" w:type="dxa"/>
            <w:tcBorders>
              <w:top w:val="single" w:sz="4" w:space="0" w:color="auto"/>
              <w:left w:val="single" w:sz="8" w:space="0" w:color="0070C0"/>
              <w:bottom w:val="single" w:sz="4" w:space="0" w:color="000000"/>
              <w:right w:val="single" w:sz="12" w:space="0" w:color="000000"/>
            </w:tcBorders>
            <w:shd w:val="clear" w:color="auto" w:fill="E5B8B7" w:themeFill="accent2" w:themeFillTint="66"/>
            <w:vAlign w:val="center"/>
          </w:tcPr>
          <w:p w14:paraId="12E3A41B" w14:textId="35DC0F88" w:rsidR="00CE599E" w:rsidRDefault="00CE599E"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88</w:t>
            </w:r>
          </w:p>
        </w:tc>
      </w:tr>
      <w:tr w:rsidR="00A87AE3" w:rsidRPr="005D1511" w14:paraId="040903F5" w14:textId="77777777" w:rsidTr="00A87AE3">
        <w:tblPrEx>
          <w:tblBorders>
            <w:top w:val="none" w:sz="0" w:space="0" w:color="auto"/>
          </w:tblBorders>
        </w:tblPrEx>
        <w:trPr>
          <w:jc w:val="center"/>
        </w:trPr>
        <w:tc>
          <w:tcPr>
            <w:tcW w:w="3053"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304AE72E" w14:textId="587DE8F3" w:rsidR="00CE599E" w:rsidRPr="004815C1" w:rsidRDefault="00CE599E" w:rsidP="00675D1F">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New furniture*</w:t>
            </w:r>
          </w:p>
        </w:tc>
        <w:tc>
          <w:tcPr>
            <w:tcW w:w="1526" w:type="dxa"/>
            <w:tcBorders>
              <w:top w:val="single" w:sz="4" w:space="0" w:color="000000"/>
              <w:left w:val="single" w:sz="18" w:space="0" w:color="0070C0"/>
              <w:bottom w:val="single" w:sz="4" w:space="0" w:color="000000"/>
              <w:right w:val="single" w:sz="8" w:space="0" w:color="0070C0"/>
            </w:tcBorders>
            <w:shd w:val="clear" w:color="auto" w:fill="E5B8B7" w:themeFill="accent2" w:themeFillTint="66"/>
            <w:vAlign w:val="center"/>
          </w:tcPr>
          <w:p w14:paraId="44939F6F" w14:textId="56EAD6E0" w:rsidR="00CE599E" w:rsidRPr="004815C1" w:rsidRDefault="00CE599E"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78</w:t>
            </w:r>
          </w:p>
        </w:tc>
        <w:tc>
          <w:tcPr>
            <w:tcW w:w="1526" w:type="dxa"/>
            <w:tcBorders>
              <w:top w:val="single" w:sz="4" w:space="0" w:color="000000"/>
              <w:left w:val="single" w:sz="8" w:space="0" w:color="0070C0"/>
              <w:bottom w:val="single" w:sz="4" w:space="0" w:color="000000"/>
              <w:right w:val="single" w:sz="8" w:space="0" w:color="0070C0"/>
            </w:tcBorders>
            <w:shd w:val="clear" w:color="auto" w:fill="EAF1DD" w:themeFill="accent3" w:themeFillTint="33"/>
            <w:vAlign w:val="center"/>
          </w:tcPr>
          <w:p w14:paraId="6E58495A" w14:textId="1494D8EE" w:rsidR="00CE599E" w:rsidRPr="004815C1" w:rsidRDefault="00CE599E"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102</w:t>
            </w:r>
          </w:p>
        </w:tc>
        <w:tc>
          <w:tcPr>
            <w:tcW w:w="1526" w:type="dxa"/>
            <w:tcBorders>
              <w:top w:val="single" w:sz="4" w:space="0" w:color="000000"/>
              <w:left w:val="single" w:sz="8" w:space="0" w:color="0070C0"/>
              <w:bottom w:val="single" w:sz="4" w:space="0" w:color="000000"/>
              <w:right w:val="single" w:sz="8" w:space="0" w:color="0070C0"/>
            </w:tcBorders>
            <w:shd w:val="clear" w:color="auto" w:fill="D6E3BC" w:themeFill="accent3" w:themeFillTint="66"/>
            <w:vAlign w:val="center"/>
          </w:tcPr>
          <w:p w14:paraId="4C02EE57" w14:textId="1E4BB194" w:rsidR="00CE599E" w:rsidRPr="00B00624" w:rsidRDefault="00CE599E"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116</w:t>
            </w:r>
          </w:p>
        </w:tc>
        <w:tc>
          <w:tcPr>
            <w:tcW w:w="1526" w:type="dxa"/>
            <w:tcBorders>
              <w:top w:val="single" w:sz="4" w:space="0" w:color="000000"/>
              <w:left w:val="single" w:sz="8" w:space="0" w:color="0070C0"/>
              <w:bottom w:val="single" w:sz="4" w:space="0" w:color="000000"/>
              <w:right w:val="single" w:sz="8" w:space="0" w:color="0070C0"/>
            </w:tcBorders>
            <w:shd w:val="clear" w:color="auto" w:fill="D6E3BC" w:themeFill="accent3" w:themeFillTint="66"/>
            <w:vAlign w:val="center"/>
          </w:tcPr>
          <w:p w14:paraId="277E6822" w14:textId="078014C3" w:rsidR="00CE599E" w:rsidRPr="004815C1" w:rsidRDefault="00CE599E"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116</w:t>
            </w:r>
          </w:p>
        </w:tc>
        <w:tc>
          <w:tcPr>
            <w:tcW w:w="1526" w:type="dxa"/>
            <w:tcBorders>
              <w:top w:val="single" w:sz="4" w:space="0" w:color="000000"/>
              <w:left w:val="single" w:sz="8" w:space="0" w:color="0070C0"/>
              <w:bottom w:val="single" w:sz="4" w:space="0" w:color="000000"/>
              <w:right w:val="single" w:sz="12" w:space="0" w:color="000000"/>
            </w:tcBorders>
            <w:shd w:val="clear" w:color="auto" w:fill="F2DBDB" w:themeFill="accent2" w:themeFillTint="33"/>
            <w:vAlign w:val="center"/>
          </w:tcPr>
          <w:p w14:paraId="376DA2BD" w14:textId="0E53C042" w:rsidR="00CE599E" w:rsidRPr="006C125D" w:rsidRDefault="00CE599E"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95</w:t>
            </w:r>
          </w:p>
        </w:tc>
      </w:tr>
      <w:tr w:rsidR="00A87AE3" w:rsidRPr="005D1511" w14:paraId="3F9A3E85" w14:textId="77777777" w:rsidTr="00A87AE3">
        <w:tblPrEx>
          <w:tblBorders>
            <w:top w:val="none" w:sz="0" w:space="0" w:color="auto"/>
          </w:tblBorders>
        </w:tblPrEx>
        <w:trPr>
          <w:jc w:val="center"/>
        </w:trPr>
        <w:tc>
          <w:tcPr>
            <w:tcW w:w="3053" w:type="dxa"/>
            <w:tcBorders>
              <w:top w:val="single" w:sz="4" w:space="0" w:color="000000"/>
              <w:left w:val="single" w:sz="12" w:space="0" w:color="000000"/>
              <w:bottom w:val="single" w:sz="12" w:space="0" w:color="auto"/>
              <w:right w:val="single" w:sz="18" w:space="0" w:color="0070C0"/>
            </w:tcBorders>
            <w:shd w:val="clear" w:color="auto" w:fill="auto"/>
            <w:vAlign w:val="center"/>
          </w:tcPr>
          <w:p w14:paraId="68E97291" w14:textId="4E4DC640" w:rsidR="00CE599E" w:rsidRPr="00CE599E" w:rsidRDefault="00CE599E" w:rsidP="00675D1F">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A home</w:t>
            </w:r>
            <w:r w:rsidRPr="00CE599E">
              <w:rPr>
                <w:rFonts w:ascii="Verdana" w:eastAsia="Times New Roman" w:hAnsi="Verdana"/>
                <w:sz w:val="20"/>
                <w:szCs w:val="20"/>
              </w:rPr>
              <w:t>†</w:t>
            </w:r>
          </w:p>
        </w:tc>
        <w:tc>
          <w:tcPr>
            <w:tcW w:w="1526" w:type="dxa"/>
            <w:tcBorders>
              <w:top w:val="single" w:sz="4" w:space="0" w:color="000000"/>
              <w:left w:val="single" w:sz="18" w:space="0" w:color="0070C0"/>
              <w:bottom w:val="single" w:sz="12" w:space="0" w:color="auto"/>
              <w:right w:val="single" w:sz="8" w:space="0" w:color="0070C0"/>
            </w:tcBorders>
            <w:shd w:val="clear" w:color="auto" w:fill="EAF1DD" w:themeFill="accent3" w:themeFillTint="33"/>
            <w:vAlign w:val="center"/>
          </w:tcPr>
          <w:p w14:paraId="5EDD1717" w14:textId="1E94AC57" w:rsidR="00CE599E" w:rsidRPr="004815C1" w:rsidRDefault="00CE599E"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109</w:t>
            </w:r>
          </w:p>
        </w:tc>
        <w:tc>
          <w:tcPr>
            <w:tcW w:w="1526" w:type="dxa"/>
            <w:tcBorders>
              <w:top w:val="single" w:sz="4" w:space="0" w:color="000000"/>
              <w:left w:val="single" w:sz="8" w:space="0" w:color="0070C0"/>
              <w:bottom w:val="single" w:sz="12" w:space="0" w:color="auto"/>
              <w:right w:val="single" w:sz="8" w:space="0" w:color="0070C0"/>
            </w:tcBorders>
            <w:shd w:val="clear" w:color="auto" w:fill="D6E3BC" w:themeFill="accent3" w:themeFillTint="66"/>
            <w:vAlign w:val="center"/>
          </w:tcPr>
          <w:p w14:paraId="62CBB534" w14:textId="4F5E4933" w:rsidR="00CE599E" w:rsidRPr="004815C1" w:rsidRDefault="00CE599E"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119</w:t>
            </w:r>
          </w:p>
        </w:tc>
        <w:tc>
          <w:tcPr>
            <w:tcW w:w="1526" w:type="dxa"/>
            <w:tcBorders>
              <w:top w:val="single" w:sz="4" w:space="0" w:color="000000"/>
              <w:left w:val="single" w:sz="8" w:space="0" w:color="0070C0"/>
              <w:bottom w:val="single" w:sz="12" w:space="0" w:color="auto"/>
              <w:right w:val="single" w:sz="8" w:space="0" w:color="0070C0"/>
            </w:tcBorders>
            <w:shd w:val="clear" w:color="auto" w:fill="C2D69B" w:themeFill="accent3" w:themeFillTint="99"/>
            <w:vAlign w:val="center"/>
          </w:tcPr>
          <w:p w14:paraId="3BF382A7" w14:textId="58DDFBC5" w:rsidR="00CE599E" w:rsidRPr="00B00624" w:rsidRDefault="00CE599E" w:rsidP="00675D1F">
            <w:pPr>
              <w:widowControl w:val="0"/>
              <w:tabs>
                <w:tab w:val="left" w:pos="220"/>
                <w:tab w:val="left" w:pos="720"/>
              </w:tabs>
              <w:autoSpaceDE w:val="0"/>
              <w:autoSpaceDN w:val="0"/>
              <w:spacing w:after="0" w:line="240" w:lineRule="auto"/>
              <w:contextualSpacing/>
              <w:mirrorIndents/>
              <w:jc w:val="right"/>
              <w:rPr>
                <w:rFonts w:ascii="Verdana" w:eastAsia="Times New Roman" w:hAnsi="Verdana"/>
                <w:sz w:val="20"/>
                <w:szCs w:val="20"/>
              </w:rPr>
            </w:pPr>
            <w:r>
              <w:rPr>
                <w:rFonts w:ascii="Verdana" w:eastAsia="Times New Roman" w:hAnsi="Verdana"/>
                <w:sz w:val="20"/>
                <w:szCs w:val="20"/>
              </w:rPr>
              <w:t>122</w:t>
            </w:r>
          </w:p>
        </w:tc>
        <w:tc>
          <w:tcPr>
            <w:tcW w:w="1526" w:type="dxa"/>
            <w:tcBorders>
              <w:top w:val="single" w:sz="4" w:space="0" w:color="000000"/>
              <w:left w:val="single" w:sz="8" w:space="0" w:color="0070C0"/>
              <w:bottom w:val="single" w:sz="12" w:space="0" w:color="auto"/>
              <w:right w:val="single" w:sz="8" w:space="0" w:color="0070C0"/>
            </w:tcBorders>
            <w:shd w:val="clear" w:color="auto" w:fill="F2DBDB" w:themeFill="accent2" w:themeFillTint="33"/>
            <w:vAlign w:val="center"/>
          </w:tcPr>
          <w:p w14:paraId="07E816B0" w14:textId="310E9F23" w:rsidR="00CE599E" w:rsidRPr="004815C1" w:rsidRDefault="00CE599E"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95</w:t>
            </w:r>
          </w:p>
        </w:tc>
        <w:tc>
          <w:tcPr>
            <w:tcW w:w="1526" w:type="dxa"/>
            <w:tcBorders>
              <w:top w:val="single" w:sz="4" w:space="0" w:color="000000"/>
              <w:left w:val="single" w:sz="8" w:space="0" w:color="0070C0"/>
              <w:bottom w:val="single" w:sz="12" w:space="0" w:color="auto"/>
              <w:right w:val="single" w:sz="12" w:space="0" w:color="000000"/>
            </w:tcBorders>
            <w:shd w:val="clear" w:color="auto" w:fill="E5B8B7" w:themeFill="accent2" w:themeFillTint="66"/>
            <w:vAlign w:val="center"/>
          </w:tcPr>
          <w:p w14:paraId="6DBB257E" w14:textId="0D993100" w:rsidR="00CE599E" w:rsidRPr="004815C1" w:rsidRDefault="00CE599E" w:rsidP="00675D1F">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90</w:t>
            </w:r>
          </w:p>
        </w:tc>
      </w:tr>
    </w:tbl>
    <w:p w14:paraId="16D157D8" w14:textId="77777777" w:rsidR="00CE599E" w:rsidRDefault="00CE599E" w:rsidP="00CE599E">
      <w:pPr>
        <w:pStyle w:val="NoSpacing"/>
        <w:ind w:hanging="630"/>
        <w:contextualSpacing/>
        <w:mirrorIndents/>
        <w:rPr>
          <w:sz w:val="16"/>
          <w:szCs w:val="16"/>
        </w:rPr>
      </w:pPr>
      <w:r w:rsidRPr="00573142">
        <w:rPr>
          <w:sz w:val="16"/>
          <w:szCs w:val="16"/>
        </w:rPr>
        <w:t>Based on The Media Audit’s</w:t>
      </w:r>
      <w:r>
        <w:rPr>
          <w:sz w:val="16"/>
          <w:szCs w:val="16"/>
        </w:rPr>
        <w:t xml:space="preserve"> 2021 Aggregate Report of 49 consumer/market surveys</w:t>
      </w:r>
      <w:r>
        <w:rPr>
          <w:sz w:val="16"/>
          <w:szCs w:val="16"/>
        </w:rPr>
        <w:tab/>
      </w:r>
    </w:p>
    <w:p w14:paraId="38D42E7A" w14:textId="13A0B1CA" w:rsidR="00CE599E" w:rsidRPr="00F77716" w:rsidRDefault="00CE599E" w:rsidP="00CE599E">
      <w:pPr>
        <w:pStyle w:val="NoSpacing"/>
        <w:ind w:hanging="630"/>
        <w:contextualSpacing/>
        <w:mirrorIndents/>
        <w:rPr>
          <w:rFonts w:ascii="Verdana" w:hAnsi="Verdana"/>
          <w:sz w:val="16"/>
          <w:szCs w:val="16"/>
        </w:rPr>
      </w:pPr>
      <w:r>
        <w:rPr>
          <w:sz w:val="16"/>
          <w:szCs w:val="16"/>
        </w:rPr>
        <w:t>*during the next 12 months</w:t>
      </w:r>
      <w:r>
        <w:rPr>
          <w:sz w:val="16"/>
          <w:szCs w:val="16"/>
        </w:rPr>
        <w:tab/>
      </w:r>
      <w:r w:rsidRPr="00F77716">
        <w:rPr>
          <w:rFonts w:ascii="Verdana" w:eastAsia="Times New Roman" w:hAnsi="Verdana"/>
          <w:sz w:val="16"/>
          <w:szCs w:val="16"/>
        </w:rPr>
        <w:t>†</w:t>
      </w:r>
      <w:r>
        <w:rPr>
          <w:rFonts w:ascii="Verdana" w:eastAsia="Times New Roman" w:hAnsi="Verdana"/>
          <w:sz w:val="16"/>
          <w:szCs w:val="16"/>
        </w:rPr>
        <w:t>during the next 2 years</w:t>
      </w:r>
    </w:p>
    <w:p w14:paraId="11F59A1C" w14:textId="77777777" w:rsidR="00350C5C" w:rsidRDefault="00350C5C" w:rsidP="00E47E67">
      <w:pPr>
        <w:spacing w:after="0" w:line="240" w:lineRule="auto"/>
        <w:contextualSpacing/>
        <w:mirrorIndents/>
        <w:rPr>
          <w:rFonts w:ascii="Verdana" w:hAnsi="Verdana"/>
          <w:sz w:val="20"/>
          <w:szCs w:val="20"/>
        </w:rPr>
      </w:pPr>
    </w:p>
    <w:p w14:paraId="6519AD7A" w14:textId="74ADE238" w:rsidR="00E47E67" w:rsidRPr="00A87AE3" w:rsidRDefault="00E47E67" w:rsidP="00A87AE3">
      <w:pPr>
        <w:spacing w:after="0" w:line="240" w:lineRule="auto"/>
        <w:contextualSpacing/>
        <w:mirrorIndents/>
        <w:jc w:val="center"/>
        <w:rPr>
          <w:rFonts w:ascii="Verdana" w:hAnsi="Verdana"/>
          <w:b/>
          <w:bCs/>
          <w:color w:val="0070C0"/>
          <w:sz w:val="20"/>
          <w:szCs w:val="20"/>
        </w:rPr>
      </w:pPr>
      <w:r w:rsidRPr="00A87AE3">
        <w:rPr>
          <w:rFonts w:ascii="Verdana" w:hAnsi="Verdana"/>
          <w:b/>
          <w:bCs/>
          <w:color w:val="0070C0"/>
          <w:sz w:val="20"/>
          <w:szCs w:val="20"/>
        </w:rPr>
        <w:t>Credit Card Alternatives Gain Acceptance</w:t>
      </w:r>
    </w:p>
    <w:p w14:paraId="286AC9F6" w14:textId="77777777" w:rsidR="00F94CE8" w:rsidRPr="00E47E67" w:rsidRDefault="00F94CE8" w:rsidP="00E47E67">
      <w:pPr>
        <w:pStyle w:val="NoSpacing"/>
        <w:contextualSpacing/>
        <w:mirrorIndents/>
        <w:rPr>
          <w:rFonts w:ascii="Verdana" w:hAnsi="Verdana"/>
          <w:sz w:val="20"/>
          <w:szCs w:val="20"/>
        </w:rPr>
      </w:pPr>
    </w:p>
    <w:p w14:paraId="23D2BAA2" w14:textId="30D9314B" w:rsidR="00F94CE8" w:rsidRPr="00E47E67" w:rsidRDefault="00114389" w:rsidP="00E47E67">
      <w:pPr>
        <w:pStyle w:val="NoSpacing"/>
        <w:contextualSpacing/>
        <w:mirrorIndents/>
        <w:rPr>
          <w:rFonts w:ascii="Verdana" w:hAnsi="Verdana"/>
          <w:sz w:val="20"/>
          <w:szCs w:val="20"/>
        </w:rPr>
      </w:pPr>
      <w:r>
        <w:rPr>
          <w:rFonts w:ascii="Verdana" w:hAnsi="Verdana"/>
          <w:sz w:val="20"/>
          <w:szCs w:val="20"/>
        </w:rPr>
        <w:t xml:space="preserve">McKinsey &amp; Company reports 82% of Americans digitally paid for a purchase during 2021, compared to 78% during 2020. These included purchases from a Web browser or an app, a mobile phone or a QR code for an in-store purchase or a peer-to-peer payment. </w:t>
      </w:r>
    </w:p>
    <w:p w14:paraId="664EB1A4" w14:textId="77777777" w:rsidR="00F94CE8" w:rsidRPr="00E47E67" w:rsidRDefault="00F94CE8" w:rsidP="00E47E67">
      <w:pPr>
        <w:pStyle w:val="NoSpacing"/>
        <w:contextualSpacing/>
        <w:mirrorIndents/>
        <w:rPr>
          <w:rFonts w:ascii="Verdana" w:hAnsi="Verdana"/>
          <w:sz w:val="20"/>
          <w:szCs w:val="20"/>
        </w:rPr>
      </w:pPr>
    </w:p>
    <w:p w14:paraId="7401C3C8" w14:textId="54EFD5E4" w:rsidR="00F94CE8" w:rsidRDefault="00781C25" w:rsidP="00E47E67">
      <w:pPr>
        <w:pStyle w:val="NoSpacing"/>
        <w:contextualSpacing/>
        <w:mirrorIndents/>
        <w:rPr>
          <w:rFonts w:ascii="Verdana" w:hAnsi="Verdana"/>
          <w:sz w:val="20"/>
          <w:szCs w:val="20"/>
        </w:rPr>
      </w:pPr>
      <w:r>
        <w:rPr>
          <w:rFonts w:ascii="Verdana" w:hAnsi="Verdana"/>
          <w:sz w:val="20"/>
          <w:szCs w:val="20"/>
        </w:rPr>
        <w:t xml:space="preserve">The July 2021 survey shows 30% of respondents had used BNPL (buy now, pay later). As more consumers use BNPL, many of </w:t>
      </w:r>
      <w:r w:rsidR="00997063">
        <w:rPr>
          <w:rFonts w:ascii="Verdana" w:hAnsi="Verdana"/>
          <w:sz w:val="20"/>
          <w:szCs w:val="20"/>
        </w:rPr>
        <w:t xml:space="preserve">the </w:t>
      </w:r>
      <w:r>
        <w:rPr>
          <w:rFonts w:ascii="Verdana" w:hAnsi="Verdana"/>
          <w:sz w:val="20"/>
          <w:szCs w:val="20"/>
        </w:rPr>
        <w:t>major BNPL players (Klarna, Affirm, etc.) are yet to generate a profit. They face more governmental scrutiny and substantial investment needs.</w:t>
      </w:r>
    </w:p>
    <w:p w14:paraId="562BFD79" w14:textId="70A7EF5C" w:rsidR="00781C25" w:rsidRDefault="00781C25" w:rsidP="00E47E67">
      <w:pPr>
        <w:pStyle w:val="NoSpacing"/>
        <w:contextualSpacing/>
        <w:mirrorIndents/>
        <w:rPr>
          <w:rFonts w:ascii="Verdana" w:hAnsi="Verdana"/>
          <w:sz w:val="20"/>
          <w:szCs w:val="20"/>
        </w:rPr>
      </w:pPr>
    </w:p>
    <w:p w14:paraId="7596858B" w14:textId="4D854114" w:rsidR="00781C25" w:rsidRPr="00E47E67" w:rsidRDefault="002F7DC6" w:rsidP="00E47E67">
      <w:pPr>
        <w:pStyle w:val="NoSpacing"/>
        <w:contextualSpacing/>
        <w:mirrorIndents/>
        <w:rPr>
          <w:rFonts w:ascii="Verdana" w:hAnsi="Verdana"/>
          <w:sz w:val="20"/>
          <w:szCs w:val="20"/>
        </w:rPr>
      </w:pPr>
      <w:r>
        <w:rPr>
          <w:rFonts w:ascii="Verdana" w:hAnsi="Verdana"/>
          <w:sz w:val="20"/>
          <w:szCs w:val="20"/>
        </w:rPr>
        <w:t xml:space="preserve">Although cryptocurrencies are popular with many people, they are unlikely to become widely accepted alternatives to credit cards because of their </w:t>
      </w:r>
      <w:r w:rsidR="00FD1A45">
        <w:rPr>
          <w:rFonts w:ascii="Verdana" w:hAnsi="Verdana"/>
          <w:sz w:val="20"/>
          <w:szCs w:val="20"/>
        </w:rPr>
        <w:t xml:space="preserve">almost-daily </w:t>
      </w:r>
      <w:r>
        <w:rPr>
          <w:rFonts w:ascii="Verdana" w:hAnsi="Verdana"/>
          <w:sz w:val="20"/>
          <w:szCs w:val="20"/>
        </w:rPr>
        <w:t xml:space="preserve">volatility. </w:t>
      </w:r>
    </w:p>
    <w:p w14:paraId="02C0BC62" w14:textId="77777777" w:rsidR="00F94CE8" w:rsidRPr="00E47E67" w:rsidRDefault="00F94CE8" w:rsidP="00E47E67">
      <w:pPr>
        <w:pStyle w:val="NoSpacing"/>
        <w:contextualSpacing/>
        <w:mirrorIndents/>
        <w:rPr>
          <w:rFonts w:ascii="Verdana" w:hAnsi="Verdana"/>
          <w:sz w:val="20"/>
          <w:szCs w:val="20"/>
        </w:rPr>
      </w:pPr>
    </w:p>
    <w:p w14:paraId="5D211FDB" w14:textId="390F9DAB" w:rsidR="002F7DC6" w:rsidRPr="00443C1D" w:rsidRDefault="002F7DC6" w:rsidP="002F7DC6">
      <w:pPr>
        <w:pStyle w:val="Header"/>
        <w:contextualSpacing/>
        <w:jc w:val="center"/>
        <w:rPr>
          <w:rFonts w:ascii="Verdana" w:hAnsi="Verdana"/>
          <w:b/>
          <w:sz w:val="20"/>
          <w:szCs w:val="20"/>
        </w:rPr>
      </w:pPr>
      <w:r>
        <w:rPr>
          <w:rFonts w:ascii="Verdana" w:hAnsi="Verdana"/>
          <w:b/>
          <w:sz w:val="20"/>
          <w:szCs w:val="20"/>
        </w:rPr>
        <w:t>Percentages of BNPL Users Who Had Problems</w:t>
      </w:r>
      <w:r w:rsidRPr="00443C1D">
        <w:rPr>
          <w:rFonts w:ascii="Verdana" w:hAnsi="Verdana"/>
          <w:b/>
          <w:sz w:val="20"/>
          <w:szCs w:val="20"/>
        </w:rPr>
        <w:t xml:space="preserve">, </w:t>
      </w:r>
      <w:r>
        <w:rPr>
          <w:rFonts w:ascii="Verdana" w:hAnsi="Verdana"/>
          <w:b/>
          <w:sz w:val="20"/>
          <w:szCs w:val="20"/>
        </w:rPr>
        <w:t>March–April 2022</w:t>
      </w:r>
    </w:p>
    <w:tbl>
      <w:tblPr>
        <w:tblW w:w="10620" w:type="dxa"/>
        <w:jc w:val="center"/>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6465"/>
        <w:gridCol w:w="1385"/>
        <w:gridCol w:w="1385"/>
        <w:gridCol w:w="1385"/>
      </w:tblGrid>
      <w:tr w:rsidR="002F7DC6" w:rsidRPr="00443C1D" w14:paraId="234ADA3A" w14:textId="77777777" w:rsidTr="00FD1A45">
        <w:trPr>
          <w:jc w:val="center"/>
        </w:trPr>
        <w:tc>
          <w:tcPr>
            <w:tcW w:w="6465" w:type="dxa"/>
            <w:tcBorders>
              <w:top w:val="single" w:sz="12" w:space="0" w:color="000000"/>
              <w:left w:val="single" w:sz="12" w:space="0" w:color="000000"/>
              <w:bottom w:val="single" w:sz="18" w:space="0" w:color="C0504D" w:themeColor="accent2"/>
              <w:right w:val="single" w:sz="18" w:space="0" w:color="0070C0"/>
            </w:tcBorders>
            <w:vAlign w:val="center"/>
          </w:tcPr>
          <w:p w14:paraId="2D2B1C00" w14:textId="7531B27F" w:rsidR="002F7DC6" w:rsidRPr="00443C1D" w:rsidRDefault="002F7DC6" w:rsidP="00FD1A45">
            <w:pPr>
              <w:widowControl w:val="0"/>
              <w:tabs>
                <w:tab w:val="left" w:pos="220"/>
                <w:tab w:val="left" w:pos="720"/>
              </w:tabs>
              <w:autoSpaceDE w:val="0"/>
              <w:autoSpaceDN w:val="0"/>
              <w:adjustRightInd w:val="0"/>
              <w:spacing w:after="100" w:afterAutospacing="1" w:line="240" w:lineRule="auto"/>
              <w:contextualSpacing/>
              <w:jc w:val="center"/>
              <w:rPr>
                <w:rFonts w:ascii="Verdana" w:eastAsia="Times New Roman" w:hAnsi="Verdana"/>
                <w:sz w:val="20"/>
                <w:szCs w:val="20"/>
              </w:rPr>
            </w:pPr>
            <w:r>
              <w:rPr>
                <w:rFonts w:ascii="Verdana" w:eastAsia="Times New Roman" w:hAnsi="Verdana"/>
                <w:sz w:val="20"/>
                <w:szCs w:val="20"/>
              </w:rPr>
              <w:t>Problem</w:t>
            </w:r>
          </w:p>
        </w:tc>
        <w:tc>
          <w:tcPr>
            <w:tcW w:w="1385" w:type="dxa"/>
            <w:tcBorders>
              <w:top w:val="single" w:sz="12" w:space="0" w:color="000000"/>
              <w:left w:val="single" w:sz="18" w:space="0" w:color="0070C0"/>
              <w:bottom w:val="single" w:sz="18" w:space="0" w:color="C0504D" w:themeColor="accent2"/>
              <w:right w:val="single" w:sz="8" w:space="0" w:color="0070C0"/>
            </w:tcBorders>
            <w:vAlign w:val="center"/>
          </w:tcPr>
          <w:p w14:paraId="69DDFBDF" w14:textId="39AF864C" w:rsidR="002F7DC6" w:rsidRPr="00443C1D" w:rsidRDefault="002F7DC6" w:rsidP="00FD1A45">
            <w:pPr>
              <w:widowControl w:val="0"/>
              <w:tabs>
                <w:tab w:val="left" w:pos="220"/>
                <w:tab w:val="left" w:pos="720"/>
              </w:tabs>
              <w:autoSpaceDE w:val="0"/>
              <w:autoSpaceDN w:val="0"/>
              <w:adjustRightInd w:val="0"/>
              <w:spacing w:after="100" w:afterAutospacing="1" w:line="240" w:lineRule="auto"/>
              <w:contextualSpacing/>
              <w:jc w:val="center"/>
              <w:rPr>
                <w:rFonts w:ascii="Verdana" w:eastAsia="Times New Roman" w:hAnsi="Verdana"/>
                <w:sz w:val="20"/>
                <w:szCs w:val="20"/>
              </w:rPr>
            </w:pPr>
            <w:r>
              <w:rPr>
                <w:rFonts w:ascii="Verdana" w:eastAsia="Times New Roman" w:hAnsi="Verdana"/>
                <w:sz w:val="20"/>
                <w:szCs w:val="20"/>
              </w:rPr>
              <w:t>January</w:t>
            </w:r>
          </w:p>
        </w:tc>
        <w:tc>
          <w:tcPr>
            <w:tcW w:w="1385" w:type="dxa"/>
            <w:tcBorders>
              <w:top w:val="single" w:sz="12" w:space="0" w:color="000000"/>
              <w:left w:val="single" w:sz="8" w:space="0" w:color="0070C0"/>
              <w:bottom w:val="single" w:sz="18" w:space="0" w:color="C0504D" w:themeColor="accent2"/>
              <w:right w:val="single" w:sz="8" w:space="0" w:color="0070C0"/>
            </w:tcBorders>
            <w:vAlign w:val="center"/>
          </w:tcPr>
          <w:p w14:paraId="224ED357" w14:textId="17884E88" w:rsidR="002F7DC6" w:rsidRPr="00443C1D" w:rsidRDefault="002F7DC6" w:rsidP="00FD1A45">
            <w:pPr>
              <w:widowControl w:val="0"/>
              <w:tabs>
                <w:tab w:val="left" w:pos="220"/>
                <w:tab w:val="left" w:pos="720"/>
              </w:tabs>
              <w:autoSpaceDE w:val="0"/>
              <w:autoSpaceDN w:val="0"/>
              <w:adjustRightInd w:val="0"/>
              <w:spacing w:after="100" w:afterAutospacing="1" w:line="240" w:lineRule="auto"/>
              <w:contextualSpacing/>
              <w:jc w:val="center"/>
              <w:rPr>
                <w:rFonts w:ascii="Verdana" w:eastAsia="Times New Roman" w:hAnsi="Verdana"/>
                <w:sz w:val="20"/>
                <w:szCs w:val="20"/>
              </w:rPr>
            </w:pPr>
            <w:r>
              <w:rPr>
                <w:rFonts w:ascii="Verdana" w:eastAsia="Times New Roman" w:hAnsi="Verdana"/>
                <w:sz w:val="20"/>
                <w:szCs w:val="20"/>
              </w:rPr>
              <w:t>February</w:t>
            </w:r>
          </w:p>
        </w:tc>
        <w:tc>
          <w:tcPr>
            <w:tcW w:w="1385" w:type="dxa"/>
            <w:tcBorders>
              <w:top w:val="single" w:sz="12" w:space="0" w:color="000000"/>
              <w:left w:val="single" w:sz="8" w:space="0" w:color="0070C0"/>
              <w:bottom w:val="single" w:sz="18" w:space="0" w:color="C0504D" w:themeColor="accent2"/>
              <w:right w:val="single" w:sz="12" w:space="0" w:color="auto"/>
            </w:tcBorders>
            <w:vAlign w:val="center"/>
          </w:tcPr>
          <w:p w14:paraId="04148BFB" w14:textId="779DE0EA" w:rsidR="002F7DC6" w:rsidRPr="00443C1D" w:rsidRDefault="002F7DC6" w:rsidP="00FD1A45">
            <w:pPr>
              <w:widowControl w:val="0"/>
              <w:tabs>
                <w:tab w:val="left" w:pos="220"/>
                <w:tab w:val="left" w:pos="720"/>
              </w:tabs>
              <w:autoSpaceDE w:val="0"/>
              <w:autoSpaceDN w:val="0"/>
              <w:adjustRightInd w:val="0"/>
              <w:spacing w:after="100" w:afterAutospacing="1" w:line="240" w:lineRule="auto"/>
              <w:contextualSpacing/>
              <w:jc w:val="center"/>
              <w:rPr>
                <w:rFonts w:ascii="Verdana" w:eastAsia="Times New Roman" w:hAnsi="Verdana"/>
                <w:sz w:val="20"/>
                <w:szCs w:val="20"/>
              </w:rPr>
            </w:pPr>
            <w:r>
              <w:rPr>
                <w:rFonts w:ascii="Verdana" w:eastAsia="Times New Roman" w:hAnsi="Verdana"/>
                <w:sz w:val="20"/>
                <w:szCs w:val="20"/>
              </w:rPr>
              <w:t>March</w:t>
            </w:r>
          </w:p>
        </w:tc>
      </w:tr>
      <w:tr w:rsidR="002F7DC6" w:rsidRPr="00443C1D" w14:paraId="522B75B3" w14:textId="77777777" w:rsidTr="00FD1A45">
        <w:tblPrEx>
          <w:tblBorders>
            <w:top w:val="none" w:sz="0" w:space="0" w:color="auto"/>
          </w:tblBorders>
        </w:tblPrEx>
        <w:trPr>
          <w:jc w:val="center"/>
        </w:trPr>
        <w:tc>
          <w:tcPr>
            <w:tcW w:w="6465" w:type="dxa"/>
            <w:tcBorders>
              <w:top w:val="single" w:sz="18" w:space="0" w:color="C0504D" w:themeColor="accent2"/>
              <w:left w:val="single" w:sz="12" w:space="0" w:color="000000"/>
              <w:bottom w:val="single" w:sz="4" w:space="0" w:color="000000"/>
              <w:right w:val="single" w:sz="18" w:space="0" w:color="0070C0"/>
            </w:tcBorders>
            <w:vAlign w:val="center"/>
          </w:tcPr>
          <w:p w14:paraId="09A2A5D6" w14:textId="2B4B65FA" w:rsidR="002F7DC6" w:rsidRPr="00443C1D" w:rsidRDefault="002F7DC6" w:rsidP="00675D1F">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sz w:val="20"/>
                <w:szCs w:val="20"/>
              </w:rPr>
            </w:pPr>
            <w:r>
              <w:rPr>
                <w:rFonts w:ascii="Verdana" w:eastAsia="Times New Roman" w:hAnsi="Verdana"/>
                <w:sz w:val="20"/>
                <w:szCs w:val="20"/>
              </w:rPr>
              <w:t>Received a call from a debt collector about a missed payment</w:t>
            </w:r>
          </w:p>
        </w:tc>
        <w:tc>
          <w:tcPr>
            <w:tcW w:w="1385" w:type="dxa"/>
            <w:tcBorders>
              <w:top w:val="single" w:sz="18" w:space="0" w:color="C0504D" w:themeColor="accent2"/>
              <w:left w:val="single" w:sz="18" w:space="0" w:color="0070C0"/>
              <w:bottom w:val="single" w:sz="4" w:space="0" w:color="000000"/>
              <w:right w:val="single" w:sz="8" w:space="0" w:color="0070C0"/>
            </w:tcBorders>
            <w:shd w:val="clear" w:color="auto" w:fill="auto"/>
            <w:vAlign w:val="center"/>
          </w:tcPr>
          <w:p w14:paraId="3FC0B026" w14:textId="413FF781" w:rsidR="002F7DC6" w:rsidRPr="00443C1D" w:rsidRDefault="002F7DC6" w:rsidP="00FD1A45">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17%</w:t>
            </w:r>
          </w:p>
        </w:tc>
        <w:tc>
          <w:tcPr>
            <w:tcW w:w="1385" w:type="dxa"/>
            <w:tcBorders>
              <w:top w:val="single" w:sz="18" w:space="0" w:color="C0504D" w:themeColor="accent2"/>
              <w:left w:val="single" w:sz="8" w:space="0" w:color="0070C0"/>
              <w:bottom w:val="single" w:sz="4" w:space="0" w:color="000000"/>
              <w:right w:val="single" w:sz="8" w:space="0" w:color="0070C0"/>
            </w:tcBorders>
            <w:shd w:val="clear" w:color="auto" w:fill="F2DBDB" w:themeFill="accent2" w:themeFillTint="33"/>
            <w:vAlign w:val="center"/>
          </w:tcPr>
          <w:p w14:paraId="5441E9E1" w14:textId="04435692" w:rsidR="002F7DC6" w:rsidRPr="00443C1D" w:rsidRDefault="002F7DC6" w:rsidP="00FD1A45">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18%</w:t>
            </w:r>
          </w:p>
        </w:tc>
        <w:tc>
          <w:tcPr>
            <w:tcW w:w="1385" w:type="dxa"/>
            <w:tcBorders>
              <w:top w:val="single" w:sz="18" w:space="0" w:color="C0504D" w:themeColor="accent2"/>
              <w:left w:val="single" w:sz="8" w:space="0" w:color="0070C0"/>
              <w:bottom w:val="single" w:sz="4" w:space="0" w:color="000000"/>
              <w:right w:val="single" w:sz="12" w:space="0" w:color="auto"/>
            </w:tcBorders>
            <w:shd w:val="clear" w:color="auto" w:fill="C2D69B" w:themeFill="accent3" w:themeFillTint="99"/>
            <w:vAlign w:val="center"/>
          </w:tcPr>
          <w:p w14:paraId="5E327E7D" w14:textId="65397A37" w:rsidR="002F7DC6" w:rsidRPr="00443C1D" w:rsidRDefault="002F7DC6" w:rsidP="00FD1A45">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14%</w:t>
            </w:r>
          </w:p>
        </w:tc>
      </w:tr>
      <w:tr w:rsidR="002F7DC6" w:rsidRPr="00443C1D" w14:paraId="41A6064F" w14:textId="77777777" w:rsidTr="00FD1A45">
        <w:tblPrEx>
          <w:tblBorders>
            <w:top w:val="none" w:sz="0" w:space="0" w:color="auto"/>
          </w:tblBorders>
        </w:tblPrEx>
        <w:trPr>
          <w:jc w:val="center"/>
        </w:trPr>
        <w:tc>
          <w:tcPr>
            <w:tcW w:w="6465" w:type="dxa"/>
            <w:tcBorders>
              <w:top w:val="single" w:sz="4" w:space="0" w:color="000000"/>
              <w:left w:val="single" w:sz="12" w:space="0" w:color="000000"/>
              <w:bottom w:val="single" w:sz="4" w:space="0" w:color="000000"/>
              <w:right w:val="single" w:sz="18" w:space="0" w:color="0070C0"/>
            </w:tcBorders>
            <w:vAlign w:val="center"/>
          </w:tcPr>
          <w:p w14:paraId="6104B13A" w14:textId="2D163D75" w:rsidR="002F7DC6" w:rsidRPr="00443C1D" w:rsidRDefault="002F7DC6" w:rsidP="00675D1F">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sz w:val="20"/>
                <w:szCs w:val="20"/>
              </w:rPr>
            </w:pPr>
            <w:r>
              <w:rPr>
                <w:rFonts w:ascii="Verdana" w:eastAsia="Times New Roman" w:hAnsi="Verdana"/>
                <w:sz w:val="20"/>
                <w:szCs w:val="20"/>
              </w:rPr>
              <w:t>Credit score decreased due to missed or late payment</w:t>
            </w:r>
          </w:p>
        </w:tc>
        <w:tc>
          <w:tcPr>
            <w:tcW w:w="1385" w:type="dxa"/>
            <w:tcBorders>
              <w:top w:val="single" w:sz="4" w:space="0" w:color="000000"/>
              <w:left w:val="single" w:sz="18" w:space="0" w:color="0070C0"/>
              <w:bottom w:val="single" w:sz="4" w:space="0" w:color="000000"/>
              <w:right w:val="single" w:sz="8" w:space="0" w:color="0070C0"/>
            </w:tcBorders>
            <w:shd w:val="clear" w:color="auto" w:fill="auto"/>
            <w:vAlign w:val="center"/>
          </w:tcPr>
          <w:p w14:paraId="0C0FE806" w14:textId="7856FCF1" w:rsidR="002F7DC6" w:rsidRPr="00443C1D" w:rsidRDefault="002F7DC6" w:rsidP="00FD1A45">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18%</w:t>
            </w:r>
          </w:p>
        </w:tc>
        <w:tc>
          <w:tcPr>
            <w:tcW w:w="1385" w:type="dxa"/>
            <w:tcBorders>
              <w:top w:val="single" w:sz="4" w:space="0" w:color="000000"/>
              <w:left w:val="single" w:sz="8" w:space="0" w:color="0070C0"/>
              <w:bottom w:val="single" w:sz="4" w:space="0" w:color="000000"/>
              <w:right w:val="single" w:sz="8" w:space="0" w:color="0070C0"/>
            </w:tcBorders>
            <w:shd w:val="clear" w:color="auto" w:fill="E5B8B7" w:themeFill="accent2" w:themeFillTint="66"/>
            <w:vAlign w:val="center"/>
          </w:tcPr>
          <w:p w14:paraId="54DBC849" w14:textId="673C8616" w:rsidR="002F7DC6" w:rsidRPr="00443C1D" w:rsidRDefault="002F7DC6" w:rsidP="00FD1A45">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21%</w:t>
            </w:r>
          </w:p>
        </w:tc>
        <w:tc>
          <w:tcPr>
            <w:tcW w:w="1385" w:type="dxa"/>
            <w:tcBorders>
              <w:top w:val="single" w:sz="4" w:space="0" w:color="000000"/>
              <w:left w:val="single" w:sz="8" w:space="0" w:color="0070C0"/>
              <w:bottom w:val="single" w:sz="4" w:space="0" w:color="000000"/>
              <w:right w:val="single" w:sz="12" w:space="0" w:color="auto"/>
            </w:tcBorders>
            <w:shd w:val="clear" w:color="auto" w:fill="F2DBDB" w:themeFill="accent2" w:themeFillTint="33"/>
            <w:vAlign w:val="center"/>
          </w:tcPr>
          <w:p w14:paraId="5944DB83" w14:textId="072449F0" w:rsidR="002F7DC6" w:rsidRPr="00443C1D" w:rsidRDefault="002F7DC6" w:rsidP="00FD1A45">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22%</w:t>
            </w:r>
          </w:p>
        </w:tc>
      </w:tr>
      <w:tr w:rsidR="002F7DC6" w:rsidRPr="00443C1D" w14:paraId="6F46CF35" w14:textId="77777777" w:rsidTr="00FD1A45">
        <w:tblPrEx>
          <w:tblBorders>
            <w:top w:val="none" w:sz="0" w:space="0" w:color="auto"/>
          </w:tblBorders>
        </w:tblPrEx>
        <w:trPr>
          <w:jc w:val="center"/>
        </w:trPr>
        <w:tc>
          <w:tcPr>
            <w:tcW w:w="6465" w:type="dxa"/>
            <w:tcBorders>
              <w:top w:val="single" w:sz="4" w:space="0" w:color="000000"/>
              <w:left w:val="single" w:sz="12" w:space="0" w:color="000000"/>
              <w:bottom w:val="single" w:sz="4" w:space="0" w:color="000000"/>
              <w:right w:val="single" w:sz="18" w:space="0" w:color="0070C0"/>
            </w:tcBorders>
            <w:vAlign w:val="center"/>
          </w:tcPr>
          <w:p w14:paraId="194CD6C0" w14:textId="255FB324" w:rsidR="002F7DC6" w:rsidRPr="00443C1D" w:rsidRDefault="002F7DC6" w:rsidP="00675D1F">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sz w:val="20"/>
                <w:szCs w:val="20"/>
              </w:rPr>
            </w:pPr>
            <w:r>
              <w:rPr>
                <w:rFonts w:ascii="Verdana" w:eastAsia="Times New Roman" w:hAnsi="Verdana"/>
                <w:sz w:val="20"/>
                <w:szCs w:val="20"/>
              </w:rPr>
              <w:t>Paid a late fee for a missed payment</w:t>
            </w:r>
          </w:p>
        </w:tc>
        <w:tc>
          <w:tcPr>
            <w:tcW w:w="1385" w:type="dxa"/>
            <w:tcBorders>
              <w:top w:val="single" w:sz="4" w:space="0" w:color="000000"/>
              <w:left w:val="single" w:sz="18" w:space="0" w:color="0070C0"/>
              <w:bottom w:val="single" w:sz="4" w:space="0" w:color="000000"/>
              <w:right w:val="single" w:sz="8" w:space="0" w:color="0070C0"/>
            </w:tcBorders>
            <w:shd w:val="clear" w:color="auto" w:fill="auto"/>
            <w:vAlign w:val="center"/>
          </w:tcPr>
          <w:p w14:paraId="33D73341" w14:textId="512508B1" w:rsidR="002F7DC6" w:rsidRPr="00443C1D" w:rsidRDefault="002F7DC6" w:rsidP="00FD1A45">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21%</w:t>
            </w:r>
          </w:p>
        </w:tc>
        <w:tc>
          <w:tcPr>
            <w:tcW w:w="1385" w:type="dxa"/>
            <w:tcBorders>
              <w:top w:val="single" w:sz="4" w:space="0" w:color="000000"/>
              <w:left w:val="single" w:sz="8" w:space="0" w:color="0070C0"/>
              <w:bottom w:val="single" w:sz="4" w:space="0" w:color="000000"/>
              <w:right w:val="single" w:sz="8" w:space="0" w:color="0070C0"/>
            </w:tcBorders>
            <w:shd w:val="clear" w:color="auto" w:fill="F2F2F2" w:themeFill="background1" w:themeFillShade="F2"/>
            <w:vAlign w:val="center"/>
          </w:tcPr>
          <w:p w14:paraId="19799C7D" w14:textId="110AACAA" w:rsidR="002F7DC6" w:rsidRPr="00443C1D" w:rsidRDefault="002F7DC6" w:rsidP="00FD1A45">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21%</w:t>
            </w:r>
          </w:p>
        </w:tc>
        <w:tc>
          <w:tcPr>
            <w:tcW w:w="1385" w:type="dxa"/>
            <w:tcBorders>
              <w:top w:val="single" w:sz="4" w:space="0" w:color="000000"/>
              <w:left w:val="single" w:sz="8" w:space="0" w:color="0070C0"/>
              <w:bottom w:val="single" w:sz="4" w:space="0" w:color="000000"/>
              <w:right w:val="single" w:sz="12" w:space="0" w:color="auto"/>
            </w:tcBorders>
            <w:shd w:val="clear" w:color="auto" w:fill="EAF1DD" w:themeFill="accent3" w:themeFillTint="33"/>
            <w:vAlign w:val="center"/>
          </w:tcPr>
          <w:p w14:paraId="61D62498" w14:textId="6CDBEA99" w:rsidR="002F7DC6" w:rsidRPr="00443C1D" w:rsidRDefault="002F7DC6" w:rsidP="00FD1A45">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19%</w:t>
            </w:r>
          </w:p>
        </w:tc>
      </w:tr>
      <w:tr w:rsidR="002F7DC6" w:rsidRPr="00443C1D" w14:paraId="74D32E9C" w14:textId="77777777" w:rsidTr="00FD1A45">
        <w:tblPrEx>
          <w:tblBorders>
            <w:top w:val="none" w:sz="0" w:space="0" w:color="auto"/>
          </w:tblBorders>
        </w:tblPrEx>
        <w:trPr>
          <w:jc w:val="center"/>
        </w:trPr>
        <w:tc>
          <w:tcPr>
            <w:tcW w:w="6465" w:type="dxa"/>
            <w:tcBorders>
              <w:top w:val="single" w:sz="4" w:space="0" w:color="000000"/>
              <w:left w:val="single" w:sz="12" w:space="0" w:color="000000"/>
              <w:bottom w:val="single" w:sz="12" w:space="0" w:color="000000"/>
              <w:right w:val="single" w:sz="18" w:space="0" w:color="0070C0"/>
            </w:tcBorders>
            <w:vAlign w:val="center"/>
          </w:tcPr>
          <w:p w14:paraId="0A8804FD" w14:textId="390231AA" w:rsidR="002F7DC6" w:rsidRPr="00443C1D" w:rsidRDefault="002F7DC6" w:rsidP="00675D1F">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sz w:val="20"/>
                <w:szCs w:val="20"/>
              </w:rPr>
            </w:pPr>
            <w:r>
              <w:rPr>
                <w:rFonts w:ascii="Verdana" w:eastAsia="Times New Roman" w:hAnsi="Verdana"/>
                <w:sz w:val="20"/>
                <w:szCs w:val="20"/>
              </w:rPr>
              <w:t>Missed a payment</w:t>
            </w:r>
          </w:p>
        </w:tc>
        <w:tc>
          <w:tcPr>
            <w:tcW w:w="1385" w:type="dxa"/>
            <w:tcBorders>
              <w:top w:val="single" w:sz="4" w:space="0" w:color="000000"/>
              <w:left w:val="single" w:sz="18" w:space="0" w:color="0070C0"/>
              <w:bottom w:val="single" w:sz="12" w:space="0" w:color="000000"/>
              <w:right w:val="single" w:sz="8" w:space="0" w:color="0070C0"/>
            </w:tcBorders>
            <w:shd w:val="clear" w:color="auto" w:fill="auto"/>
            <w:vAlign w:val="center"/>
          </w:tcPr>
          <w:p w14:paraId="1F342492" w14:textId="015051E1" w:rsidR="002F7DC6" w:rsidRPr="00443C1D" w:rsidRDefault="002F7DC6" w:rsidP="00FD1A45">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20%</w:t>
            </w:r>
          </w:p>
        </w:tc>
        <w:tc>
          <w:tcPr>
            <w:tcW w:w="1385" w:type="dxa"/>
            <w:tcBorders>
              <w:top w:val="single" w:sz="4" w:space="0" w:color="000000"/>
              <w:left w:val="single" w:sz="8" w:space="0" w:color="0070C0"/>
              <w:bottom w:val="single" w:sz="12" w:space="0" w:color="000000"/>
              <w:right w:val="single" w:sz="8" w:space="0" w:color="0070C0"/>
            </w:tcBorders>
            <w:shd w:val="clear" w:color="auto" w:fill="EAF1DD" w:themeFill="accent3" w:themeFillTint="33"/>
            <w:vAlign w:val="center"/>
          </w:tcPr>
          <w:p w14:paraId="4E10B711" w14:textId="417DB8E3" w:rsidR="002F7DC6" w:rsidRPr="00007472" w:rsidRDefault="002F7DC6" w:rsidP="00FD1A45">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19%</w:t>
            </w:r>
          </w:p>
        </w:tc>
        <w:tc>
          <w:tcPr>
            <w:tcW w:w="1385" w:type="dxa"/>
            <w:tcBorders>
              <w:top w:val="single" w:sz="4" w:space="0" w:color="000000"/>
              <w:left w:val="single" w:sz="8" w:space="0" w:color="0070C0"/>
              <w:bottom w:val="single" w:sz="12" w:space="0" w:color="000000"/>
              <w:right w:val="single" w:sz="12" w:space="0" w:color="auto"/>
            </w:tcBorders>
            <w:shd w:val="clear" w:color="auto" w:fill="C2D69B" w:themeFill="accent3" w:themeFillTint="99"/>
            <w:vAlign w:val="center"/>
          </w:tcPr>
          <w:p w14:paraId="2E6BB388" w14:textId="0EB865F6" w:rsidR="002F7DC6" w:rsidRPr="00007472" w:rsidRDefault="002F7DC6" w:rsidP="00FD1A45">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15%</w:t>
            </w:r>
          </w:p>
        </w:tc>
      </w:tr>
    </w:tbl>
    <w:p w14:paraId="311FDB54" w14:textId="6B1FF38C" w:rsidR="002F7DC6" w:rsidRDefault="002F7DC6" w:rsidP="002F7DC6">
      <w:pPr>
        <w:spacing w:after="0" w:line="240" w:lineRule="auto"/>
        <w:ind w:hanging="630"/>
        <w:contextualSpacing/>
        <w:mirrorIndents/>
        <w:rPr>
          <w:rFonts w:ascii="Verdana" w:hAnsi="Verdana"/>
          <w:sz w:val="16"/>
          <w:szCs w:val="16"/>
        </w:rPr>
      </w:pPr>
      <w:r>
        <w:rPr>
          <w:rFonts w:ascii="Verdana" w:hAnsi="Verdana"/>
          <w:iCs/>
          <w:sz w:val="16"/>
          <w:szCs w:val="16"/>
        </w:rPr>
        <w:t>Morning Consult, April 2022</w:t>
      </w:r>
      <w:r>
        <w:rPr>
          <w:rFonts w:ascii="Verdana" w:hAnsi="Verdana"/>
          <w:iCs/>
          <w:sz w:val="16"/>
          <w:szCs w:val="16"/>
        </w:rPr>
        <w:tab/>
      </w:r>
      <w:r>
        <w:rPr>
          <w:rFonts w:ascii="Verdana" w:hAnsi="Verdana"/>
          <w:iCs/>
          <w:sz w:val="16"/>
          <w:szCs w:val="16"/>
        </w:rPr>
        <w:tab/>
      </w:r>
      <w:r>
        <w:rPr>
          <w:rFonts w:ascii="Verdana" w:hAnsi="Verdana"/>
          <w:sz w:val="16"/>
          <w:szCs w:val="16"/>
        </w:rPr>
        <w:t>(color represents change from the previous month)</w:t>
      </w:r>
    </w:p>
    <w:p w14:paraId="64B01E71" w14:textId="2E2DEDBF" w:rsidR="002F7DC6" w:rsidRDefault="002F7DC6" w:rsidP="002F7DC6">
      <w:pPr>
        <w:spacing w:after="0" w:line="240" w:lineRule="auto"/>
        <w:ind w:hanging="630"/>
        <w:contextualSpacing/>
        <w:mirrorIndents/>
        <w:rPr>
          <w:rFonts w:ascii="Verdana" w:hAnsi="Verdana"/>
          <w:sz w:val="16"/>
          <w:szCs w:val="16"/>
        </w:rPr>
      </w:pPr>
    </w:p>
    <w:p w14:paraId="37079E4B" w14:textId="77777777" w:rsidR="00F94CE8" w:rsidRPr="00E47E67" w:rsidRDefault="00F94CE8" w:rsidP="002F7DC6">
      <w:pPr>
        <w:pStyle w:val="NoSpacing"/>
        <w:contextualSpacing/>
        <w:mirrorIndents/>
        <w:rPr>
          <w:rFonts w:ascii="Verdana" w:hAnsi="Verdana"/>
          <w:sz w:val="20"/>
          <w:szCs w:val="20"/>
        </w:rPr>
      </w:pPr>
    </w:p>
    <w:p w14:paraId="3A5080E9" w14:textId="77777777" w:rsidR="00F94CE8" w:rsidRPr="00E47E67" w:rsidRDefault="00F94CE8" w:rsidP="002F7DC6">
      <w:pPr>
        <w:pStyle w:val="NoSpacing"/>
        <w:contextualSpacing/>
        <w:mirrorIndents/>
        <w:rPr>
          <w:rFonts w:ascii="Verdana" w:hAnsi="Verdana"/>
          <w:sz w:val="20"/>
          <w:szCs w:val="20"/>
        </w:rPr>
      </w:pPr>
    </w:p>
    <w:p w14:paraId="05B35E5D" w14:textId="3AFAA724" w:rsidR="00F94CE8" w:rsidRPr="00B75062" w:rsidRDefault="00FB418C" w:rsidP="00F94CE8">
      <w:pPr>
        <w:pStyle w:val="NoSpacing"/>
        <w:contextualSpacing/>
        <w:jc w:val="center"/>
        <w:rPr>
          <w:b/>
          <w:color w:val="0070C0"/>
          <w:sz w:val="20"/>
          <w:szCs w:val="20"/>
        </w:rPr>
      </w:pPr>
      <w:r>
        <w:rPr>
          <w:b/>
          <w:color w:val="0070C0"/>
          <w:sz w:val="20"/>
          <w:szCs w:val="20"/>
        </w:rPr>
        <w:lastRenderedPageBreak/>
        <w:t>More Valuable Insights</w:t>
      </w:r>
    </w:p>
    <w:p w14:paraId="4D37D21A" w14:textId="77777777" w:rsidR="00F94CE8" w:rsidRPr="00C66D00" w:rsidRDefault="00F94CE8" w:rsidP="00F94CE8">
      <w:pPr>
        <w:pStyle w:val="NoSpacing"/>
        <w:contextualSpacing/>
        <w:rPr>
          <w:sz w:val="20"/>
          <w:szCs w:val="20"/>
        </w:rPr>
      </w:pPr>
    </w:p>
    <w:p w14:paraId="718411C0" w14:textId="1E6CC8B1" w:rsidR="00F94CE8" w:rsidRDefault="00A9357C" w:rsidP="00F94CE8">
      <w:pPr>
        <w:pStyle w:val="NoSpacing"/>
        <w:contextualSpacing/>
        <w:rPr>
          <w:sz w:val="20"/>
          <w:szCs w:val="20"/>
        </w:rPr>
      </w:pPr>
      <w:r>
        <w:rPr>
          <w:sz w:val="20"/>
          <w:szCs w:val="20"/>
        </w:rPr>
        <w:t xml:space="preserve">The US Federal Reserve Bank of New York’s latest Survey of Consumer Expectations (April 2022) provides critical insights about consumers’ perspectives on </w:t>
      </w:r>
      <w:r w:rsidR="00FD1A45">
        <w:rPr>
          <w:sz w:val="20"/>
          <w:szCs w:val="20"/>
        </w:rPr>
        <w:t>their household</w:t>
      </w:r>
      <w:r>
        <w:rPr>
          <w:sz w:val="20"/>
          <w:szCs w:val="20"/>
        </w:rPr>
        <w:t xml:space="preserve"> financ</w:t>
      </w:r>
      <w:r w:rsidR="00FD1A45">
        <w:rPr>
          <w:sz w:val="20"/>
          <w:szCs w:val="20"/>
        </w:rPr>
        <w:t>es</w:t>
      </w:r>
      <w:r>
        <w:rPr>
          <w:sz w:val="20"/>
          <w:szCs w:val="20"/>
        </w:rPr>
        <w:t>.</w:t>
      </w:r>
    </w:p>
    <w:p w14:paraId="6E51D29A" w14:textId="77777777" w:rsidR="00A9357C" w:rsidRDefault="00A9357C" w:rsidP="00F94CE8">
      <w:pPr>
        <w:pStyle w:val="NoSpacing"/>
        <w:contextualSpacing/>
        <w:rPr>
          <w:sz w:val="20"/>
          <w:szCs w:val="20"/>
        </w:rPr>
      </w:pPr>
    </w:p>
    <w:p w14:paraId="7954AAFB" w14:textId="77777777" w:rsidR="00A9357C" w:rsidRDefault="00A9357C" w:rsidP="00A9357C">
      <w:pPr>
        <w:pStyle w:val="Header"/>
        <w:contextualSpacing/>
        <w:mirrorIndents/>
        <w:jc w:val="center"/>
        <w:rPr>
          <w:rFonts w:ascii="Verdana" w:hAnsi="Verdana"/>
          <w:b/>
          <w:sz w:val="20"/>
          <w:szCs w:val="20"/>
        </w:rPr>
      </w:pPr>
      <w:r>
        <w:rPr>
          <w:rFonts w:ascii="Verdana" w:hAnsi="Verdana"/>
          <w:b/>
          <w:sz w:val="20"/>
          <w:szCs w:val="20"/>
        </w:rPr>
        <w:t xml:space="preserve">Comparison of Consumers’ Expectation of Household Financial </w:t>
      </w:r>
    </w:p>
    <w:p w14:paraId="5D29FF46" w14:textId="2F32F77F" w:rsidR="00A9357C" w:rsidRPr="00443C1D" w:rsidRDefault="00A9357C" w:rsidP="00A9357C">
      <w:pPr>
        <w:pStyle w:val="Header"/>
        <w:contextualSpacing/>
        <w:mirrorIndents/>
        <w:jc w:val="center"/>
        <w:rPr>
          <w:rFonts w:ascii="Verdana" w:hAnsi="Verdana"/>
          <w:b/>
          <w:sz w:val="20"/>
          <w:szCs w:val="20"/>
        </w:rPr>
      </w:pPr>
      <w:r>
        <w:rPr>
          <w:rFonts w:ascii="Verdana" w:hAnsi="Verdana"/>
          <w:b/>
          <w:sz w:val="20"/>
          <w:szCs w:val="20"/>
        </w:rPr>
        <w:t>Situation One Year Ago and One Year Ahead</w:t>
      </w:r>
      <w:r w:rsidRPr="00443C1D">
        <w:rPr>
          <w:rFonts w:ascii="Verdana" w:hAnsi="Verdana"/>
          <w:b/>
          <w:sz w:val="20"/>
          <w:szCs w:val="20"/>
        </w:rPr>
        <w:t xml:space="preserve">, </w:t>
      </w:r>
      <w:r>
        <w:rPr>
          <w:rFonts w:ascii="Verdana" w:hAnsi="Verdana"/>
          <w:b/>
          <w:sz w:val="20"/>
          <w:szCs w:val="20"/>
        </w:rPr>
        <w:t>April 2022</w:t>
      </w:r>
    </w:p>
    <w:tbl>
      <w:tblPr>
        <w:tblW w:w="4885" w:type="dxa"/>
        <w:jc w:val="center"/>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2115"/>
        <w:gridCol w:w="1385"/>
        <w:gridCol w:w="1385"/>
      </w:tblGrid>
      <w:tr w:rsidR="00A9357C" w:rsidRPr="00443C1D" w14:paraId="6AFF8151" w14:textId="77777777" w:rsidTr="00FD1A45">
        <w:trPr>
          <w:jc w:val="center"/>
        </w:trPr>
        <w:tc>
          <w:tcPr>
            <w:tcW w:w="2115" w:type="dxa"/>
            <w:tcBorders>
              <w:top w:val="single" w:sz="12" w:space="0" w:color="000000"/>
              <w:left w:val="single" w:sz="12" w:space="0" w:color="000000"/>
              <w:bottom w:val="single" w:sz="18" w:space="0" w:color="C0504D" w:themeColor="accent2"/>
              <w:right w:val="single" w:sz="18" w:space="0" w:color="0070C0"/>
            </w:tcBorders>
            <w:vAlign w:val="center"/>
          </w:tcPr>
          <w:p w14:paraId="0016C725" w14:textId="77777777" w:rsidR="00A9357C" w:rsidRPr="00443C1D" w:rsidRDefault="00A9357C" w:rsidP="00FD1A45">
            <w:pPr>
              <w:widowControl w:val="0"/>
              <w:tabs>
                <w:tab w:val="left" w:pos="220"/>
                <w:tab w:val="left" w:pos="720"/>
              </w:tabs>
              <w:autoSpaceDE w:val="0"/>
              <w:autoSpaceDN w:val="0"/>
              <w:adjustRightInd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Expectation</w:t>
            </w:r>
          </w:p>
        </w:tc>
        <w:tc>
          <w:tcPr>
            <w:tcW w:w="1385" w:type="dxa"/>
            <w:tcBorders>
              <w:top w:val="single" w:sz="12" w:space="0" w:color="000000"/>
              <w:left w:val="single" w:sz="18" w:space="0" w:color="0070C0"/>
              <w:bottom w:val="single" w:sz="18" w:space="0" w:color="C0504D" w:themeColor="accent2"/>
              <w:right w:val="single" w:sz="8" w:space="0" w:color="0070C0"/>
            </w:tcBorders>
            <w:vAlign w:val="center"/>
          </w:tcPr>
          <w:p w14:paraId="04E282E1" w14:textId="77777777" w:rsidR="00A9357C" w:rsidRPr="00443C1D" w:rsidRDefault="00A9357C" w:rsidP="00FD1A45">
            <w:pPr>
              <w:widowControl w:val="0"/>
              <w:tabs>
                <w:tab w:val="left" w:pos="220"/>
                <w:tab w:val="left" w:pos="720"/>
              </w:tabs>
              <w:autoSpaceDE w:val="0"/>
              <w:autoSpaceDN w:val="0"/>
              <w:adjustRightInd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One Year Ago</w:t>
            </w:r>
          </w:p>
        </w:tc>
        <w:tc>
          <w:tcPr>
            <w:tcW w:w="1385" w:type="dxa"/>
            <w:tcBorders>
              <w:top w:val="single" w:sz="12" w:space="0" w:color="000000"/>
              <w:left w:val="single" w:sz="8" w:space="0" w:color="0070C0"/>
              <w:bottom w:val="single" w:sz="18" w:space="0" w:color="C0504D" w:themeColor="accent2"/>
              <w:right w:val="single" w:sz="12" w:space="0" w:color="auto"/>
            </w:tcBorders>
            <w:vAlign w:val="center"/>
          </w:tcPr>
          <w:p w14:paraId="00C39A35" w14:textId="77777777" w:rsidR="00A9357C" w:rsidRPr="00443C1D" w:rsidRDefault="00A9357C" w:rsidP="00FD1A45">
            <w:pPr>
              <w:widowControl w:val="0"/>
              <w:tabs>
                <w:tab w:val="left" w:pos="220"/>
                <w:tab w:val="left" w:pos="720"/>
              </w:tabs>
              <w:autoSpaceDE w:val="0"/>
              <w:autoSpaceDN w:val="0"/>
              <w:adjustRightInd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One Year Ahead</w:t>
            </w:r>
          </w:p>
        </w:tc>
      </w:tr>
      <w:tr w:rsidR="00A9357C" w:rsidRPr="00443C1D" w14:paraId="22454D5E" w14:textId="77777777" w:rsidTr="00A9357C">
        <w:tblPrEx>
          <w:tblBorders>
            <w:top w:val="none" w:sz="0" w:space="0" w:color="auto"/>
          </w:tblBorders>
        </w:tblPrEx>
        <w:trPr>
          <w:jc w:val="center"/>
        </w:trPr>
        <w:tc>
          <w:tcPr>
            <w:tcW w:w="2115" w:type="dxa"/>
            <w:tcBorders>
              <w:top w:val="single" w:sz="18" w:space="0" w:color="C0504D" w:themeColor="accent2"/>
              <w:left w:val="single" w:sz="12" w:space="0" w:color="000000"/>
              <w:bottom w:val="single" w:sz="4" w:space="0" w:color="000000"/>
              <w:right w:val="single" w:sz="18" w:space="0" w:color="0070C0"/>
            </w:tcBorders>
            <w:vAlign w:val="center"/>
          </w:tcPr>
          <w:p w14:paraId="6710F28F" w14:textId="2D45A142" w:rsidR="00A9357C" w:rsidRPr="00443C1D" w:rsidRDefault="00A9357C" w:rsidP="00A9357C">
            <w:pPr>
              <w:widowControl w:val="0"/>
              <w:tabs>
                <w:tab w:val="left" w:pos="220"/>
                <w:tab w:val="left" w:pos="720"/>
              </w:tabs>
              <w:autoSpaceDE w:val="0"/>
              <w:autoSpaceDN w:val="0"/>
              <w:adjustRightInd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Much worse</w:t>
            </w:r>
          </w:p>
        </w:tc>
        <w:tc>
          <w:tcPr>
            <w:tcW w:w="1385" w:type="dxa"/>
            <w:tcBorders>
              <w:top w:val="single" w:sz="18" w:space="0" w:color="C0504D" w:themeColor="accent2"/>
              <w:left w:val="single" w:sz="18" w:space="0" w:color="0070C0"/>
              <w:bottom w:val="single" w:sz="4" w:space="0" w:color="000000"/>
              <w:right w:val="single" w:sz="8" w:space="0" w:color="0070C0"/>
            </w:tcBorders>
            <w:shd w:val="clear" w:color="auto" w:fill="auto"/>
            <w:vAlign w:val="center"/>
          </w:tcPr>
          <w:p w14:paraId="10364DF7" w14:textId="7866A797" w:rsidR="00A9357C" w:rsidRPr="00443C1D" w:rsidRDefault="00A9357C" w:rsidP="00A9357C">
            <w:pPr>
              <w:widowControl w:val="0"/>
              <w:numPr>
                <w:ilvl w:val="0"/>
                <w:numId w:val="1"/>
              </w:numPr>
              <w:tabs>
                <w:tab w:val="left" w:pos="220"/>
                <w:tab w:val="left" w:pos="720"/>
              </w:tabs>
              <w:autoSpaceDE w:val="0"/>
              <w:autoSpaceDN w:val="0"/>
              <w:adjustRightInd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9.23%</w:t>
            </w:r>
          </w:p>
        </w:tc>
        <w:tc>
          <w:tcPr>
            <w:tcW w:w="1385" w:type="dxa"/>
            <w:tcBorders>
              <w:top w:val="single" w:sz="18" w:space="0" w:color="C0504D" w:themeColor="accent2"/>
              <w:left w:val="single" w:sz="8" w:space="0" w:color="0070C0"/>
              <w:bottom w:val="single" w:sz="4" w:space="0" w:color="000000"/>
              <w:right w:val="single" w:sz="12" w:space="0" w:color="auto"/>
            </w:tcBorders>
            <w:shd w:val="clear" w:color="auto" w:fill="C2D69B" w:themeFill="accent3" w:themeFillTint="99"/>
            <w:vAlign w:val="center"/>
          </w:tcPr>
          <w:p w14:paraId="0E59B36E" w14:textId="37047779" w:rsidR="00A9357C" w:rsidRPr="00443C1D" w:rsidRDefault="00A9357C" w:rsidP="00A9357C">
            <w:pPr>
              <w:widowControl w:val="0"/>
              <w:numPr>
                <w:ilvl w:val="0"/>
                <w:numId w:val="1"/>
              </w:numPr>
              <w:tabs>
                <w:tab w:val="left" w:pos="220"/>
                <w:tab w:val="left" w:pos="720"/>
              </w:tabs>
              <w:autoSpaceDE w:val="0"/>
              <w:autoSpaceDN w:val="0"/>
              <w:adjustRightInd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6.64%</w:t>
            </w:r>
          </w:p>
        </w:tc>
      </w:tr>
      <w:tr w:rsidR="00A9357C" w:rsidRPr="00443C1D" w14:paraId="65FE3F32" w14:textId="77777777" w:rsidTr="00A9357C">
        <w:tblPrEx>
          <w:tblBorders>
            <w:top w:val="none" w:sz="0" w:space="0" w:color="auto"/>
          </w:tblBorders>
        </w:tblPrEx>
        <w:trPr>
          <w:jc w:val="center"/>
        </w:trPr>
        <w:tc>
          <w:tcPr>
            <w:tcW w:w="2115" w:type="dxa"/>
            <w:tcBorders>
              <w:top w:val="single" w:sz="4" w:space="0" w:color="000000"/>
              <w:left w:val="single" w:sz="12" w:space="0" w:color="000000"/>
              <w:bottom w:val="single" w:sz="4" w:space="0" w:color="000000"/>
              <w:right w:val="single" w:sz="18" w:space="0" w:color="0070C0"/>
            </w:tcBorders>
            <w:vAlign w:val="center"/>
          </w:tcPr>
          <w:p w14:paraId="57B5D0C9" w14:textId="21D557D2" w:rsidR="00A9357C" w:rsidRPr="00443C1D" w:rsidRDefault="00A9357C" w:rsidP="00A9357C">
            <w:pPr>
              <w:widowControl w:val="0"/>
              <w:tabs>
                <w:tab w:val="left" w:pos="220"/>
                <w:tab w:val="left" w:pos="720"/>
              </w:tabs>
              <w:autoSpaceDE w:val="0"/>
              <w:autoSpaceDN w:val="0"/>
              <w:adjustRightInd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Somewhat worse</w:t>
            </w:r>
          </w:p>
        </w:tc>
        <w:tc>
          <w:tcPr>
            <w:tcW w:w="1385" w:type="dxa"/>
            <w:tcBorders>
              <w:top w:val="single" w:sz="4" w:space="0" w:color="000000"/>
              <w:left w:val="single" w:sz="18" w:space="0" w:color="0070C0"/>
              <w:bottom w:val="single" w:sz="4" w:space="0" w:color="000000"/>
              <w:right w:val="single" w:sz="8" w:space="0" w:color="0070C0"/>
            </w:tcBorders>
            <w:shd w:val="clear" w:color="auto" w:fill="auto"/>
            <w:vAlign w:val="center"/>
          </w:tcPr>
          <w:p w14:paraId="75178D5A" w14:textId="3681B7A4" w:rsidR="00A9357C" w:rsidRPr="00443C1D" w:rsidRDefault="00A9357C" w:rsidP="00A9357C">
            <w:pPr>
              <w:widowControl w:val="0"/>
              <w:numPr>
                <w:ilvl w:val="0"/>
                <w:numId w:val="1"/>
              </w:numPr>
              <w:tabs>
                <w:tab w:val="left" w:pos="220"/>
                <w:tab w:val="left" w:pos="720"/>
              </w:tabs>
              <w:autoSpaceDE w:val="0"/>
              <w:autoSpaceDN w:val="0"/>
              <w:adjustRightInd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30.27%</w:t>
            </w:r>
          </w:p>
        </w:tc>
        <w:tc>
          <w:tcPr>
            <w:tcW w:w="1385" w:type="dxa"/>
            <w:tcBorders>
              <w:top w:val="single" w:sz="4" w:space="0" w:color="000000"/>
              <w:left w:val="single" w:sz="8" w:space="0" w:color="0070C0"/>
              <w:bottom w:val="single" w:sz="4" w:space="0" w:color="000000"/>
              <w:right w:val="single" w:sz="12" w:space="0" w:color="auto"/>
            </w:tcBorders>
            <w:shd w:val="clear" w:color="auto" w:fill="C2D69B" w:themeFill="accent3" w:themeFillTint="99"/>
            <w:vAlign w:val="center"/>
          </w:tcPr>
          <w:p w14:paraId="2396A9D6" w14:textId="77714ED3" w:rsidR="00A9357C" w:rsidRPr="00443C1D" w:rsidRDefault="00A9357C" w:rsidP="00A9357C">
            <w:pPr>
              <w:widowControl w:val="0"/>
              <w:numPr>
                <w:ilvl w:val="0"/>
                <w:numId w:val="1"/>
              </w:numPr>
              <w:tabs>
                <w:tab w:val="left" w:pos="220"/>
                <w:tab w:val="left" w:pos="720"/>
              </w:tabs>
              <w:autoSpaceDE w:val="0"/>
              <w:autoSpaceDN w:val="0"/>
              <w:adjustRightInd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25.23%</w:t>
            </w:r>
          </w:p>
        </w:tc>
      </w:tr>
      <w:tr w:rsidR="00A9357C" w:rsidRPr="00443C1D" w14:paraId="0ABCDDBD" w14:textId="77777777" w:rsidTr="00A9357C">
        <w:tblPrEx>
          <w:tblBorders>
            <w:top w:val="none" w:sz="0" w:space="0" w:color="auto"/>
          </w:tblBorders>
        </w:tblPrEx>
        <w:trPr>
          <w:jc w:val="center"/>
        </w:trPr>
        <w:tc>
          <w:tcPr>
            <w:tcW w:w="2115" w:type="dxa"/>
            <w:tcBorders>
              <w:top w:val="single" w:sz="4" w:space="0" w:color="000000"/>
              <w:left w:val="single" w:sz="12" w:space="0" w:color="000000"/>
              <w:bottom w:val="single" w:sz="4" w:space="0" w:color="000000"/>
              <w:right w:val="single" w:sz="18" w:space="0" w:color="0070C0"/>
            </w:tcBorders>
            <w:vAlign w:val="center"/>
          </w:tcPr>
          <w:p w14:paraId="65CB53CD" w14:textId="4EE530E3" w:rsidR="00A9357C" w:rsidRPr="00443C1D" w:rsidRDefault="00A9357C" w:rsidP="00A9357C">
            <w:pPr>
              <w:widowControl w:val="0"/>
              <w:tabs>
                <w:tab w:val="left" w:pos="220"/>
                <w:tab w:val="left" w:pos="720"/>
              </w:tabs>
              <w:autoSpaceDE w:val="0"/>
              <w:autoSpaceDN w:val="0"/>
              <w:adjustRightInd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Same</w:t>
            </w:r>
          </w:p>
        </w:tc>
        <w:tc>
          <w:tcPr>
            <w:tcW w:w="1385" w:type="dxa"/>
            <w:tcBorders>
              <w:top w:val="single" w:sz="4" w:space="0" w:color="000000"/>
              <w:left w:val="single" w:sz="18" w:space="0" w:color="0070C0"/>
              <w:bottom w:val="single" w:sz="4" w:space="0" w:color="000000"/>
              <w:right w:val="single" w:sz="8" w:space="0" w:color="0070C0"/>
            </w:tcBorders>
            <w:shd w:val="clear" w:color="auto" w:fill="auto"/>
            <w:vAlign w:val="center"/>
          </w:tcPr>
          <w:p w14:paraId="445ADC3A" w14:textId="2ED71326" w:rsidR="00A9357C" w:rsidRPr="00443C1D" w:rsidRDefault="00A9357C" w:rsidP="00A9357C">
            <w:pPr>
              <w:widowControl w:val="0"/>
              <w:numPr>
                <w:ilvl w:val="0"/>
                <w:numId w:val="1"/>
              </w:numPr>
              <w:tabs>
                <w:tab w:val="left" w:pos="220"/>
                <w:tab w:val="left" w:pos="720"/>
              </w:tabs>
              <w:autoSpaceDE w:val="0"/>
              <w:autoSpaceDN w:val="0"/>
              <w:adjustRightInd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39.22%</w:t>
            </w:r>
          </w:p>
        </w:tc>
        <w:tc>
          <w:tcPr>
            <w:tcW w:w="1385" w:type="dxa"/>
            <w:tcBorders>
              <w:top w:val="single" w:sz="4" w:space="0" w:color="000000"/>
              <w:left w:val="single" w:sz="8" w:space="0" w:color="0070C0"/>
              <w:bottom w:val="single" w:sz="4" w:space="0" w:color="000000"/>
              <w:right w:val="single" w:sz="12" w:space="0" w:color="auto"/>
            </w:tcBorders>
            <w:shd w:val="clear" w:color="auto" w:fill="D6E3BC" w:themeFill="accent3" w:themeFillTint="66"/>
            <w:vAlign w:val="center"/>
          </w:tcPr>
          <w:p w14:paraId="6CBF8777" w14:textId="0477D495" w:rsidR="00A9357C" w:rsidRPr="00443C1D" w:rsidRDefault="00A9357C" w:rsidP="00A9357C">
            <w:pPr>
              <w:widowControl w:val="0"/>
              <w:numPr>
                <w:ilvl w:val="0"/>
                <w:numId w:val="1"/>
              </w:numPr>
              <w:tabs>
                <w:tab w:val="left" w:pos="220"/>
                <w:tab w:val="left" w:pos="720"/>
              </w:tabs>
              <w:autoSpaceDE w:val="0"/>
              <w:autoSpaceDN w:val="0"/>
              <w:adjustRightInd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41.75%</w:t>
            </w:r>
          </w:p>
        </w:tc>
      </w:tr>
      <w:tr w:rsidR="00A9357C" w:rsidRPr="00443C1D" w14:paraId="24E2393D" w14:textId="77777777" w:rsidTr="00A9357C">
        <w:tblPrEx>
          <w:tblBorders>
            <w:top w:val="none" w:sz="0" w:space="0" w:color="auto"/>
          </w:tblBorders>
        </w:tblPrEx>
        <w:trPr>
          <w:jc w:val="center"/>
        </w:trPr>
        <w:tc>
          <w:tcPr>
            <w:tcW w:w="2115" w:type="dxa"/>
            <w:tcBorders>
              <w:top w:val="single" w:sz="4" w:space="0" w:color="000000"/>
              <w:left w:val="single" w:sz="12" w:space="0" w:color="000000"/>
              <w:bottom w:val="single" w:sz="4" w:space="0" w:color="000000"/>
              <w:right w:val="single" w:sz="18" w:space="0" w:color="0070C0"/>
            </w:tcBorders>
            <w:vAlign w:val="center"/>
          </w:tcPr>
          <w:p w14:paraId="0A9358BB" w14:textId="3E04EFAF" w:rsidR="00A9357C" w:rsidRPr="00443C1D" w:rsidRDefault="00A9357C" w:rsidP="00A9357C">
            <w:pPr>
              <w:widowControl w:val="0"/>
              <w:tabs>
                <w:tab w:val="left" w:pos="220"/>
                <w:tab w:val="left" w:pos="720"/>
              </w:tabs>
              <w:autoSpaceDE w:val="0"/>
              <w:autoSpaceDN w:val="0"/>
              <w:adjustRightInd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Somewhat better</w:t>
            </w:r>
          </w:p>
        </w:tc>
        <w:tc>
          <w:tcPr>
            <w:tcW w:w="1385" w:type="dxa"/>
            <w:tcBorders>
              <w:top w:val="single" w:sz="4" w:space="0" w:color="000000"/>
              <w:left w:val="single" w:sz="18" w:space="0" w:color="0070C0"/>
              <w:bottom w:val="single" w:sz="4" w:space="0" w:color="000000"/>
              <w:right w:val="single" w:sz="8" w:space="0" w:color="0070C0"/>
            </w:tcBorders>
            <w:shd w:val="clear" w:color="auto" w:fill="auto"/>
            <w:vAlign w:val="center"/>
          </w:tcPr>
          <w:p w14:paraId="51BFB2D5" w14:textId="54E4BBA8" w:rsidR="00A9357C" w:rsidRPr="00443C1D" w:rsidRDefault="00A9357C" w:rsidP="00A9357C">
            <w:pPr>
              <w:widowControl w:val="0"/>
              <w:numPr>
                <w:ilvl w:val="0"/>
                <w:numId w:val="1"/>
              </w:numPr>
              <w:tabs>
                <w:tab w:val="left" w:pos="220"/>
                <w:tab w:val="left" w:pos="720"/>
              </w:tabs>
              <w:autoSpaceDE w:val="0"/>
              <w:autoSpaceDN w:val="0"/>
              <w:adjustRightInd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17.52%</w:t>
            </w:r>
          </w:p>
        </w:tc>
        <w:tc>
          <w:tcPr>
            <w:tcW w:w="1385" w:type="dxa"/>
            <w:tcBorders>
              <w:top w:val="single" w:sz="4" w:space="0" w:color="000000"/>
              <w:left w:val="single" w:sz="8" w:space="0" w:color="0070C0"/>
              <w:bottom w:val="single" w:sz="4" w:space="0" w:color="000000"/>
              <w:right w:val="single" w:sz="12" w:space="0" w:color="auto"/>
            </w:tcBorders>
            <w:shd w:val="clear" w:color="auto" w:fill="C2D69B" w:themeFill="accent3" w:themeFillTint="99"/>
            <w:vAlign w:val="center"/>
          </w:tcPr>
          <w:p w14:paraId="423C785C" w14:textId="09423C99" w:rsidR="00A9357C" w:rsidRPr="00443C1D" w:rsidRDefault="00A9357C" w:rsidP="00A9357C">
            <w:pPr>
              <w:widowControl w:val="0"/>
              <w:numPr>
                <w:ilvl w:val="0"/>
                <w:numId w:val="1"/>
              </w:numPr>
              <w:tabs>
                <w:tab w:val="left" w:pos="220"/>
                <w:tab w:val="left" w:pos="720"/>
              </w:tabs>
              <w:autoSpaceDE w:val="0"/>
              <w:autoSpaceDN w:val="0"/>
              <w:adjustRightInd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21.83%</w:t>
            </w:r>
          </w:p>
        </w:tc>
      </w:tr>
      <w:tr w:rsidR="00A9357C" w:rsidRPr="00443C1D" w14:paraId="61C7EE6F" w14:textId="77777777" w:rsidTr="00A9357C">
        <w:tblPrEx>
          <w:tblBorders>
            <w:top w:val="none" w:sz="0" w:space="0" w:color="auto"/>
          </w:tblBorders>
        </w:tblPrEx>
        <w:trPr>
          <w:jc w:val="center"/>
        </w:trPr>
        <w:tc>
          <w:tcPr>
            <w:tcW w:w="2115" w:type="dxa"/>
            <w:tcBorders>
              <w:top w:val="single" w:sz="4" w:space="0" w:color="000000"/>
              <w:left w:val="single" w:sz="12" w:space="0" w:color="000000"/>
              <w:bottom w:val="single" w:sz="12" w:space="0" w:color="000000"/>
              <w:right w:val="single" w:sz="18" w:space="0" w:color="0070C0"/>
            </w:tcBorders>
            <w:vAlign w:val="center"/>
          </w:tcPr>
          <w:p w14:paraId="15BAAE82" w14:textId="2464B529" w:rsidR="00A9357C" w:rsidRPr="00443C1D" w:rsidRDefault="00A9357C" w:rsidP="00A9357C">
            <w:pPr>
              <w:widowControl w:val="0"/>
              <w:tabs>
                <w:tab w:val="left" w:pos="220"/>
                <w:tab w:val="left" w:pos="720"/>
              </w:tabs>
              <w:autoSpaceDE w:val="0"/>
              <w:autoSpaceDN w:val="0"/>
              <w:adjustRightInd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Much better</w:t>
            </w:r>
          </w:p>
        </w:tc>
        <w:tc>
          <w:tcPr>
            <w:tcW w:w="1385" w:type="dxa"/>
            <w:tcBorders>
              <w:top w:val="single" w:sz="4" w:space="0" w:color="000000"/>
              <w:left w:val="single" w:sz="18" w:space="0" w:color="0070C0"/>
              <w:bottom w:val="single" w:sz="12" w:space="0" w:color="000000"/>
              <w:right w:val="single" w:sz="8" w:space="0" w:color="0070C0"/>
            </w:tcBorders>
            <w:shd w:val="clear" w:color="auto" w:fill="auto"/>
            <w:vAlign w:val="center"/>
          </w:tcPr>
          <w:p w14:paraId="35C5606F" w14:textId="174F5C2A" w:rsidR="00A9357C" w:rsidRPr="00443C1D" w:rsidRDefault="00A9357C" w:rsidP="00A9357C">
            <w:pPr>
              <w:widowControl w:val="0"/>
              <w:numPr>
                <w:ilvl w:val="0"/>
                <w:numId w:val="1"/>
              </w:numPr>
              <w:tabs>
                <w:tab w:val="left" w:pos="220"/>
                <w:tab w:val="left" w:pos="720"/>
              </w:tabs>
              <w:autoSpaceDE w:val="0"/>
              <w:autoSpaceDN w:val="0"/>
              <w:adjustRightInd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3.76%</w:t>
            </w:r>
          </w:p>
        </w:tc>
        <w:tc>
          <w:tcPr>
            <w:tcW w:w="1385" w:type="dxa"/>
            <w:tcBorders>
              <w:top w:val="single" w:sz="4" w:space="0" w:color="000000"/>
              <w:left w:val="single" w:sz="8" w:space="0" w:color="0070C0"/>
              <w:bottom w:val="single" w:sz="12" w:space="0" w:color="000000"/>
              <w:right w:val="single" w:sz="12" w:space="0" w:color="auto"/>
            </w:tcBorders>
            <w:shd w:val="clear" w:color="auto" w:fill="D6E3BC" w:themeFill="accent3" w:themeFillTint="66"/>
            <w:vAlign w:val="center"/>
          </w:tcPr>
          <w:p w14:paraId="7011466E" w14:textId="63184EB5" w:rsidR="00A9357C" w:rsidRPr="00007472" w:rsidRDefault="00A9357C" w:rsidP="00A9357C">
            <w:pPr>
              <w:widowControl w:val="0"/>
              <w:numPr>
                <w:ilvl w:val="0"/>
                <w:numId w:val="1"/>
              </w:numPr>
              <w:tabs>
                <w:tab w:val="left" w:pos="220"/>
                <w:tab w:val="left" w:pos="720"/>
              </w:tabs>
              <w:autoSpaceDE w:val="0"/>
              <w:autoSpaceDN w:val="0"/>
              <w:adjustRightInd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4.55%</w:t>
            </w:r>
          </w:p>
        </w:tc>
      </w:tr>
    </w:tbl>
    <w:p w14:paraId="4E12F78F" w14:textId="77777777" w:rsidR="00A9357C" w:rsidRDefault="00A9357C" w:rsidP="00A9357C">
      <w:pPr>
        <w:tabs>
          <w:tab w:val="left" w:pos="2250"/>
        </w:tabs>
        <w:spacing w:after="0" w:line="240" w:lineRule="auto"/>
        <w:contextualSpacing/>
        <w:mirrorIndents/>
        <w:rPr>
          <w:rFonts w:ascii="Verdana" w:hAnsi="Verdana"/>
          <w:sz w:val="16"/>
          <w:szCs w:val="16"/>
        </w:rPr>
      </w:pPr>
      <w:r>
        <w:rPr>
          <w:rFonts w:ascii="Verdana" w:hAnsi="Verdana"/>
          <w:iCs/>
          <w:sz w:val="16"/>
          <w:szCs w:val="16"/>
        </w:rPr>
        <w:tab/>
        <w:t>Federal Reserve Bank of New York</w:t>
      </w:r>
      <w:r>
        <w:rPr>
          <w:rFonts w:ascii="Verdana" w:hAnsi="Verdana"/>
          <w:sz w:val="16"/>
          <w:szCs w:val="16"/>
        </w:rPr>
        <w:t>, May 2022</w:t>
      </w:r>
      <w:r>
        <w:rPr>
          <w:rFonts w:ascii="Verdana" w:hAnsi="Verdana"/>
          <w:sz w:val="16"/>
          <w:szCs w:val="16"/>
        </w:rPr>
        <w:tab/>
      </w:r>
    </w:p>
    <w:p w14:paraId="48AFFD9E" w14:textId="77777777" w:rsidR="00A9357C" w:rsidRPr="00443C1D" w:rsidRDefault="00A9357C" w:rsidP="00A9357C">
      <w:pPr>
        <w:tabs>
          <w:tab w:val="left" w:pos="2250"/>
        </w:tabs>
        <w:spacing w:after="0" w:line="240" w:lineRule="auto"/>
        <w:contextualSpacing/>
        <w:mirrorIndents/>
        <w:rPr>
          <w:rFonts w:ascii="Verdana" w:hAnsi="Verdana"/>
          <w:sz w:val="16"/>
          <w:szCs w:val="16"/>
        </w:rPr>
      </w:pPr>
      <w:r>
        <w:rPr>
          <w:rFonts w:ascii="Verdana" w:hAnsi="Verdana"/>
          <w:sz w:val="16"/>
          <w:szCs w:val="16"/>
        </w:rPr>
        <w:tab/>
        <w:t>(color represents change from one year ago to one year ahead)</w:t>
      </w:r>
    </w:p>
    <w:p w14:paraId="72A9D893" w14:textId="77777777" w:rsidR="00F94CE8" w:rsidRDefault="00F94CE8" w:rsidP="00F94CE8">
      <w:pPr>
        <w:pStyle w:val="NoSpacing"/>
        <w:contextualSpacing/>
        <w:rPr>
          <w:sz w:val="20"/>
          <w:szCs w:val="20"/>
        </w:rPr>
      </w:pPr>
    </w:p>
    <w:p w14:paraId="78E679E8" w14:textId="77777777" w:rsidR="00F94CE8" w:rsidRDefault="00F94CE8" w:rsidP="00F94CE8">
      <w:pPr>
        <w:pStyle w:val="NoSpacing"/>
        <w:contextualSpacing/>
        <w:rPr>
          <w:sz w:val="20"/>
          <w:szCs w:val="20"/>
        </w:rPr>
      </w:pPr>
    </w:p>
    <w:p w14:paraId="3CBFABF7" w14:textId="4E9F5B81" w:rsidR="00A9357C" w:rsidRPr="00443C1D" w:rsidRDefault="00A9357C" w:rsidP="00A9357C">
      <w:pPr>
        <w:pStyle w:val="Header"/>
        <w:contextualSpacing/>
        <w:mirrorIndents/>
        <w:jc w:val="center"/>
        <w:rPr>
          <w:rFonts w:ascii="Verdana" w:hAnsi="Verdana"/>
          <w:b/>
          <w:sz w:val="20"/>
          <w:szCs w:val="20"/>
        </w:rPr>
      </w:pPr>
      <w:r>
        <w:rPr>
          <w:rFonts w:ascii="Verdana" w:hAnsi="Verdana"/>
          <w:b/>
          <w:sz w:val="20"/>
          <w:szCs w:val="20"/>
        </w:rPr>
        <w:t>Comparison of Consumers’ Median Expectation of Increase to Their Household Income One Year Ahead</w:t>
      </w:r>
      <w:r w:rsidRPr="00443C1D">
        <w:rPr>
          <w:rFonts w:ascii="Verdana" w:hAnsi="Verdana"/>
          <w:b/>
          <w:sz w:val="20"/>
          <w:szCs w:val="20"/>
        </w:rPr>
        <w:t xml:space="preserve">, </w:t>
      </w:r>
      <w:r>
        <w:rPr>
          <w:rFonts w:ascii="Verdana" w:hAnsi="Verdana"/>
          <w:b/>
          <w:sz w:val="20"/>
          <w:szCs w:val="20"/>
        </w:rPr>
        <w:t>by Various Demographics, April 2022 vs. April 2021</w:t>
      </w:r>
    </w:p>
    <w:tbl>
      <w:tblPr>
        <w:tblW w:w="6070" w:type="dxa"/>
        <w:jc w:val="center"/>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3300"/>
        <w:gridCol w:w="1385"/>
        <w:gridCol w:w="1385"/>
      </w:tblGrid>
      <w:tr w:rsidR="00A9357C" w:rsidRPr="00443C1D" w14:paraId="428F30B8" w14:textId="77777777" w:rsidTr="00A9357C">
        <w:trPr>
          <w:jc w:val="center"/>
        </w:trPr>
        <w:tc>
          <w:tcPr>
            <w:tcW w:w="3300" w:type="dxa"/>
            <w:tcBorders>
              <w:top w:val="single" w:sz="12" w:space="0" w:color="000000"/>
              <w:left w:val="single" w:sz="12" w:space="0" w:color="000000"/>
              <w:bottom w:val="single" w:sz="18" w:space="0" w:color="C0504D" w:themeColor="accent2"/>
              <w:right w:val="single" w:sz="18" w:space="0" w:color="0070C0"/>
            </w:tcBorders>
            <w:vAlign w:val="center"/>
          </w:tcPr>
          <w:p w14:paraId="2034F8FA" w14:textId="0A85356F" w:rsidR="00A9357C" w:rsidRPr="00443C1D" w:rsidRDefault="00A9357C" w:rsidP="00675D1F">
            <w:pPr>
              <w:widowControl w:val="0"/>
              <w:tabs>
                <w:tab w:val="left" w:pos="220"/>
                <w:tab w:val="left" w:pos="720"/>
              </w:tabs>
              <w:autoSpaceDE w:val="0"/>
              <w:autoSpaceDN w:val="0"/>
              <w:adjustRightInd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Demographic</w:t>
            </w:r>
          </w:p>
        </w:tc>
        <w:tc>
          <w:tcPr>
            <w:tcW w:w="1385" w:type="dxa"/>
            <w:tcBorders>
              <w:top w:val="single" w:sz="12" w:space="0" w:color="000000"/>
              <w:left w:val="single" w:sz="18" w:space="0" w:color="0070C0"/>
              <w:bottom w:val="single" w:sz="18" w:space="0" w:color="C0504D" w:themeColor="accent2"/>
              <w:right w:val="single" w:sz="8" w:space="0" w:color="0070C0"/>
            </w:tcBorders>
            <w:vAlign w:val="center"/>
          </w:tcPr>
          <w:p w14:paraId="2B4044EC" w14:textId="65405A0D" w:rsidR="00A9357C" w:rsidRPr="00443C1D" w:rsidRDefault="00A9357C" w:rsidP="00675D1F">
            <w:pPr>
              <w:widowControl w:val="0"/>
              <w:tabs>
                <w:tab w:val="left" w:pos="220"/>
                <w:tab w:val="left" w:pos="720"/>
              </w:tabs>
              <w:autoSpaceDE w:val="0"/>
              <w:autoSpaceDN w:val="0"/>
              <w:adjustRightInd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April 2021</w:t>
            </w:r>
          </w:p>
        </w:tc>
        <w:tc>
          <w:tcPr>
            <w:tcW w:w="1385" w:type="dxa"/>
            <w:tcBorders>
              <w:top w:val="single" w:sz="12" w:space="0" w:color="000000"/>
              <w:left w:val="single" w:sz="8" w:space="0" w:color="0070C0"/>
              <w:bottom w:val="single" w:sz="18" w:space="0" w:color="C0504D" w:themeColor="accent2"/>
              <w:right w:val="single" w:sz="12" w:space="0" w:color="auto"/>
            </w:tcBorders>
            <w:vAlign w:val="center"/>
          </w:tcPr>
          <w:p w14:paraId="5BA0CAC1" w14:textId="4CAD0EB4" w:rsidR="00A9357C" w:rsidRPr="00443C1D" w:rsidRDefault="00A9357C" w:rsidP="00675D1F">
            <w:pPr>
              <w:widowControl w:val="0"/>
              <w:tabs>
                <w:tab w:val="left" w:pos="220"/>
                <w:tab w:val="left" w:pos="720"/>
              </w:tabs>
              <w:autoSpaceDE w:val="0"/>
              <w:autoSpaceDN w:val="0"/>
              <w:adjustRightInd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April 2022</w:t>
            </w:r>
          </w:p>
        </w:tc>
      </w:tr>
      <w:tr w:rsidR="00A9357C" w:rsidRPr="00443C1D" w14:paraId="70498712" w14:textId="77777777" w:rsidTr="00A9357C">
        <w:tblPrEx>
          <w:tblBorders>
            <w:top w:val="none" w:sz="0" w:space="0" w:color="auto"/>
          </w:tblBorders>
        </w:tblPrEx>
        <w:trPr>
          <w:jc w:val="center"/>
        </w:trPr>
        <w:tc>
          <w:tcPr>
            <w:tcW w:w="3300" w:type="dxa"/>
            <w:tcBorders>
              <w:top w:val="single" w:sz="18" w:space="0" w:color="C0504D" w:themeColor="accent2"/>
              <w:left w:val="single" w:sz="12" w:space="0" w:color="000000"/>
              <w:bottom w:val="single" w:sz="4" w:space="0" w:color="000000"/>
              <w:right w:val="single" w:sz="18" w:space="0" w:color="0070C0"/>
            </w:tcBorders>
            <w:vAlign w:val="center"/>
          </w:tcPr>
          <w:p w14:paraId="0A4CDE2F" w14:textId="1F9D14D0" w:rsidR="00A9357C" w:rsidRPr="00443C1D" w:rsidRDefault="00A9357C" w:rsidP="00675D1F">
            <w:pPr>
              <w:widowControl w:val="0"/>
              <w:tabs>
                <w:tab w:val="left" w:pos="220"/>
                <w:tab w:val="left" w:pos="720"/>
              </w:tabs>
              <w:autoSpaceDE w:val="0"/>
              <w:autoSpaceDN w:val="0"/>
              <w:adjustRightInd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Age; younger than 40</w:t>
            </w:r>
          </w:p>
        </w:tc>
        <w:tc>
          <w:tcPr>
            <w:tcW w:w="1385" w:type="dxa"/>
            <w:tcBorders>
              <w:top w:val="single" w:sz="18" w:space="0" w:color="C0504D" w:themeColor="accent2"/>
              <w:left w:val="single" w:sz="18" w:space="0" w:color="0070C0"/>
              <w:bottom w:val="single" w:sz="4" w:space="0" w:color="000000"/>
              <w:right w:val="single" w:sz="8" w:space="0" w:color="0070C0"/>
            </w:tcBorders>
            <w:shd w:val="clear" w:color="auto" w:fill="auto"/>
            <w:vAlign w:val="center"/>
          </w:tcPr>
          <w:p w14:paraId="41F474A9" w14:textId="7FF577E5" w:rsidR="00A9357C" w:rsidRPr="00443C1D" w:rsidRDefault="00A9357C" w:rsidP="00675D1F">
            <w:pPr>
              <w:widowControl w:val="0"/>
              <w:numPr>
                <w:ilvl w:val="0"/>
                <w:numId w:val="1"/>
              </w:numPr>
              <w:tabs>
                <w:tab w:val="left" w:pos="220"/>
                <w:tab w:val="left" w:pos="720"/>
              </w:tabs>
              <w:autoSpaceDE w:val="0"/>
              <w:autoSpaceDN w:val="0"/>
              <w:adjustRightInd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3.90%</w:t>
            </w:r>
          </w:p>
        </w:tc>
        <w:tc>
          <w:tcPr>
            <w:tcW w:w="1385" w:type="dxa"/>
            <w:tcBorders>
              <w:top w:val="single" w:sz="18" w:space="0" w:color="C0504D" w:themeColor="accent2"/>
              <w:left w:val="single" w:sz="8" w:space="0" w:color="0070C0"/>
              <w:bottom w:val="single" w:sz="4" w:space="0" w:color="000000"/>
              <w:right w:val="single" w:sz="12" w:space="0" w:color="auto"/>
            </w:tcBorders>
            <w:shd w:val="clear" w:color="auto" w:fill="C2D69B" w:themeFill="accent3" w:themeFillTint="99"/>
            <w:vAlign w:val="center"/>
          </w:tcPr>
          <w:p w14:paraId="5A2C4B17" w14:textId="0953176D" w:rsidR="00A9357C" w:rsidRPr="00A9357C" w:rsidRDefault="00A9357C" w:rsidP="00A9357C">
            <w:pPr>
              <w:widowControl w:val="0"/>
              <w:numPr>
                <w:ilvl w:val="0"/>
                <w:numId w:val="1"/>
              </w:numPr>
              <w:tabs>
                <w:tab w:val="left" w:pos="220"/>
                <w:tab w:val="left" w:pos="720"/>
              </w:tabs>
              <w:autoSpaceDE w:val="0"/>
              <w:autoSpaceDN w:val="0"/>
              <w:adjustRightInd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4.89%</w:t>
            </w:r>
          </w:p>
        </w:tc>
      </w:tr>
      <w:tr w:rsidR="00A9357C" w:rsidRPr="00443C1D" w14:paraId="14583544" w14:textId="77777777" w:rsidTr="00A9357C">
        <w:tblPrEx>
          <w:tblBorders>
            <w:top w:val="none" w:sz="0" w:space="0" w:color="auto"/>
          </w:tblBorders>
        </w:tblPrEx>
        <w:trPr>
          <w:jc w:val="center"/>
        </w:trPr>
        <w:tc>
          <w:tcPr>
            <w:tcW w:w="3300" w:type="dxa"/>
            <w:tcBorders>
              <w:top w:val="single" w:sz="4" w:space="0" w:color="000000"/>
              <w:left w:val="single" w:sz="12" w:space="0" w:color="000000"/>
              <w:bottom w:val="single" w:sz="4" w:space="0" w:color="000000"/>
              <w:right w:val="single" w:sz="18" w:space="0" w:color="0070C0"/>
            </w:tcBorders>
            <w:vAlign w:val="center"/>
          </w:tcPr>
          <w:p w14:paraId="4FCFB5F3" w14:textId="7DD10A2E" w:rsidR="00A9357C" w:rsidRPr="00443C1D" w:rsidRDefault="00A9357C" w:rsidP="00675D1F">
            <w:pPr>
              <w:widowControl w:val="0"/>
              <w:tabs>
                <w:tab w:val="left" w:pos="220"/>
                <w:tab w:val="left" w:pos="720"/>
              </w:tabs>
              <w:autoSpaceDE w:val="0"/>
              <w:autoSpaceDN w:val="0"/>
              <w:adjustRightInd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Age: 40–60</w:t>
            </w:r>
          </w:p>
        </w:tc>
        <w:tc>
          <w:tcPr>
            <w:tcW w:w="1385" w:type="dxa"/>
            <w:tcBorders>
              <w:top w:val="single" w:sz="4" w:space="0" w:color="000000"/>
              <w:left w:val="single" w:sz="18" w:space="0" w:color="0070C0"/>
              <w:bottom w:val="single" w:sz="4" w:space="0" w:color="000000"/>
              <w:right w:val="single" w:sz="8" w:space="0" w:color="0070C0"/>
            </w:tcBorders>
            <w:shd w:val="clear" w:color="auto" w:fill="auto"/>
            <w:vAlign w:val="center"/>
          </w:tcPr>
          <w:p w14:paraId="6E840138" w14:textId="5FACF163" w:rsidR="00A9357C" w:rsidRPr="00443C1D" w:rsidRDefault="00A9357C" w:rsidP="00675D1F">
            <w:pPr>
              <w:widowControl w:val="0"/>
              <w:numPr>
                <w:ilvl w:val="0"/>
                <w:numId w:val="1"/>
              </w:numPr>
              <w:tabs>
                <w:tab w:val="left" w:pos="220"/>
                <w:tab w:val="left" w:pos="720"/>
              </w:tabs>
              <w:autoSpaceDE w:val="0"/>
              <w:autoSpaceDN w:val="0"/>
              <w:adjustRightInd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2.43%</w:t>
            </w:r>
          </w:p>
        </w:tc>
        <w:tc>
          <w:tcPr>
            <w:tcW w:w="1385" w:type="dxa"/>
            <w:tcBorders>
              <w:top w:val="single" w:sz="4" w:space="0" w:color="000000"/>
              <w:left w:val="single" w:sz="8" w:space="0" w:color="0070C0"/>
              <w:bottom w:val="single" w:sz="4" w:space="0" w:color="000000"/>
              <w:right w:val="single" w:sz="12" w:space="0" w:color="auto"/>
            </w:tcBorders>
            <w:shd w:val="clear" w:color="auto" w:fill="C2D69B" w:themeFill="accent3" w:themeFillTint="99"/>
            <w:vAlign w:val="center"/>
          </w:tcPr>
          <w:p w14:paraId="592FA84B" w14:textId="295E086E" w:rsidR="00A9357C" w:rsidRPr="00443C1D" w:rsidRDefault="00A9357C" w:rsidP="00675D1F">
            <w:pPr>
              <w:widowControl w:val="0"/>
              <w:numPr>
                <w:ilvl w:val="0"/>
                <w:numId w:val="1"/>
              </w:numPr>
              <w:tabs>
                <w:tab w:val="left" w:pos="220"/>
                <w:tab w:val="left" w:pos="720"/>
              </w:tabs>
              <w:autoSpaceDE w:val="0"/>
              <w:autoSpaceDN w:val="0"/>
              <w:adjustRightInd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3.35%</w:t>
            </w:r>
          </w:p>
        </w:tc>
      </w:tr>
      <w:tr w:rsidR="00A9357C" w:rsidRPr="00443C1D" w14:paraId="4B7C60A6" w14:textId="77777777" w:rsidTr="00A9357C">
        <w:tblPrEx>
          <w:tblBorders>
            <w:top w:val="none" w:sz="0" w:space="0" w:color="auto"/>
          </w:tblBorders>
        </w:tblPrEx>
        <w:trPr>
          <w:jc w:val="center"/>
        </w:trPr>
        <w:tc>
          <w:tcPr>
            <w:tcW w:w="3300" w:type="dxa"/>
            <w:tcBorders>
              <w:top w:val="single" w:sz="4" w:space="0" w:color="000000"/>
              <w:left w:val="single" w:sz="12" w:space="0" w:color="000000"/>
              <w:bottom w:val="single" w:sz="4" w:space="0" w:color="000000"/>
              <w:right w:val="single" w:sz="18" w:space="0" w:color="0070C0"/>
            </w:tcBorders>
            <w:vAlign w:val="center"/>
          </w:tcPr>
          <w:p w14:paraId="708A4E6F" w14:textId="619D8A62" w:rsidR="00A9357C" w:rsidRPr="00443C1D" w:rsidRDefault="00A9357C" w:rsidP="00675D1F">
            <w:pPr>
              <w:widowControl w:val="0"/>
              <w:tabs>
                <w:tab w:val="left" w:pos="220"/>
                <w:tab w:val="left" w:pos="720"/>
              </w:tabs>
              <w:autoSpaceDE w:val="0"/>
              <w:autoSpaceDN w:val="0"/>
              <w:adjustRightInd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Age: older than 60</w:t>
            </w:r>
          </w:p>
        </w:tc>
        <w:tc>
          <w:tcPr>
            <w:tcW w:w="1385" w:type="dxa"/>
            <w:tcBorders>
              <w:top w:val="single" w:sz="4" w:space="0" w:color="000000"/>
              <w:left w:val="single" w:sz="18" w:space="0" w:color="0070C0"/>
              <w:bottom w:val="single" w:sz="4" w:space="0" w:color="000000"/>
              <w:right w:val="single" w:sz="8" w:space="0" w:color="0070C0"/>
            </w:tcBorders>
            <w:shd w:val="clear" w:color="auto" w:fill="auto"/>
            <w:vAlign w:val="center"/>
          </w:tcPr>
          <w:p w14:paraId="04EFE75F" w14:textId="479B21E7" w:rsidR="00A9357C" w:rsidRPr="00443C1D" w:rsidRDefault="00A9357C" w:rsidP="00675D1F">
            <w:pPr>
              <w:widowControl w:val="0"/>
              <w:numPr>
                <w:ilvl w:val="0"/>
                <w:numId w:val="1"/>
              </w:numPr>
              <w:tabs>
                <w:tab w:val="left" w:pos="220"/>
                <w:tab w:val="left" w:pos="720"/>
              </w:tabs>
              <w:autoSpaceDE w:val="0"/>
              <w:autoSpaceDN w:val="0"/>
              <w:adjustRightInd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1.79%</w:t>
            </w:r>
          </w:p>
        </w:tc>
        <w:tc>
          <w:tcPr>
            <w:tcW w:w="1385" w:type="dxa"/>
            <w:tcBorders>
              <w:top w:val="single" w:sz="4" w:space="0" w:color="000000"/>
              <w:left w:val="single" w:sz="8" w:space="0" w:color="0070C0"/>
              <w:bottom w:val="single" w:sz="4" w:space="0" w:color="000000"/>
              <w:right w:val="single" w:sz="12" w:space="0" w:color="auto"/>
            </w:tcBorders>
            <w:shd w:val="clear" w:color="auto" w:fill="EAF1DD" w:themeFill="accent3" w:themeFillTint="33"/>
            <w:vAlign w:val="center"/>
          </w:tcPr>
          <w:p w14:paraId="028BE27C" w14:textId="645F3353" w:rsidR="00A9357C" w:rsidRPr="00443C1D" w:rsidRDefault="00A9357C" w:rsidP="00675D1F">
            <w:pPr>
              <w:widowControl w:val="0"/>
              <w:numPr>
                <w:ilvl w:val="0"/>
                <w:numId w:val="1"/>
              </w:numPr>
              <w:tabs>
                <w:tab w:val="left" w:pos="220"/>
                <w:tab w:val="left" w:pos="720"/>
              </w:tabs>
              <w:autoSpaceDE w:val="0"/>
              <w:autoSpaceDN w:val="0"/>
              <w:adjustRightInd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1.98%</w:t>
            </w:r>
          </w:p>
        </w:tc>
      </w:tr>
      <w:tr w:rsidR="00A9357C" w:rsidRPr="00443C1D" w14:paraId="2B46CCF8" w14:textId="77777777" w:rsidTr="00A9357C">
        <w:tblPrEx>
          <w:tblBorders>
            <w:top w:val="none" w:sz="0" w:space="0" w:color="auto"/>
          </w:tblBorders>
        </w:tblPrEx>
        <w:trPr>
          <w:jc w:val="center"/>
        </w:trPr>
        <w:tc>
          <w:tcPr>
            <w:tcW w:w="3300" w:type="dxa"/>
            <w:tcBorders>
              <w:top w:val="single" w:sz="4" w:space="0" w:color="000000"/>
              <w:left w:val="single" w:sz="12" w:space="0" w:color="000000"/>
              <w:bottom w:val="single" w:sz="4" w:space="0" w:color="000000"/>
              <w:right w:val="single" w:sz="18" w:space="0" w:color="0070C0"/>
            </w:tcBorders>
            <w:vAlign w:val="center"/>
          </w:tcPr>
          <w:p w14:paraId="09037C2E" w14:textId="1E01FDBA" w:rsidR="00A9357C" w:rsidRPr="00443C1D" w:rsidRDefault="00A9357C" w:rsidP="00675D1F">
            <w:pPr>
              <w:widowControl w:val="0"/>
              <w:tabs>
                <w:tab w:val="left" w:pos="220"/>
                <w:tab w:val="left" w:pos="720"/>
              </w:tabs>
              <w:autoSpaceDE w:val="0"/>
              <w:autoSpaceDN w:val="0"/>
              <w:adjustRightInd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Education: high school or less</w:t>
            </w:r>
          </w:p>
        </w:tc>
        <w:tc>
          <w:tcPr>
            <w:tcW w:w="1385" w:type="dxa"/>
            <w:tcBorders>
              <w:top w:val="single" w:sz="4" w:space="0" w:color="000000"/>
              <w:left w:val="single" w:sz="18" w:space="0" w:color="0070C0"/>
              <w:bottom w:val="single" w:sz="4" w:space="0" w:color="000000"/>
              <w:right w:val="single" w:sz="8" w:space="0" w:color="0070C0"/>
            </w:tcBorders>
            <w:shd w:val="clear" w:color="auto" w:fill="auto"/>
            <w:vAlign w:val="center"/>
          </w:tcPr>
          <w:p w14:paraId="65BFA289" w14:textId="2E929765" w:rsidR="00A9357C" w:rsidRPr="00443C1D" w:rsidRDefault="00A9357C" w:rsidP="00675D1F">
            <w:pPr>
              <w:widowControl w:val="0"/>
              <w:numPr>
                <w:ilvl w:val="0"/>
                <w:numId w:val="1"/>
              </w:numPr>
              <w:tabs>
                <w:tab w:val="left" w:pos="220"/>
                <w:tab w:val="left" w:pos="720"/>
              </w:tabs>
              <w:autoSpaceDE w:val="0"/>
              <w:autoSpaceDN w:val="0"/>
              <w:adjustRightInd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1.94%</w:t>
            </w:r>
          </w:p>
        </w:tc>
        <w:tc>
          <w:tcPr>
            <w:tcW w:w="1385" w:type="dxa"/>
            <w:tcBorders>
              <w:top w:val="single" w:sz="4" w:space="0" w:color="000000"/>
              <w:left w:val="single" w:sz="8" w:space="0" w:color="0070C0"/>
              <w:bottom w:val="single" w:sz="4" w:space="0" w:color="000000"/>
              <w:right w:val="single" w:sz="12" w:space="0" w:color="auto"/>
            </w:tcBorders>
            <w:shd w:val="clear" w:color="auto" w:fill="D6E3BC" w:themeFill="accent3" w:themeFillTint="66"/>
            <w:vAlign w:val="center"/>
          </w:tcPr>
          <w:p w14:paraId="03CB59F5" w14:textId="316E3D39" w:rsidR="00A9357C" w:rsidRPr="00443C1D" w:rsidRDefault="00A9357C" w:rsidP="00675D1F">
            <w:pPr>
              <w:widowControl w:val="0"/>
              <w:numPr>
                <w:ilvl w:val="0"/>
                <w:numId w:val="1"/>
              </w:numPr>
              <w:tabs>
                <w:tab w:val="left" w:pos="220"/>
                <w:tab w:val="left" w:pos="720"/>
              </w:tabs>
              <w:autoSpaceDE w:val="0"/>
              <w:autoSpaceDN w:val="0"/>
              <w:adjustRightInd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2.24%</w:t>
            </w:r>
          </w:p>
        </w:tc>
      </w:tr>
      <w:tr w:rsidR="00A9357C" w:rsidRPr="00443C1D" w14:paraId="735A6DA7" w14:textId="77777777" w:rsidTr="00A9357C">
        <w:tblPrEx>
          <w:tblBorders>
            <w:top w:val="none" w:sz="0" w:space="0" w:color="auto"/>
          </w:tblBorders>
        </w:tblPrEx>
        <w:trPr>
          <w:jc w:val="center"/>
        </w:trPr>
        <w:tc>
          <w:tcPr>
            <w:tcW w:w="3300" w:type="dxa"/>
            <w:tcBorders>
              <w:top w:val="single" w:sz="4" w:space="0" w:color="000000"/>
              <w:left w:val="single" w:sz="12" w:space="0" w:color="000000"/>
              <w:bottom w:val="single" w:sz="4" w:space="0" w:color="000000"/>
              <w:right w:val="single" w:sz="18" w:space="0" w:color="0070C0"/>
            </w:tcBorders>
            <w:vAlign w:val="center"/>
          </w:tcPr>
          <w:p w14:paraId="4A188D89" w14:textId="5752E8C3" w:rsidR="00A9357C" w:rsidRPr="00443C1D" w:rsidRDefault="00A9357C" w:rsidP="00675D1F">
            <w:pPr>
              <w:widowControl w:val="0"/>
              <w:tabs>
                <w:tab w:val="left" w:pos="220"/>
                <w:tab w:val="left" w:pos="720"/>
              </w:tabs>
              <w:autoSpaceDE w:val="0"/>
              <w:autoSpaceDN w:val="0"/>
              <w:adjustRightInd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Education: some college</w:t>
            </w:r>
          </w:p>
        </w:tc>
        <w:tc>
          <w:tcPr>
            <w:tcW w:w="1385" w:type="dxa"/>
            <w:tcBorders>
              <w:top w:val="single" w:sz="4" w:space="0" w:color="000000"/>
              <w:left w:val="single" w:sz="18" w:space="0" w:color="0070C0"/>
              <w:bottom w:val="single" w:sz="4" w:space="0" w:color="000000"/>
              <w:right w:val="single" w:sz="8" w:space="0" w:color="0070C0"/>
            </w:tcBorders>
            <w:shd w:val="clear" w:color="auto" w:fill="auto"/>
            <w:vAlign w:val="center"/>
          </w:tcPr>
          <w:p w14:paraId="2AFA9909" w14:textId="4E28E78D" w:rsidR="00A9357C" w:rsidRPr="00443C1D" w:rsidRDefault="00A9357C" w:rsidP="00675D1F">
            <w:pPr>
              <w:widowControl w:val="0"/>
              <w:numPr>
                <w:ilvl w:val="0"/>
                <w:numId w:val="1"/>
              </w:numPr>
              <w:tabs>
                <w:tab w:val="left" w:pos="220"/>
                <w:tab w:val="left" w:pos="720"/>
              </w:tabs>
              <w:autoSpaceDE w:val="0"/>
              <w:autoSpaceDN w:val="0"/>
              <w:adjustRightInd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2.34%</w:t>
            </w:r>
          </w:p>
        </w:tc>
        <w:tc>
          <w:tcPr>
            <w:tcW w:w="1385" w:type="dxa"/>
            <w:tcBorders>
              <w:top w:val="single" w:sz="4" w:space="0" w:color="000000"/>
              <w:left w:val="single" w:sz="8" w:space="0" w:color="0070C0"/>
              <w:bottom w:val="single" w:sz="4" w:space="0" w:color="000000"/>
              <w:right w:val="single" w:sz="12" w:space="0" w:color="auto"/>
            </w:tcBorders>
            <w:shd w:val="clear" w:color="auto" w:fill="C2D69B" w:themeFill="accent3" w:themeFillTint="99"/>
            <w:vAlign w:val="center"/>
          </w:tcPr>
          <w:p w14:paraId="6ACDC70F" w14:textId="7D296697" w:rsidR="00A9357C" w:rsidRPr="00443C1D" w:rsidRDefault="00A9357C" w:rsidP="00675D1F">
            <w:pPr>
              <w:widowControl w:val="0"/>
              <w:numPr>
                <w:ilvl w:val="0"/>
                <w:numId w:val="1"/>
              </w:numPr>
              <w:tabs>
                <w:tab w:val="left" w:pos="220"/>
                <w:tab w:val="left" w:pos="720"/>
              </w:tabs>
              <w:autoSpaceDE w:val="0"/>
              <w:autoSpaceDN w:val="0"/>
              <w:adjustRightInd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3.04%</w:t>
            </w:r>
          </w:p>
        </w:tc>
      </w:tr>
      <w:tr w:rsidR="00A9357C" w:rsidRPr="00443C1D" w14:paraId="068B7ACC" w14:textId="77777777" w:rsidTr="00A9357C">
        <w:tblPrEx>
          <w:tblBorders>
            <w:top w:val="none" w:sz="0" w:space="0" w:color="auto"/>
          </w:tblBorders>
        </w:tblPrEx>
        <w:trPr>
          <w:jc w:val="center"/>
        </w:trPr>
        <w:tc>
          <w:tcPr>
            <w:tcW w:w="3300" w:type="dxa"/>
            <w:tcBorders>
              <w:top w:val="single" w:sz="4" w:space="0" w:color="000000"/>
              <w:left w:val="single" w:sz="12" w:space="0" w:color="000000"/>
              <w:bottom w:val="single" w:sz="4" w:space="0" w:color="000000"/>
              <w:right w:val="single" w:sz="18" w:space="0" w:color="0070C0"/>
            </w:tcBorders>
            <w:vAlign w:val="center"/>
          </w:tcPr>
          <w:p w14:paraId="748C67FF" w14:textId="54BA4A7F" w:rsidR="00A9357C" w:rsidRPr="00443C1D" w:rsidRDefault="00A9357C" w:rsidP="00675D1F">
            <w:pPr>
              <w:widowControl w:val="0"/>
              <w:tabs>
                <w:tab w:val="left" w:pos="220"/>
                <w:tab w:val="left" w:pos="720"/>
              </w:tabs>
              <w:autoSpaceDE w:val="0"/>
              <w:autoSpaceDN w:val="0"/>
              <w:adjustRightInd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Education: BA or higher</w:t>
            </w:r>
          </w:p>
        </w:tc>
        <w:tc>
          <w:tcPr>
            <w:tcW w:w="1385" w:type="dxa"/>
            <w:tcBorders>
              <w:top w:val="single" w:sz="4" w:space="0" w:color="000000"/>
              <w:left w:val="single" w:sz="18" w:space="0" w:color="0070C0"/>
              <w:bottom w:val="single" w:sz="4" w:space="0" w:color="000000"/>
              <w:right w:val="single" w:sz="8" w:space="0" w:color="0070C0"/>
            </w:tcBorders>
            <w:shd w:val="clear" w:color="auto" w:fill="auto"/>
            <w:vAlign w:val="center"/>
          </w:tcPr>
          <w:p w14:paraId="497E8B10" w14:textId="2722997E" w:rsidR="00A9357C" w:rsidRPr="00443C1D" w:rsidRDefault="00A9357C" w:rsidP="00675D1F">
            <w:pPr>
              <w:widowControl w:val="0"/>
              <w:numPr>
                <w:ilvl w:val="0"/>
                <w:numId w:val="1"/>
              </w:numPr>
              <w:tabs>
                <w:tab w:val="left" w:pos="220"/>
                <w:tab w:val="left" w:pos="720"/>
              </w:tabs>
              <w:autoSpaceDE w:val="0"/>
              <w:autoSpaceDN w:val="0"/>
              <w:adjustRightInd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2.88%</w:t>
            </w:r>
          </w:p>
        </w:tc>
        <w:tc>
          <w:tcPr>
            <w:tcW w:w="1385" w:type="dxa"/>
            <w:tcBorders>
              <w:top w:val="single" w:sz="4" w:space="0" w:color="000000"/>
              <w:left w:val="single" w:sz="8" w:space="0" w:color="0070C0"/>
              <w:bottom w:val="single" w:sz="4" w:space="0" w:color="000000"/>
              <w:right w:val="single" w:sz="12" w:space="0" w:color="auto"/>
            </w:tcBorders>
            <w:shd w:val="clear" w:color="auto" w:fill="C2D69B" w:themeFill="accent3" w:themeFillTint="99"/>
            <w:vAlign w:val="center"/>
          </w:tcPr>
          <w:p w14:paraId="16A9AE2C" w14:textId="04993E77" w:rsidR="00A9357C" w:rsidRPr="00443C1D" w:rsidRDefault="00A9357C" w:rsidP="00675D1F">
            <w:pPr>
              <w:widowControl w:val="0"/>
              <w:numPr>
                <w:ilvl w:val="0"/>
                <w:numId w:val="1"/>
              </w:numPr>
              <w:tabs>
                <w:tab w:val="left" w:pos="220"/>
                <w:tab w:val="left" w:pos="720"/>
              </w:tabs>
              <w:autoSpaceDE w:val="0"/>
              <w:autoSpaceDN w:val="0"/>
              <w:adjustRightInd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3.91%</w:t>
            </w:r>
          </w:p>
        </w:tc>
      </w:tr>
      <w:tr w:rsidR="00A9357C" w:rsidRPr="00443C1D" w14:paraId="78E217ED" w14:textId="77777777" w:rsidTr="00A9357C">
        <w:tblPrEx>
          <w:tblBorders>
            <w:top w:val="none" w:sz="0" w:space="0" w:color="auto"/>
          </w:tblBorders>
        </w:tblPrEx>
        <w:trPr>
          <w:jc w:val="center"/>
        </w:trPr>
        <w:tc>
          <w:tcPr>
            <w:tcW w:w="3300" w:type="dxa"/>
            <w:tcBorders>
              <w:top w:val="single" w:sz="4" w:space="0" w:color="000000"/>
              <w:left w:val="single" w:sz="12" w:space="0" w:color="000000"/>
              <w:bottom w:val="single" w:sz="4" w:space="0" w:color="000000"/>
              <w:right w:val="single" w:sz="18" w:space="0" w:color="0070C0"/>
            </w:tcBorders>
            <w:vAlign w:val="center"/>
          </w:tcPr>
          <w:p w14:paraId="45249A31" w14:textId="21AFE178" w:rsidR="00A9357C" w:rsidRPr="00443C1D" w:rsidRDefault="00A9357C" w:rsidP="00675D1F">
            <w:pPr>
              <w:widowControl w:val="0"/>
              <w:tabs>
                <w:tab w:val="left" w:pos="220"/>
                <w:tab w:val="left" w:pos="720"/>
              </w:tabs>
              <w:autoSpaceDE w:val="0"/>
              <w:autoSpaceDN w:val="0"/>
              <w:adjustRightInd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Income: less than $50,000</w:t>
            </w:r>
          </w:p>
        </w:tc>
        <w:tc>
          <w:tcPr>
            <w:tcW w:w="1385" w:type="dxa"/>
            <w:tcBorders>
              <w:top w:val="single" w:sz="4" w:space="0" w:color="000000"/>
              <w:left w:val="single" w:sz="18" w:space="0" w:color="0070C0"/>
              <w:bottom w:val="single" w:sz="4" w:space="0" w:color="000000"/>
              <w:right w:val="single" w:sz="8" w:space="0" w:color="0070C0"/>
            </w:tcBorders>
            <w:shd w:val="clear" w:color="auto" w:fill="auto"/>
            <w:vAlign w:val="center"/>
          </w:tcPr>
          <w:p w14:paraId="283C3493" w14:textId="32B4FD8A" w:rsidR="00A9357C" w:rsidRPr="00443C1D" w:rsidRDefault="00A9357C" w:rsidP="00675D1F">
            <w:pPr>
              <w:widowControl w:val="0"/>
              <w:numPr>
                <w:ilvl w:val="0"/>
                <w:numId w:val="1"/>
              </w:numPr>
              <w:tabs>
                <w:tab w:val="left" w:pos="220"/>
                <w:tab w:val="left" w:pos="720"/>
              </w:tabs>
              <w:autoSpaceDE w:val="0"/>
              <w:autoSpaceDN w:val="0"/>
              <w:adjustRightInd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1.83%</w:t>
            </w:r>
          </w:p>
        </w:tc>
        <w:tc>
          <w:tcPr>
            <w:tcW w:w="1385" w:type="dxa"/>
            <w:tcBorders>
              <w:top w:val="single" w:sz="4" w:space="0" w:color="000000"/>
              <w:left w:val="single" w:sz="8" w:space="0" w:color="0070C0"/>
              <w:bottom w:val="single" w:sz="4" w:space="0" w:color="000000"/>
              <w:right w:val="single" w:sz="12" w:space="0" w:color="auto"/>
            </w:tcBorders>
            <w:shd w:val="clear" w:color="auto" w:fill="C2D69B" w:themeFill="accent3" w:themeFillTint="99"/>
            <w:vAlign w:val="center"/>
          </w:tcPr>
          <w:p w14:paraId="28B9BF06" w14:textId="58FB2000" w:rsidR="00A9357C" w:rsidRPr="00443C1D" w:rsidRDefault="00A9357C" w:rsidP="00675D1F">
            <w:pPr>
              <w:widowControl w:val="0"/>
              <w:numPr>
                <w:ilvl w:val="0"/>
                <w:numId w:val="1"/>
              </w:numPr>
              <w:tabs>
                <w:tab w:val="left" w:pos="220"/>
                <w:tab w:val="left" w:pos="720"/>
              </w:tabs>
              <w:autoSpaceDE w:val="0"/>
              <w:autoSpaceDN w:val="0"/>
              <w:adjustRightInd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2.52%</w:t>
            </w:r>
          </w:p>
        </w:tc>
      </w:tr>
      <w:tr w:rsidR="00A9357C" w:rsidRPr="00443C1D" w14:paraId="08882503" w14:textId="77777777" w:rsidTr="00A9357C">
        <w:tblPrEx>
          <w:tblBorders>
            <w:top w:val="none" w:sz="0" w:space="0" w:color="auto"/>
          </w:tblBorders>
        </w:tblPrEx>
        <w:trPr>
          <w:jc w:val="center"/>
        </w:trPr>
        <w:tc>
          <w:tcPr>
            <w:tcW w:w="3300" w:type="dxa"/>
            <w:tcBorders>
              <w:top w:val="single" w:sz="4" w:space="0" w:color="000000"/>
              <w:left w:val="single" w:sz="12" w:space="0" w:color="000000"/>
              <w:bottom w:val="single" w:sz="4" w:space="0" w:color="000000"/>
              <w:right w:val="single" w:sz="18" w:space="0" w:color="0070C0"/>
            </w:tcBorders>
            <w:vAlign w:val="center"/>
          </w:tcPr>
          <w:p w14:paraId="2FBA39F3" w14:textId="38C71105" w:rsidR="00A9357C" w:rsidRPr="00443C1D" w:rsidRDefault="00A9357C" w:rsidP="00675D1F">
            <w:pPr>
              <w:widowControl w:val="0"/>
              <w:tabs>
                <w:tab w:val="left" w:pos="220"/>
                <w:tab w:val="left" w:pos="720"/>
              </w:tabs>
              <w:autoSpaceDE w:val="0"/>
              <w:autoSpaceDN w:val="0"/>
              <w:adjustRightInd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Income: $50,000–$100,000</w:t>
            </w:r>
          </w:p>
        </w:tc>
        <w:tc>
          <w:tcPr>
            <w:tcW w:w="1385" w:type="dxa"/>
            <w:tcBorders>
              <w:top w:val="single" w:sz="4" w:space="0" w:color="000000"/>
              <w:left w:val="single" w:sz="18" w:space="0" w:color="0070C0"/>
              <w:bottom w:val="single" w:sz="4" w:space="0" w:color="000000"/>
              <w:right w:val="single" w:sz="8" w:space="0" w:color="0070C0"/>
            </w:tcBorders>
            <w:shd w:val="clear" w:color="auto" w:fill="auto"/>
            <w:vAlign w:val="center"/>
          </w:tcPr>
          <w:p w14:paraId="164DFEE4" w14:textId="363F2FC1" w:rsidR="00A9357C" w:rsidRPr="00443C1D" w:rsidRDefault="00A9357C" w:rsidP="00675D1F">
            <w:pPr>
              <w:widowControl w:val="0"/>
              <w:numPr>
                <w:ilvl w:val="0"/>
                <w:numId w:val="1"/>
              </w:numPr>
              <w:tabs>
                <w:tab w:val="left" w:pos="220"/>
                <w:tab w:val="left" w:pos="720"/>
              </w:tabs>
              <w:autoSpaceDE w:val="0"/>
              <w:autoSpaceDN w:val="0"/>
              <w:adjustRightInd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2.91%</w:t>
            </w:r>
          </w:p>
        </w:tc>
        <w:tc>
          <w:tcPr>
            <w:tcW w:w="1385" w:type="dxa"/>
            <w:tcBorders>
              <w:top w:val="single" w:sz="4" w:space="0" w:color="000000"/>
              <w:left w:val="single" w:sz="8" w:space="0" w:color="0070C0"/>
              <w:bottom w:val="single" w:sz="4" w:space="0" w:color="000000"/>
              <w:right w:val="single" w:sz="12" w:space="0" w:color="auto"/>
            </w:tcBorders>
            <w:shd w:val="clear" w:color="auto" w:fill="D6E3BC" w:themeFill="accent3" w:themeFillTint="66"/>
            <w:vAlign w:val="center"/>
          </w:tcPr>
          <w:p w14:paraId="49381B9D" w14:textId="3D9A55B4" w:rsidR="00A9357C" w:rsidRPr="00443C1D" w:rsidRDefault="00A9357C" w:rsidP="00675D1F">
            <w:pPr>
              <w:widowControl w:val="0"/>
              <w:numPr>
                <w:ilvl w:val="0"/>
                <w:numId w:val="1"/>
              </w:numPr>
              <w:tabs>
                <w:tab w:val="left" w:pos="220"/>
                <w:tab w:val="left" w:pos="720"/>
              </w:tabs>
              <w:autoSpaceDE w:val="0"/>
              <w:autoSpaceDN w:val="0"/>
              <w:adjustRightInd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3.05%</w:t>
            </w:r>
          </w:p>
        </w:tc>
      </w:tr>
      <w:tr w:rsidR="00A9357C" w:rsidRPr="00443C1D" w14:paraId="3C8E1CB6" w14:textId="77777777" w:rsidTr="00A9357C">
        <w:tblPrEx>
          <w:tblBorders>
            <w:top w:val="none" w:sz="0" w:space="0" w:color="auto"/>
          </w:tblBorders>
        </w:tblPrEx>
        <w:trPr>
          <w:jc w:val="center"/>
        </w:trPr>
        <w:tc>
          <w:tcPr>
            <w:tcW w:w="3300" w:type="dxa"/>
            <w:tcBorders>
              <w:top w:val="single" w:sz="4" w:space="0" w:color="000000"/>
              <w:left w:val="single" w:sz="12" w:space="0" w:color="000000"/>
              <w:bottom w:val="single" w:sz="4" w:space="0" w:color="000000"/>
              <w:right w:val="single" w:sz="18" w:space="0" w:color="0070C0"/>
            </w:tcBorders>
            <w:vAlign w:val="center"/>
          </w:tcPr>
          <w:p w14:paraId="0DAC8812" w14:textId="316A4AED" w:rsidR="00A9357C" w:rsidRPr="00443C1D" w:rsidRDefault="00A9357C" w:rsidP="00675D1F">
            <w:pPr>
              <w:widowControl w:val="0"/>
              <w:tabs>
                <w:tab w:val="left" w:pos="220"/>
                <w:tab w:val="left" w:pos="720"/>
              </w:tabs>
              <w:autoSpaceDE w:val="0"/>
              <w:autoSpaceDN w:val="0"/>
              <w:adjustRightInd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Income: more than $100,000</w:t>
            </w:r>
          </w:p>
        </w:tc>
        <w:tc>
          <w:tcPr>
            <w:tcW w:w="1385" w:type="dxa"/>
            <w:tcBorders>
              <w:top w:val="single" w:sz="4" w:space="0" w:color="000000"/>
              <w:left w:val="single" w:sz="18" w:space="0" w:color="0070C0"/>
              <w:bottom w:val="single" w:sz="4" w:space="0" w:color="000000"/>
              <w:right w:val="single" w:sz="8" w:space="0" w:color="0070C0"/>
            </w:tcBorders>
            <w:shd w:val="clear" w:color="auto" w:fill="auto"/>
            <w:vAlign w:val="center"/>
          </w:tcPr>
          <w:p w14:paraId="2EECE219" w14:textId="739171D2" w:rsidR="00A9357C" w:rsidRPr="00443C1D" w:rsidRDefault="00A9357C" w:rsidP="00675D1F">
            <w:pPr>
              <w:widowControl w:val="0"/>
              <w:numPr>
                <w:ilvl w:val="0"/>
                <w:numId w:val="1"/>
              </w:numPr>
              <w:tabs>
                <w:tab w:val="left" w:pos="220"/>
                <w:tab w:val="left" w:pos="720"/>
              </w:tabs>
              <w:autoSpaceDE w:val="0"/>
              <w:autoSpaceDN w:val="0"/>
              <w:adjustRightInd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2.59%</w:t>
            </w:r>
          </w:p>
        </w:tc>
        <w:tc>
          <w:tcPr>
            <w:tcW w:w="1385" w:type="dxa"/>
            <w:tcBorders>
              <w:top w:val="single" w:sz="4" w:space="0" w:color="000000"/>
              <w:left w:val="single" w:sz="8" w:space="0" w:color="0070C0"/>
              <w:bottom w:val="single" w:sz="4" w:space="0" w:color="000000"/>
              <w:right w:val="single" w:sz="12" w:space="0" w:color="auto"/>
            </w:tcBorders>
            <w:shd w:val="clear" w:color="auto" w:fill="00B050"/>
            <w:vAlign w:val="center"/>
          </w:tcPr>
          <w:p w14:paraId="50AA9E77" w14:textId="79DF891A" w:rsidR="00A9357C" w:rsidRPr="00443C1D" w:rsidRDefault="00A9357C" w:rsidP="00675D1F">
            <w:pPr>
              <w:widowControl w:val="0"/>
              <w:numPr>
                <w:ilvl w:val="0"/>
                <w:numId w:val="1"/>
              </w:numPr>
              <w:tabs>
                <w:tab w:val="left" w:pos="220"/>
                <w:tab w:val="left" w:pos="720"/>
              </w:tabs>
              <w:autoSpaceDE w:val="0"/>
              <w:autoSpaceDN w:val="0"/>
              <w:adjustRightInd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4.06%</w:t>
            </w:r>
          </w:p>
        </w:tc>
      </w:tr>
      <w:tr w:rsidR="00A9357C" w:rsidRPr="00443C1D" w14:paraId="7D575C09" w14:textId="77777777" w:rsidTr="00A9357C">
        <w:tblPrEx>
          <w:tblBorders>
            <w:top w:val="none" w:sz="0" w:space="0" w:color="auto"/>
          </w:tblBorders>
        </w:tblPrEx>
        <w:trPr>
          <w:jc w:val="center"/>
        </w:trPr>
        <w:tc>
          <w:tcPr>
            <w:tcW w:w="3300" w:type="dxa"/>
            <w:tcBorders>
              <w:top w:val="single" w:sz="4" w:space="0" w:color="000000"/>
              <w:left w:val="single" w:sz="12" w:space="0" w:color="000000"/>
              <w:bottom w:val="single" w:sz="4" w:space="0" w:color="000000"/>
              <w:right w:val="single" w:sz="18" w:space="0" w:color="0070C0"/>
            </w:tcBorders>
            <w:vAlign w:val="center"/>
          </w:tcPr>
          <w:p w14:paraId="3A239008" w14:textId="54219118" w:rsidR="00A9357C" w:rsidRPr="00443C1D" w:rsidRDefault="00A9357C" w:rsidP="00675D1F">
            <w:pPr>
              <w:widowControl w:val="0"/>
              <w:tabs>
                <w:tab w:val="left" w:pos="220"/>
                <w:tab w:val="left" w:pos="720"/>
              </w:tabs>
              <w:autoSpaceDE w:val="0"/>
              <w:autoSpaceDN w:val="0"/>
              <w:adjustRightInd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Region: Northeast</w:t>
            </w:r>
          </w:p>
        </w:tc>
        <w:tc>
          <w:tcPr>
            <w:tcW w:w="1385" w:type="dxa"/>
            <w:tcBorders>
              <w:top w:val="single" w:sz="4" w:space="0" w:color="000000"/>
              <w:left w:val="single" w:sz="18" w:space="0" w:color="0070C0"/>
              <w:bottom w:val="single" w:sz="4" w:space="0" w:color="000000"/>
              <w:right w:val="single" w:sz="8" w:space="0" w:color="0070C0"/>
            </w:tcBorders>
            <w:shd w:val="clear" w:color="auto" w:fill="auto"/>
            <w:vAlign w:val="center"/>
          </w:tcPr>
          <w:p w14:paraId="01595721" w14:textId="01BC3816" w:rsidR="00A9357C" w:rsidRPr="00443C1D" w:rsidRDefault="00A9357C" w:rsidP="00675D1F">
            <w:pPr>
              <w:widowControl w:val="0"/>
              <w:numPr>
                <w:ilvl w:val="0"/>
                <w:numId w:val="1"/>
              </w:numPr>
              <w:tabs>
                <w:tab w:val="left" w:pos="220"/>
                <w:tab w:val="left" w:pos="720"/>
              </w:tabs>
              <w:autoSpaceDE w:val="0"/>
              <w:autoSpaceDN w:val="0"/>
              <w:adjustRightInd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2.18%</w:t>
            </w:r>
          </w:p>
        </w:tc>
        <w:tc>
          <w:tcPr>
            <w:tcW w:w="1385" w:type="dxa"/>
            <w:tcBorders>
              <w:top w:val="single" w:sz="4" w:space="0" w:color="000000"/>
              <w:left w:val="single" w:sz="8" w:space="0" w:color="0070C0"/>
              <w:bottom w:val="single" w:sz="4" w:space="0" w:color="000000"/>
              <w:right w:val="single" w:sz="12" w:space="0" w:color="auto"/>
            </w:tcBorders>
            <w:shd w:val="clear" w:color="auto" w:fill="00B050"/>
            <w:vAlign w:val="center"/>
          </w:tcPr>
          <w:p w14:paraId="5B7046C2" w14:textId="60010ADF" w:rsidR="00A9357C" w:rsidRPr="00443C1D" w:rsidRDefault="00A9357C" w:rsidP="00675D1F">
            <w:pPr>
              <w:widowControl w:val="0"/>
              <w:numPr>
                <w:ilvl w:val="0"/>
                <w:numId w:val="1"/>
              </w:numPr>
              <w:tabs>
                <w:tab w:val="left" w:pos="220"/>
                <w:tab w:val="left" w:pos="720"/>
              </w:tabs>
              <w:autoSpaceDE w:val="0"/>
              <w:autoSpaceDN w:val="0"/>
              <w:adjustRightInd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3.27%</w:t>
            </w:r>
          </w:p>
        </w:tc>
      </w:tr>
      <w:tr w:rsidR="00A9357C" w:rsidRPr="00443C1D" w14:paraId="58808EE1" w14:textId="77777777" w:rsidTr="00A9357C">
        <w:tblPrEx>
          <w:tblBorders>
            <w:top w:val="none" w:sz="0" w:space="0" w:color="auto"/>
          </w:tblBorders>
        </w:tblPrEx>
        <w:trPr>
          <w:jc w:val="center"/>
        </w:trPr>
        <w:tc>
          <w:tcPr>
            <w:tcW w:w="3300" w:type="dxa"/>
            <w:tcBorders>
              <w:top w:val="single" w:sz="4" w:space="0" w:color="000000"/>
              <w:left w:val="single" w:sz="12" w:space="0" w:color="000000"/>
              <w:bottom w:val="single" w:sz="4" w:space="0" w:color="000000"/>
              <w:right w:val="single" w:sz="18" w:space="0" w:color="0070C0"/>
            </w:tcBorders>
            <w:vAlign w:val="center"/>
          </w:tcPr>
          <w:p w14:paraId="17003A63" w14:textId="7678F6A5" w:rsidR="00A9357C" w:rsidRPr="00443C1D" w:rsidRDefault="00A9357C" w:rsidP="00675D1F">
            <w:pPr>
              <w:widowControl w:val="0"/>
              <w:tabs>
                <w:tab w:val="left" w:pos="220"/>
                <w:tab w:val="left" w:pos="720"/>
              </w:tabs>
              <w:autoSpaceDE w:val="0"/>
              <w:autoSpaceDN w:val="0"/>
              <w:adjustRightInd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Region: South</w:t>
            </w:r>
          </w:p>
        </w:tc>
        <w:tc>
          <w:tcPr>
            <w:tcW w:w="1385" w:type="dxa"/>
            <w:tcBorders>
              <w:top w:val="single" w:sz="4" w:space="0" w:color="000000"/>
              <w:left w:val="single" w:sz="18" w:space="0" w:color="0070C0"/>
              <w:bottom w:val="single" w:sz="4" w:space="0" w:color="000000"/>
              <w:right w:val="single" w:sz="8" w:space="0" w:color="0070C0"/>
            </w:tcBorders>
            <w:shd w:val="clear" w:color="auto" w:fill="auto"/>
            <w:vAlign w:val="center"/>
          </w:tcPr>
          <w:p w14:paraId="7ECCA2C8" w14:textId="2D4D20BE" w:rsidR="00A9357C" w:rsidRPr="00443C1D" w:rsidRDefault="00A9357C" w:rsidP="00675D1F">
            <w:pPr>
              <w:widowControl w:val="0"/>
              <w:numPr>
                <w:ilvl w:val="0"/>
                <w:numId w:val="1"/>
              </w:numPr>
              <w:tabs>
                <w:tab w:val="left" w:pos="220"/>
                <w:tab w:val="left" w:pos="720"/>
              </w:tabs>
              <w:autoSpaceDE w:val="0"/>
              <w:autoSpaceDN w:val="0"/>
              <w:adjustRightInd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2.42%</w:t>
            </w:r>
          </w:p>
        </w:tc>
        <w:tc>
          <w:tcPr>
            <w:tcW w:w="1385" w:type="dxa"/>
            <w:tcBorders>
              <w:top w:val="single" w:sz="4" w:space="0" w:color="000000"/>
              <w:left w:val="single" w:sz="8" w:space="0" w:color="0070C0"/>
              <w:bottom w:val="single" w:sz="4" w:space="0" w:color="000000"/>
              <w:right w:val="single" w:sz="12" w:space="0" w:color="auto"/>
            </w:tcBorders>
            <w:shd w:val="clear" w:color="auto" w:fill="C2D69B" w:themeFill="accent3" w:themeFillTint="99"/>
            <w:vAlign w:val="center"/>
          </w:tcPr>
          <w:p w14:paraId="0B8DC30D" w14:textId="05E93527" w:rsidR="00A9357C" w:rsidRPr="00443C1D" w:rsidRDefault="00A9357C" w:rsidP="00675D1F">
            <w:pPr>
              <w:widowControl w:val="0"/>
              <w:numPr>
                <w:ilvl w:val="0"/>
                <w:numId w:val="1"/>
              </w:numPr>
              <w:tabs>
                <w:tab w:val="left" w:pos="220"/>
                <w:tab w:val="left" w:pos="720"/>
              </w:tabs>
              <w:autoSpaceDE w:val="0"/>
              <w:autoSpaceDN w:val="0"/>
              <w:adjustRightInd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3.37%</w:t>
            </w:r>
          </w:p>
        </w:tc>
      </w:tr>
      <w:tr w:rsidR="00A9357C" w:rsidRPr="00443C1D" w14:paraId="37C0956B" w14:textId="77777777" w:rsidTr="00A9357C">
        <w:tblPrEx>
          <w:tblBorders>
            <w:top w:val="none" w:sz="0" w:space="0" w:color="auto"/>
          </w:tblBorders>
        </w:tblPrEx>
        <w:trPr>
          <w:jc w:val="center"/>
        </w:trPr>
        <w:tc>
          <w:tcPr>
            <w:tcW w:w="3300" w:type="dxa"/>
            <w:tcBorders>
              <w:top w:val="single" w:sz="4" w:space="0" w:color="000000"/>
              <w:left w:val="single" w:sz="12" w:space="0" w:color="000000"/>
              <w:bottom w:val="single" w:sz="4" w:space="0" w:color="000000"/>
              <w:right w:val="single" w:sz="18" w:space="0" w:color="0070C0"/>
            </w:tcBorders>
            <w:vAlign w:val="center"/>
          </w:tcPr>
          <w:p w14:paraId="56F640AD" w14:textId="35AB40C2" w:rsidR="00A9357C" w:rsidRPr="00443C1D" w:rsidRDefault="00A9357C" w:rsidP="00675D1F">
            <w:pPr>
              <w:widowControl w:val="0"/>
              <w:tabs>
                <w:tab w:val="left" w:pos="220"/>
                <w:tab w:val="left" w:pos="720"/>
              </w:tabs>
              <w:autoSpaceDE w:val="0"/>
              <w:autoSpaceDN w:val="0"/>
              <w:adjustRightInd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Region: Midwest</w:t>
            </w:r>
          </w:p>
        </w:tc>
        <w:tc>
          <w:tcPr>
            <w:tcW w:w="1385" w:type="dxa"/>
            <w:tcBorders>
              <w:top w:val="single" w:sz="4" w:space="0" w:color="000000"/>
              <w:left w:val="single" w:sz="18" w:space="0" w:color="0070C0"/>
              <w:bottom w:val="single" w:sz="4" w:space="0" w:color="000000"/>
              <w:right w:val="single" w:sz="8" w:space="0" w:color="0070C0"/>
            </w:tcBorders>
            <w:shd w:val="clear" w:color="auto" w:fill="auto"/>
            <w:vAlign w:val="center"/>
          </w:tcPr>
          <w:p w14:paraId="401C1F1D" w14:textId="5CD38297" w:rsidR="00A9357C" w:rsidRPr="00443C1D" w:rsidRDefault="00A9357C" w:rsidP="00675D1F">
            <w:pPr>
              <w:widowControl w:val="0"/>
              <w:numPr>
                <w:ilvl w:val="0"/>
                <w:numId w:val="1"/>
              </w:numPr>
              <w:tabs>
                <w:tab w:val="left" w:pos="220"/>
                <w:tab w:val="left" w:pos="720"/>
              </w:tabs>
              <w:autoSpaceDE w:val="0"/>
              <w:autoSpaceDN w:val="0"/>
              <w:adjustRightInd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2.55%</w:t>
            </w:r>
          </w:p>
        </w:tc>
        <w:tc>
          <w:tcPr>
            <w:tcW w:w="1385" w:type="dxa"/>
            <w:tcBorders>
              <w:top w:val="single" w:sz="4" w:space="0" w:color="000000"/>
              <w:left w:val="single" w:sz="8" w:space="0" w:color="0070C0"/>
              <w:bottom w:val="single" w:sz="4" w:space="0" w:color="000000"/>
              <w:right w:val="single" w:sz="12" w:space="0" w:color="auto"/>
            </w:tcBorders>
            <w:shd w:val="clear" w:color="auto" w:fill="D6E3BC" w:themeFill="accent3" w:themeFillTint="66"/>
            <w:vAlign w:val="center"/>
          </w:tcPr>
          <w:p w14:paraId="11E27574" w14:textId="1AC5A382" w:rsidR="00A9357C" w:rsidRPr="00443C1D" w:rsidRDefault="00A9357C" w:rsidP="00675D1F">
            <w:pPr>
              <w:widowControl w:val="0"/>
              <w:numPr>
                <w:ilvl w:val="0"/>
                <w:numId w:val="1"/>
              </w:numPr>
              <w:tabs>
                <w:tab w:val="left" w:pos="220"/>
                <w:tab w:val="left" w:pos="720"/>
              </w:tabs>
              <w:autoSpaceDE w:val="0"/>
              <w:autoSpaceDN w:val="0"/>
              <w:adjustRightInd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2.92%</w:t>
            </w:r>
          </w:p>
        </w:tc>
      </w:tr>
      <w:tr w:rsidR="00A9357C" w:rsidRPr="00443C1D" w14:paraId="29DE41A9" w14:textId="77777777" w:rsidTr="00A9357C">
        <w:tblPrEx>
          <w:tblBorders>
            <w:top w:val="none" w:sz="0" w:space="0" w:color="auto"/>
          </w:tblBorders>
        </w:tblPrEx>
        <w:trPr>
          <w:jc w:val="center"/>
        </w:trPr>
        <w:tc>
          <w:tcPr>
            <w:tcW w:w="3300" w:type="dxa"/>
            <w:tcBorders>
              <w:top w:val="single" w:sz="4" w:space="0" w:color="000000"/>
              <w:left w:val="single" w:sz="12" w:space="0" w:color="000000"/>
              <w:bottom w:val="single" w:sz="12" w:space="0" w:color="000000"/>
              <w:right w:val="single" w:sz="18" w:space="0" w:color="0070C0"/>
            </w:tcBorders>
            <w:vAlign w:val="center"/>
          </w:tcPr>
          <w:p w14:paraId="7230FF23" w14:textId="4C6C9EBB" w:rsidR="00A9357C" w:rsidRPr="00443C1D" w:rsidRDefault="00A9357C" w:rsidP="00675D1F">
            <w:pPr>
              <w:widowControl w:val="0"/>
              <w:tabs>
                <w:tab w:val="left" w:pos="220"/>
                <w:tab w:val="left" w:pos="720"/>
              </w:tabs>
              <w:autoSpaceDE w:val="0"/>
              <w:autoSpaceDN w:val="0"/>
              <w:adjustRightInd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Region: West</w:t>
            </w:r>
          </w:p>
        </w:tc>
        <w:tc>
          <w:tcPr>
            <w:tcW w:w="1385" w:type="dxa"/>
            <w:tcBorders>
              <w:top w:val="single" w:sz="4" w:space="0" w:color="000000"/>
              <w:left w:val="single" w:sz="18" w:space="0" w:color="0070C0"/>
              <w:bottom w:val="single" w:sz="12" w:space="0" w:color="000000"/>
              <w:right w:val="single" w:sz="8" w:space="0" w:color="0070C0"/>
            </w:tcBorders>
            <w:shd w:val="clear" w:color="auto" w:fill="auto"/>
            <w:vAlign w:val="center"/>
          </w:tcPr>
          <w:p w14:paraId="5CB8D6AD" w14:textId="534C0D4E" w:rsidR="00A9357C" w:rsidRPr="00443C1D" w:rsidRDefault="00A9357C" w:rsidP="00675D1F">
            <w:pPr>
              <w:widowControl w:val="0"/>
              <w:numPr>
                <w:ilvl w:val="0"/>
                <w:numId w:val="1"/>
              </w:numPr>
              <w:tabs>
                <w:tab w:val="left" w:pos="220"/>
                <w:tab w:val="left" w:pos="720"/>
              </w:tabs>
              <w:autoSpaceDE w:val="0"/>
              <w:autoSpaceDN w:val="0"/>
              <w:adjustRightInd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2.39%</w:t>
            </w:r>
          </w:p>
        </w:tc>
        <w:tc>
          <w:tcPr>
            <w:tcW w:w="1385" w:type="dxa"/>
            <w:tcBorders>
              <w:top w:val="single" w:sz="4" w:space="0" w:color="000000"/>
              <w:left w:val="single" w:sz="8" w:space="0" w:color="0070C0"/>
              <w:bottom w:val="single" w:sz="12" w:space="0" w:color="000000"/>
              <w:right w:val="single" w:sz="12" w:space="0" w:color="auto"/>
            </w:tcBorders>
            <w:shd w:val="clear" w:color="auto" w:fill="C2D69B" w:themeFill="accent3" w:themeFillTint="99"/>
            <w:vAlign w:val="center"/>
          </w:tcPr>
          <w:p w14:paraId="3A109984" w14:textId="220759B4" w:rsidR="00A9357C" w:rsidRPr="00007472" w:rsidRDefault="00A9357C" w:rsidP="00675D1F">
            <w:pPr>
              <w:widowControl w:val="0"/>
              <w:numPr>
                <w:ilvl w:val="0"/>
                <w:numId w:val="1"/>
              </w:numPr>
              <w:tabs>
                <w:tab w:val="left" w:pos="220"/>
                <w:tab w:val="left" w:pos="720"/>
              </w:tabs>
              <w:autoSpaceDE w:val="0"/>
              <w:autoSpaceDN w:val="0"/>
              <w:adjustRightInd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3.16%</w:t>
            </w:r>
          </w:p>
        </w:tc>
      </w:tr>
    </w:tbl>
    <w:p w14:paraId="4E89A8AA" w14:textId="77777777" w:rsidR="00A9357C" w:rsidRDefault="00A9357C" w:rsidP="00A9357C">
      <w:pPr>
        <w:tabs>
          <w:tab w:val="left" w:pos="1620"/>
        </w:tabs>
        <w:spacing w:after="0" w:line="240" w:lineRule="auto"/>
        <w:contextualSpacing/>
        <w:mirrorIndents/>
        <w:rPr>
          <w:rFonts w:ascii="Verdana" w:hAnsi="Verdana"/>
          <w:sz w:val="16"/>
          <w:szCs w:val="16"/>
        </w:rPr>
      </w:pPr>
      <w:r>
        <w:rPr>
          <w:rFonts w:ascii="Verdana" w:hAnsi="Verdana"/>
          <w:iCs/>
          <w:sz w:val="16"/>
          <w:szCs w:val="16"/>
        </w:rPr>
        <w:tab/>
        <w:t>Federal Reserve Bank of New York</w:t>
      </w:r>
      <w:r>
        <w:rPr>
          <w:rFonts w:ascii="Verdana" w:hAnsi="Verdana"/>
          <w:sz w:val="16"/>
          <w:szCs w:val="16"/>
        </w:rPr>
        <w:t>, May 2022</w:t>
      </w:r>
      <w:r>
        <w:rPr>
          <w:rFonts w:ascii="Verdana" w:hAnsi="Verdana"/>
          <w:sz w:val="16"/>
          <w:szCs w:val="16"/>
        </w:rPr>
        <w:tab/>
      </w:r>
    </w:p>
    <w:p w14:paraId="12186B69" w14:textId="77777777" w:rsidR="00A9357C" w:rsidRPr="00443C1D" w:rsidRDefault="00A9357C" w:rsidP="00A9357C">
      <w:pPr>
        <w:tabs>
          <w:tab w:val="left" w:pos="1620"/>
        </w:tabs>
        <w:spacing w:after="0" w:line="240" w:lineRule="auto"/>
        <w:contextualSpacing/>
        <w:mirrorIndents/>
        <w:rPr>
          <w:rFonts w:ascii="Verdana" w:hAnsi="Verdana"/>
          <w:sz w:val="16"/>
          <w:szCs w:val="16"/>
        </w:rPr>
      </w:pPr>
      <w:r>
        <w:rPr>
          <w:rFonts w:ascii="Verdana" w:hAnsi="Verdana"/>
          <w:sz w:val="16"/>
          <w:szCs w:val="16"/>
        </w:rPr>
        <w:tab/>
        <w:t>(color represents change from one year ago to one year ahead)</w:t>
      </w:r>
    </w:p>
    <w:p w14:paraId="3CDFB8E2" w14:textId="77777777" w:rsidR="00F94CE8" w:rsidRDefault="00F94CE8" w:rsidP="00F94CE8">
      <w:pPr>
        <w:pStyle w:val="NoSpacing"/>
        <w:contextualSpacing/>
        <w:rPr>
          <w:sz w:val="20"/>
          <w:szCs w:val="20"/>
        </w:rPr>
      </w:pPr>
    </w:p>
    <w:p w14:paraId="3C35B056" w14:textId="4E5BF389" w:rsidR="00F94CE8" w:rsidRDefault="00F94CE8" w:rsidP="00F94CE8">
      <w:pPr>
        <w:pStyle w:val="NoSpacing"/>
        <w:contextualSpacing/>
        <w:rPr>
          <w:sz w:val="20"/>
          <w:szCs w:val="20"/>
        </w:rPr>
      </w:pPr>
    </w:p>
    <w:p w14:paraId="65280F0F" w14:textId="77777777" w:rsidR="00FD1A45" w:rsidRDefault="00FD1A45" w:rsidP="00F94CE8">
      <w:pPr>
        <w:pStyle w:val="NoSpacing"/>
        <w:contextualSpacing/>
        <w:rPr>
          <w:sz w:val="20"/>
          <w:szCs w:val="20"/>
        </w:rPr>
      </w:pPr>
    </w:p>
    <w:p w14:paraId="5F00BC71" w14:textId="77777777" w:rsidR="00A9357C" w:rsidRDefault="00A9357C" w:rsidP="00F94CE8">
      <w:pPr>
        <w:pStyle w:val="NoSpacing"/>
        <w:contextualSpacing/>
        <w:rPr>
          <w:sz w:val="20"/>
          <w:szCs w:val="20"/>
        </w:rPr>
      </w:pPr>
    </w:p>
    <w:p w14:paraId="72BAAFC7" w14:textId="32A89171" w:rsidR="00F94CE8" w:rsidRPr="00A9357C" w:rsidRDefault="00F94CE8" w:rsidP="00F94CE8">
      <w:pPr>
        <w:spacing w:after="0" w:line="240" w:lineRule="auto"/>
        <w:rPr>
          <w:rFonts w:ascii="Verdana" w:hAnsi="Verdana"/>
          <w:sz w:val="16"/>
          <w:szCs w:val="16"/>
        </w:rPr>
      </w:pPr>
      <w:r w:rsidRPr="00A9357C">
        <w:rPr>
          <w:rFonts w:ascii="Verdana" w:hAnsi="Verdana"/>
          <w:i/>
          <w:sz w:val="16"/>
          <w:szCs w:val="16"/>
        </w:rPr>
        <w:t>Sources:</w:t>
      </w:r>
      <w:r w:rsidRPr="00A9357C">
        <w:rPr>
          <w:rFonts w:ascii="Verdana" w:hAnsi="Verdana"/>
          <w:sz w:val="16"/>
          <w:szCs w:val="16"/>
        </w:rPr>
        <w:t xml:space="preserve"> </w:t>
      </w:r>
      <w:r w:rsidR="00A9357C" w:rsidRPr="00A9357C">
        <w:rPr>
          <w:sz w:val="16"/>
          <w:szCs w:val="16"/>
        </w:rPr>
        <w:t xml:space="preserve">Payment Dive </w:t>
      </w:r>
      <w:r w:rsidRPr="00A9357C">
        <w:rPr>
          <w:rFonts w:ascii="Verdana" w:hAnsi="Verdana"/>
          <w:sz w:val="16"/>
          <w:szCs w:val="16"/>
        </w:rPr>
        <w:t xml:space="preserve">Website, </w:t>
      </w:r>
      <w:r w:rsidR="005610BD" w:rsidRPr="00A9357C">
        <w:rPr>
          <w:rFonts w:ascii="Verdana" w:hAnsi="Verdana"/>
          <w:sz w:val="16"/>
          <w:szCs w:val="16"/>
        </w:rPr>
        <w:t>5</w:t>
      </w:r>
      <w:r w:rsidR="00306D88" w:rsidRPr="00A9357C">
        <w:rPr>
          <w:rFonts w:ascii="Verdana" w:hAnsi="Verdana"/>
          <w:sz w:val="16"/>
          <w:szCs w:val="16"/>
        </w:rPr>
        <w:t>/</w:t>
      </w:r>
      <w:r w:rsidR="00AE6B2A" w:rsidRPr="00A9357C">
        <w:rPr>
          <w:rFonts w:ascii="Verdana" w:hAnsi="Verdana"/>
          <w:sz w:val="16"/>
          <w:szCs w:val="16"/>
        </w:rPr>
        <w:t>2</w:t>
      </w:r>
      <w:r w:rsidR="00C8473A" w:rsidRPr="00A9357C">
        <w:rPr>
          <w:rFonts w:ascii="Verdana" w:hAnsi="Verdana"/>
          <w:sz w:val="16"/>
          <w:szCs w:val="16"/>
        </w:rPr>
        <w:t>2</w:t>
      </w:r>
      <w:r w:rsidRPr="00A9357C">
        <w:rPr>
          <w:rFonts w:ascii="Verdana" w:hAnsi="Verdana"/>
          <w:sz w:val="16"/>
          <w:szCs w:val="16"/>
        </w:rPr>
        <w:t xml:space="preserve">; </w:t>
      </w:r>
      <w:r w:rsidR="00A9357C" w:rsidRPr="00A9357C">
        <w:rPr>
          <w:sz w:val="16"/>
          <w:szCs w:val="16"/>
        </w:rPr>
        <w:t xml:space="preserve">Federal Reserve Bank of New York </w:t>
      </w:r>
      <w:r w:rsidRPr="00A9357C">
        <w:rPr>
          <w:rFonts w:ascii="Verdana" w:hAnsi="Verdana"/>
          <w:sz w:val="16"/>
          <w:szCs w:val="16"/>
        </w:rPr>
        <w:t xml:space="preserve">Website, </w:t>
      </w:r>
      <w:r w:rsidR="005610BD" w:rsidRPr="00A9357C">
        <w:rPr>
          <w:rFonts w:ascii="Verdana" w:hAnsi="Verdana"/>
          <w:sz w:val="16"/>
          <w:szCs w:val="16"/>
        </w:rPr>
        <w:t>5</w:t>
      </w:r>
      <w:r w:rsidR="004E421A" w:rsidRPr="00A9357C">
        <w:rPr>
          <w:rFonts w:ascii="Verdana" w:hAnsi="Verdana"/>
          <w:sz w:val="16"/>
          <w:szCs w:val="16"/>
        </w:rPr>
        <w:t>/</w:t>
      </w:r>
      <w:r w:rsidR="00AE6B2A" w:rsidRPr="00A9357C">
        <w:rPr>
          <w:rFonts w:ascii="Verdana" w:hAnsi="Verdana"/>
          <w:sz w:val="16"/>
          <w:szCs w:val="16"/>
        </w:rPr>
        <w:t>2</w:t>
      </w:r>
      <w:r w:rsidR="00C8473A" w:rsidRPr="00A9357C">
        <w:rPr>
          <w:rFonts w:ascii="Verdana" w:hAnsi="Verdana"/>
          <w:sz w:val="16"/>
          <w:szCs w:val="16"/>
        </w:rPr>
        <w:t>2</w:t>
      </w:r>
      <w:r w:rsidRPr="00A9357C">
        <w:rPr>
          <w:rFonts w:ascii="Verdana" w:hAnsi="Verdana"/>
          <w:sz w:val="16"/>
          <w:szCs w:val="16"/>
        </w:rPr>
        <w:t xml:space="preserve">; </w:t>
      </w:r>
      <w:r w:rsidR="00A9357C" w:rsidRPr="00A9357C">
        <w:rPr>
          <w:sz w:val="16"/>
          <w:szCs w:val="16"/>
        </w:rPr>
        <w:t>Ipsos</w:t>
      </w:r>
      <w:r w:rsidR="009A3EBE" w:rsidRPr="00A9357C">
        <w:rPr>
          <w:rFonts w:ascii="Verdana" w:hAnsi="Verdana"/>
          <w:sz w:val="16"/>
          <w:szCs w:val="16"/>
        </w:rPr>
        <w:t xml:space="preserve"> </w:t>
      </w:r>
      <w:r w:rsidRPr="00A9357C">
        <w:rPr>
          <w:rFonts w:ascii="Verdana" w:hAnsi="Verdana"/>
          <w:sz w:val="16"/>
          <w:szCs w:val="16"/>
        </w:rPr>
        <w:t>Website</w:t>
      </w:r>
      <w:r w:rsidR="00A00453" w:rsidRPr="00A9357C">
        <w:rPr>
          <w:rFonts w:ascii="Verdana" w:hAnsi="Verdana"/>
          <w:sz w:val="16"/>
          <w:szCs w:val="16"/>
        </w:rPr>
        <w:t xml:space="preserve">, </w:t>
      </w:r>
      <w:r w:rsidR="005610BD" w:rsidRPr="00A9357C">
        <w:rPr>
          <w:rFonts w:ascii="Verdana" w:hAnsi="Verdana"/>
          <w:sz w:val="16"/>
          <w:szCs w:val="16"/>
        </w:rPr>
        <w:t>5</w:t>
      </w:r>
      <w:r w:rsidR="00306D88" w:rsidRPr="00A9357C">
        <w:rPr>
          <w:rFonts w:ascii="Verdana" w:hAnsi="Verdana"/>
          <w:sz w:val="16"/>
          <w:szCs w:val="16"/>
        </w:rPr>
        <w:t>/</w:t>
      </w:r>
      <w:r w:rsidR="00AE6B2A" w:rsidRPr="00A9357C">
        <w:rPr>
          <w:rFonts w:ascii="Verdana" w:hAnsi="Verdana"/>
          <w:sz w:val="16"/>
          <w:szCs w:val="16"/>
        </w:rPr>
        <w:t>2</w:t>
      </w:r>
      <w:r w:rsidR="00C8473A" w:rsidRPr="00A9357C">
        <w:rPr>
          <w:rFonts w:ascii="Verdana" w:hAnsi="Verdana"/>
          <w:sz w:val="16"/>
          <w:szCs w:val="16"/>
        </w:rPr>
        <w:t>2</w:t>
      </w:r>
      <w:r w:rsidR="00A9357C">
        <w:rPr>
          <w:rFonts w:ascii="Verdana" w:hAnsi="Verdana"/>
          <w:sz w:val="16"/>
          <w:szCs w:val="16"/>
        </w:rPr>
        <w:t>;</w:t>
      </w:r>
      <w:r w:rsidR="00A9357C" w:rsidRPr="00A9357C">
        <w:rPr>
          <w:rFonts w:ascii="Verdana" w:hAnsi="Verdana"/>
          <w:sz w:val="16"/>
          <w:szCs w:val="16"/>
        </w:rPr>
        <w:t xml:space="preserve"> </w:t>
      </w:r>
      <w:r w:rsidR="00A9357C" w:rsidRPr="00A9357C">
        <w:rPr>
          <w:sz w:val="16"/>
          <w:szCs w:val="16"/>
        </w:rPr>
        <w:t>Reuters Website</w:t>
      </w:r>
      <w:r w:rsidR="00A9357C" w:rsidRPr="00A9357C">
        <w:rPr>
          <w:rFonts w:ascii="Verdana" w:hAnsi="Verdana"/>
          <w:sz w:val="16"/>
          <w:szCs w:val="16"/>
        </w:rPr>
        <w:t>, 5/22</w:t>
      </w:r>
      <w:r w:rsidR="00A9357C">
        <w:rPr>
          <w:rFonts w:ascii="Verdana" w:hAnsi="Verdana"/>
          <w:sz w:val="16"/>
          <w:szCs w:val="16"/>
        </w:rPr>
        <w:t>;</w:t>
      </w:r>
      <w:r w:rsidR="00A9357C" w:rsidRPr="00A9357C">
        <w:rPr>
          <w:rFonts w:ascii="Verdana" w:hAnsi="Verdana"/>
          <w:sz w:val="16"/>
          <w:szCs w:val="16"/>
        </w:rPr>
        <w:t xml:space="preserve"> </w:t>
      </w:r>
      <w:r w:rsidR="00A9357C" w:rsidRPr="00A9357C">
        <w:rPr>
          <w:sz w:val="16"/>
          <w:szCs w:val="16"/>
        </w:rPr>
        <w:t xml:space="preserve"> CreditCards.com Website</w:t>
      </w:r>
      <w:r w:rsidR="00A9357C" w:rsidRPr="00A9357C">
        <w:rPr>
          <w:rFonts w:ascii="Verdana" w:hAnsi="Verdana"/>
          <w:sz w:val="16"/>
          <w:szCs w:val="16"/>
        </w:rPr>
        <w:t>, 5/22</w:t>
      </w:r>
      <w:r w:rsidR="00A9357C">
        <w:rPr>
          <w:rFonts w:ascii="Verdana" w:hAnsi="Verdana"/>
          <w:sz w:val="16"/>
          <w:szCs w:val="16"/>
        </w:rPr>
        <w:t>;</w:t>
      </w:r>
      <w:r w:rsidR="00A9357C" w:rsidRPr="00A9357C">
        <w:rPr>
          <w:rFonts w:ascii="Verdana" w:hAnsi="Verdana"/>
          <w:sz w:val="16"/>
          <w:szCs w:val="16"/>
        </w:rPr>
        <w:t xml:space="preserve"> </w:t>
      </w:r>
      <w:r w:rsidR="00A9357C" w:rsidRPr="00A9357C">
        <w:rPr>
          <w:sz w:val="16"/>
          <w:szCs w:val="16"/>
        </w:rPr>
        <w:t xml:space="preserve"> McKinsey &amp; Company Website</w:t>
      </w:r>
      <w:r w:rsidR="00A9357C" w:rsidRPr="00A9357C">
        <w:rPr>
          <w:rFonts w:ascii="Verdana" w:hAnsi="Verdana"/>
          <w:sz w:val="16"/>
          <w:szCs w:val="16"/>
        </w:rPr>
        <w:t>, 5/22</w:t>
      </w:r>
      <w:r w:rsidR="00A9357C">
        <w:rPr>
          <w:rFonts w:ascii="Verdana" w:hAnsi="Verdana"/>
          <w:sz w:val="16"/>
          <w:szCs w:val="16"/>
        </w:rPr>
        <w:t>;</w:t>
      </w:r>
      <w:r w:rsidR="00A9357C" w:rsidRPr="00A9357C">
        <w:rPr>
          <w:rFonts w:ascii="Verdana" w:hAnsi="Verdana"/>
          <w:sz w:val="16"/>
          <w:szCs w:val="16"/>
        </w:rPr>
        <w:t xml:space="preserve"> </w:t>
      </w:r>
      <w:r w:rsidR="00A9357C" w:rsidRPr="00A9357C">
        <w:rPr>
          <w:sz w:val="16"/>
          <w:szCs w:val="16"/>
        </w:rPr>
        <w:t xml:space="preserve"> Morning Consult Website</w:t>
      </w:r>
      <w:r w:rsidR="00A9357C" w:rsidRPr="00A9357C">
        <w:rPr>
          <w:rFonts w:ascii="Verdana" w:hAnsi="Verdana"/>
          <w:sz w:val="16"/>
          <w:szCs w:val="16"/>
        </w:rPr>
        <w:t>, 5/22</w:t>
      </w:r>
      <w:r w:rsidR="00A9357C">
        <w:rPr>
          <w:rFonts w:ascii="Verdana" w:hAnsi="Verdana"/>
          <w:sz w:val="16"/>
          <w:szCs w:val="16"/>
        </w:rPr>
        <w:t>;</w:t>
      </w:r>
      <w:r w:rsidR="00A9357C" w:rsidRPr="00A9357C">
        <w:rPr>
          <w:rFonts w:ascii="Verdana" w:hAnsi="Verdana"/>
          <w:sz w:val="16"/>
          <w:szCs w:val="16"/>
        </w:rPr>
        <w:t xml:space="preserve"> </w:t>
      </w:r>
      <w:r w:rsidR="00A9357C" w:rsidRPr="00A9357C">
        <w:rPr>
          <w:sz w:val="16"/>
          <w:szCs w:val="16"/>
        </w:rPr>
        <w:t xml:space="preserve"> The Media Audit Website</w:t>
      </w:r>
      <w:r w:rsidR="00A9357C" w:rsidRPr="00A9357C">
        <w:rPr>
          <w:rFonts w:ascii="Verdana" w:hAnsi="Verdana"/>
          <w:sz w:val="16"/>
          <w:szCs w:val="16"/>
        </w:rPr>
        <w:t>, 5/22</w:t>
      </w:r>
      <w:r w:rsidR="00A9357C">
        <w:rPr>
          <w:rFonts w:ascii="Verdana" w:hAnsi="Verdana"/>
          <w:sz w:val="16"/>
          <w:szCs w:val="16"/>
        </w:rPr>
        <w:t>.</w:t>
      </w:r>
    </w:p>
    <w:p w14:paraId="7EF64BA4" w14:textId="77777777" w:rsidR="00F94CE8" w:rsidRPr="00690E6A" w:rsidRDefault="00F94CE8" w:rsidP="00F94CE8">
      <w:pPr>
        <w:spacing w:after="0" w:line="240" w:lineRule="auto"/>
        <w:rPr>
          <w:rFonts w:ascii="Verdana" w:hAnsi="Verdana"/>
          <w:sz w:val="16"/>
        </w:rPr>
      </w:pPr>
    </w:p>
    <w:p w14:paraId="49C0D793" w14:textId="46F3EC19" w:rsidR="00F94CE8" w:rsidRPr="00690E6A" w:rsidRDefault="00F94CE8" w:rsidP="00F94CE8">
      <w:pPr>
        <w:spacing w:after="0" w:line="240" w:lineRule="auto"/>
        <w:rPr>
          <w:rFonts w:ascii="Verdana" w:hAnsi="Verdana"/>
          <w:strike/>
          <w:sz w:val="16"/>
        </w:rPr>
      </w:pPr>
      <w:r w:rsidRPr="00690E6A">
        <w:rPr>
          <w:rFonts w:ascii="Verdana" w:hAnsi="Verdana"/>
          <w:i/>
          <w:sz w:val="16"/>
        </w:rPr>
        <w:t>Updated</w:t>
      </w:r>
      <w:r w:rsidR="003F0FE1">
        <w:rPr>
          <w:rFonts w:ascii="Verdana" w:hAnsi="Verdana"/>
          <w:sz w:val="16"/>
        </w:rPr>
        <w:t xml:space="preserve">: </w:t>
      </w:r>
      <w:r w:rsidR="005610BD">
        <w:rPr>
          <w:rFonts w:ascii="Verdana" w:hAnsi="Verdana"/>
          <w:sz w:val="16"/>
        </w:rPr>
        <w:t>May</w:t>
      </w:r>
      <w:r w:rsidR="00C8473A">
        <w:rPr>
          <w:rFonts w:ascii="Verdana" w:hAnsi="Verdana"/>
          <w:sz w:val="16"/>
        </w:rPr>
        <w:t xml:space="preserve"> 2022</w:t>
      </w:r>
    </w:p>
    <w:p w14:paraId="061B0C21" w14:textId="77777777" w:rsidR="00F94CE8" w:rsidRDefault="00F94CE8" w:rsidP="00F94CE8">
      <w:pPr>
        <w:pStyle w:val="NoSpacing"/>
        <w:contextualSpacing/>
        <w:rPr>
          <w:sz w:val="20"/>
          <w:szCs w:val="20"/>
        </w:rPr>
      </w:pPr>
    </w:p>
    <w:p w14:paraId="56AD0CC7" w14:textId="00868E95" w:rsidR="00F94CE8" w:rsidRPr="00FF1EBA" w:rsidRDefault="00F94CE8" w:rsidP="00F94CE8">
      <w:pPr>
        <w:pStyle w:val="NoSpacing"/>
        <w:contextualSpacing/>
        <w:rPr>
          <w:sz w:val="16"/>
          <w:szCs w:val="16"/>
        </w:rPr>
      </w:pPr>
      <w:r w:rsidRPr="00FF1EBA">
        <w:rPr>
          <w:rFonts w:ascii="Verdana" w:hAnsi="Verdana"/>
          <w:sz w:val="16"/>
          <w:szCs w:val="16"/>
        </w:rPr>
        <w:t>©</w:t>
      </w:r>
      <w:r w:rsidR="00306D88">
        <w:rPr>
          <w:sz w:val="16"/>
          <w:szCs w:val="16"/>
        </w:rPr>
        <w:t xml:space="preserve"> 20</w:t>
      </w:r>
      <w:r w:rsidR="00AE6B2A">
        <w:rPr>
          <w:sz w:val="16"/>
          <w:szCs w:val="16"/>
        </w:rPr>
        <w:t>2</w:t>
      </w:r>
      <w:r w:rsidR="00C8473A">
        <w:rPr>
          <w:sz w:val="16"/>
          <w:szCs w:val="16"/>
        </w:rPr>
        <w:t>2</w:t>
      </w:r>
      <w:r>
        <w:rPr>
          <w:sz w:val="16"/>
          <w:szCs w:val="16"/>
        </w:rPr>
        <w:t xml:space="preserve"> Media Group Online, Inc</w:t>
      </w:r>
      <w:r w:rsidRPr="00FF1EBA">
        <w:rPr>
          <w:sz w:val="16"/>
          <w:szCs w:val="16"/>
        </w:rPr>
        <w:t>. All rights reserved.</w:t>
      </w:r>
    </w:p>
    <w:p w14:paraId="47D01060" w14:textId="64A6C5D5" w:rsidR="00F94CE8" w:rsidRDefault="00F94CE8" w:rsidP="00260DE9">
      <w:pPr>
        <w:pStyle w:val="NoSpacing"/>
        <w:rPr>
          <w:sz w:val="20"/>
          <w:szCs w:val="20"/>
        </w:rPr>
      </w:pPr>
    </w:p>
    <w:p w14:paraId="6D0066ED" w14:textId="4379772D" w:rsidR="00AE1F72" w:rsidRDefault="00AE1F72" w:rsidP="00260DE9">
      <w:pPr>
        <w:pStyle w:val="NoSpacing"/>
        <w:rPr>
          <w:sz w:val="20"/>
          <w:szCs w:val="20"/>
        </w:rPr>
      </w:pPr>
    </w:p>
    <w:p w14:paraId="25DDD48A" w14:textId="4A2F67C8" w:rsidR="00AE1F72" w:rsidRDefault="00AE1F72">
      <w:pPr>
        <w:rPr>
          <w:sz w:val="20"/>
          <w:szCs w:val="20"/>
        </w:rPr>
      </w:pPr>
      <w:r>
        <w:rPr>
          <w:sz w:val="20"/>
          <w:szCs w:val="20"/>
        </w:rPr>
        <w:br w:type="page"/>
      </w:r>
    </w:p>
    <w:p w14:paraId="392FDD45" w14:textId="1FFC3855" w:rsidR="00AE1F72" w:rsidRPr="00720E0B" w:rsidRDefault="00AE1F72" w:rsidP="00AE1F72">
      <w:pPr>
        <w:pStyle w:val="NoSpacing"/>
        <w:jc w:val="center"/>
        <w:rPr>
          <w:b/>
          <w:color w:val="0070C0"/>
          <w:sz w:val="20"/>
          <w:szCs w:val="20"/>
        </w:rPr>
      </w:pPr>
      <w:r w:rsidRPr="00720E0B">
        <w:rPr>
          <w:b/>
          <w:color w:val="0070C0"/>
          <w:sz w:val="20"/>
          <w:szCs w:val="20"/>
        </w:rPr>
        <w:lastRenderedPageBreak/>
        <w:t xml:space="preserve">Local </w:t>
      </w:r>
      <w:r w:rsidR="0050254D">
        <w:rPr>
          <w:b/>
          <w:color w:val="0070C0"/>
          <w:sz w:val="20"/>
          <w:szCs w:val="20"/>
        </w:rPr>
        <w:t xml:space="preserve">Market </w:t>
      </w:r>
      <w:r w:rsidRPr="00720E0B">
        <w:rPr>
          <w:b/>
          <w:color w:val="0070C0"/>
          <w:sz w:val="20"/>
          <w:szCs w:val="20"/>
        </w:rPr>
        <w:t>and Station Information</w:t>
      </w:r>
    </w:p>
    <w:p w14:paraId="17AD3F99" w14:textId="77777777" w:rsidR="00AE1F72" w:rsidRPr="00260DE9" w:rsidRDefault="00AE1F72" w:rsidP="00260DE9">
      <w:pPr>
        <w:pStyle w:val="NoSpacing"/>
        <w:rPr>
          <w:sz w:val="20"/>
          <w:szCs w:val="20"/>
        </w:rPr>
      </w:pPr>
    </w:p>
    <w:sectPr w:rsidR="00AE1F72" w:rsidRPr="00260DE9" w:rsidSect="00260DE9">
      <w:headerReference w:type="default" r:id="rId8"/>
      <w:footerReference w:type="default" r:id="rId9"/>
      <w:pgSz w:w="12240" w:h="15840" w:code="1"/>
      <w:pgMar w:top="2160" w:right="1440" w:bottom="1440" w:left="1440" w:header="144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8902A" w14:textId="77777777" w:rsidR="00932D77" w:rsidRDefault="00932D77" w:rsidP="00260DE9">
      <w:pPr>
        <w:spacing w:after="0" w:line="240" w:lineRule="auto"/>
      </w:pPr>
      <w:r>
        <w:separator/>
      </w:r>
    </w:p>
  </w:endnote>
  <w:endnote w:type="continuationSeparator" w:id="0">
    <w:p w14:paraId="21AA1A17" w14:textId="77777777" w:rsidR="00932D77" w:rsidRDefault="00932D77" w:rsidP="00260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B63B7" w14:textId="77777777" w:rsidR="003E2E9B" w:rsidRDefault="003E2E9B" w:rsidP="003E2E9B">
    <w:pPr>
      <w:pStyle w:val="Footer"/>
      <w:jc w:val="center"/>
      <w:rPr>
        <w:rFonts w:ascii="Arial" w:hAnsi="Arial" w:cs="Arial"/>
        <w:sz w:val="16"/>
        <w:szCs w:val="16"/>
      </w:rPr>
    </w:pPr>
    <w:r>
      <w:rPr>
        <w:rFonts w:ascii="Arial" w:hAnsi="Arial" w:cs="Arial"/>
        <w:noProof/>
        <w:sz w:val="16"/>
        <w:szCs w:val="16"/>
      </w:rPr>
      <w:drawing>
        <wp:inline distT="0" distB="0" distL="0" distR="0" wp14:anchorId="4724D9F8" wp14:editId="6BCACCF1">
          <wp:extent cx="300990" cy="300990"/>
          <wp:effectExtent l="19050" t="0" r="3810" b="0"/>
          <wp:docPr id="4" name="Picture 3" descr="MGOlogoBlack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OlogoBlackC.png"/>
                  <pic:cNvPicPr/>
                </pic:nvPicPr>
                <pic:blipFill>
                  <a:blip r:embed="rId1"/>
                  <a:stretch>
                    <a:fillRect/>
                  </a:stretch>
                </pic:blipFill>
                <pic:spPr>
                  <a:xfrm>
                    <a:off x="0" y="0"/>
                    <a:ext cx="300942" cy="300942"/>
                  </a:xfrm>
                  <a:prstGeom prst="rect">
                    <a:avLst/>
                  </a:prstGeom>
                </pic:spPr>
              </pic:pic>
            </a:graphicData>
          </a:graphic>
        </wp:inline>
      </w:drawing>
    </w:r>
  </w:p>
  <w:p w14:paraId="688D5080" w14:textId="77777777" w:rsidR="00260DE9" w:rsidRPr="0097480E" w:rsidRDefault="00EF6AB9" w:rsidP="00EF6AB9">
    <w:pPr>
      <w:pStyle w:val="Footer"/>
      <w:jc w:val="center"/>
      <w:rPr>
        <w:rFonts w:ascii="Arial" w:hAnsi="Arial" w:cs="Arial"/>
        <w:sz w:val="16"/>
        <w:szCs w:val="16"/>
      </w:rPr>
    </w:pPr>
    <w:r w:rsidRPr="0097480E">
      <w:rPr>
        <w:rFonts w:ascii="Arial" w:hAnsi="Arial" w:cs="Arial"/>
        <w:sz w:val="16"/>
        <w:szCs w:val="16"/>
        <w:shd w:val="clear" w:color="auto" w:fill="FFFFFF"/>
      </w:rPr>
      <w:t>Media Group Online, Inc.</w:t>
    </w:r>
    <w:r w:rsidRPr="0097480E">
      <w:rPr>
        <w:rFonts w:ascii="Arial" w:hAnsi="Arial" w:cs="Arial"/>
        <w:sz w:val="16"/>
        <w:szCs w:val="16"/>
      </w:rPr>
      <w:t xml:space="preserve">• </w:t>
    </w:r>
    <w:r w:rsidRPr="0097480E">
      <w:rPr>
        <w:rFonts w:ascii="Arial" w:hAnsi="Arial" w:cs="Arial"/>
        <w:sz w:val="16"/>
        <w:szCs w:val="16"/>
        <w:shd w:val="clear" w:color="auto" w:fill="FFFFFF"/>
      </w:rPr>
      <w:t>103 Sterling Mine Rd.</w:t>
    </w:r>
    <w:r w:rsidRPr="0097480E">
      <w:rPr>
        <w:rFonts w:ascii="Arial" w:hAnsi="Arial" w:cs="Arial"/>
        <w:sz w:val="16"/>
        <w:szCs w:val="16"/>
      </w:rPr>
      <w:t xml:space="preserve">• </w:t>
    </w:r>
    <w:r w:rsidRPr="0097480E">
      <w:rPr>
        <w:rFonts w:ascii="Arial" w:hAnsi="Arial" w:cs="Arial"/>
        <w:sz w:val="16"/>
        <w:szCs w:val="16"/>
        <w:shd w:val="clear" w:color="auto" w:fill="FFFFFF"/>
      </w:rPr>
      <w:t xml:space="preserve">Sloatsburg, NY </w:t>
    </w:r>
    <w:r w:rsidR="0097480E" w:rsidRPr="0097480E">
      <w:rPr>
        <w:rFonts w:ascii="Arial" w:hAnsi="Arial" w:cs="Arial"/>
        <w:sz w:val="16"/>
        <w:szCs w:val="16"/>
        <w:shd w:val="clear" w:color="auto" w:fill="FFFFFF"/>
      </w:rPr>
      <w:t>10974</w:t>
    </w:r>
    <w:r w:rsidRPr="0097480E">
      <w:rPr>
        <w:rFonts w:ascii="Arial" w:hAnsi="Arial" w:cs="Arial"/>
        <w:sz w:val="16"/>
        <w:szCs w:val="16"/>
        <w:shd w:val="clear" w:color="auto" w:fill="FFFFFF"/>
      </w:rPr>
      <w:t xml:space="preserve"> </w:t>
    </w:r>
    <w:r w:rsidRPr="0097480E">
      <w:rPr>
        <w:rFonts w:ascii="Arial" w:hAnsi="Arial" w:cs="Arial"/>
        <w:sz w:val="16"/>
        <w:szCs w:val="16"/>
      </w:rPr>
      <w:t>• Tel 866-921-1026 • Fax 845-712-5168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05E6E" w14:textId="77777777" w:rsidR="00932D77" w:rsidRDefault="00932D77" w:rsidP="00260DE9">
      <w:pPr>
        <w:spacing w:after="0" w:line="240" w:lineRule="auto"/>
      </w:pPr>
      <w:r>
        <w:separator/>
      </w:r>
    </w:p>
  </w:footnote>
  <w:footnote w:type="continuationSeparator" w:id="0">
    <w:p w14:paraId="6F4EAA37" w14:textId="77777777" w:rsidR="00932D77" w:rsidRDefault="00932D77" w:rsidP="00260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3DC73" w14:textId="77777777" w:rsidR="00260DE9" w:rsidRDefault="00635FF3">
    <w:pPr>
      <w:pStyle w:val="Header"/>
    </w:pPr>
    <w:r>
      <w:rPr>
        <w:noProof/>
      </w:rPr>
      <w:drawing>
        <wp:anchor distT="0" distB="0" distL="114300" distR="114300" simplePos="0" relativeHeight="251658240" behindDoc="1" locked="0" layoutInCell="1" allowOverlap="1" wp14:anchorId="67BDB21C" wp14:editId="7366BB1A">
          <wp:simplePos x="0" y="0"/>
          <wp:positionH relativeFrom="column">
            <wp:posOffset>-638175</wp:posOffset>
          </wp:positionH>
          <wp:positionV relativeFrom="paragraph">
            <wp:posOffset>-771525</wp:posOffset>
          </wp:positionV>
          <wp:extent cx="5943600" cy="1192530"/>
          <wp:effectExtent l="0" t="0" r="0" b="0"/>
          <wp:wrapTight wrapText="bothSides">
            <wp:wrapPolygon edited="0">
              <wp:start x="1454" y="0"/>
              <wp:lineTo x="1038" y="690"/>
              <wp:lineTo x="69" y="4486"/>
              <wp:lineTo x="0" y="7936"/>
              <wp:lineTo x="0" y="13802"/>
              <wp:lineTo x="138" y="17252"/>
              <wp:lineTo x="1177" y="21393"/>
              <wp:lineTo x="1385" y="21393"/>
              <wp:lineTo x="2838" y="21393"/>
              <wp:lineTo x="8931" y="16907"/>
              <wp:lineTo x="21531" y="15872"/>
              <wp:lineTo x="21531" y="6901"/>
              <wp:lineTo x="19938" y="4831"/>
              <wp:lineTo x="2838" y="0"/>
              <wp:lineTo x="145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GOProfilerHeaderSmall.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925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33180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DE9"/>
    <w:rsid w:val="00004575"/>
    <w:rsid w:val="000052A8"/>
    <w:rsid w:val="00006EB7"/>
    <w:rsid w:val="00007472"/>
    <w:rsid w:val="00030B4A"/>
    <w:rsid w:val="0003466E"/>
    <w:rsid w:val="00052024"/>
    <w:rsid w:val="0005633E"/>
    <w:rsid w:val="000577D6"/>
    <w:rsid w:val="0007198D"/>
    <w:rsid w:val="000830D7"/>
    <w:rsid w:val="000C4B96"/>
    <w:rsid w:val="000C7821"/>
    <w:rsid w:val="000D2F3A"/>
    <w:rsid w:val="000D5AC5"/>
    <w:rsid w:val="000D7C07"/>
    <w:rsid w:val="000E368C"/>
    <w:rsid w:val="00112A85"/>
    <w:rsid w:val="00114389"/>
    <w:rsid w:val="0012010F"/>
    <w:rsid w:val="00142DEE"/>
    <w:rsid w:val="001531C2"/>
    <w:rsid w:val="00154344"/>
    <w:rsid w:val="00160474"/>
    <w:rsid w:val="00161442"/>
    <w:rsid w:val="0016492E"/>
    <w:rsid w:val="00177D0F"/>
    <w:rsid w:val="001A05E7"/>
    <w:rsid w:val="001B64B0"/>
    <w:rsid w:val="001C2831"/>
    <w:rsid w:val="001D53A3"/>
    <w:rsid w:val="001F5DFA"/>
    <w:rsid w:val="001F6D7F"/>
    <w:rsid w:val="00260DE9"/>
    <w:rsid w:val="00294474"/>
    <w:rsid w:val="002A4A73"/>
    <w:rsid w:val="002A6286"/>
    <w:rsid w:val="002B0BCF"/>
    <w:rsid w:val="002B3E1A"/>
    <w:rsid w:val="002B428E"/>
    <w:rsid w:val="002C46CB"/>
    <w:rsid w:val="002E1F38"/>
    <w:rsid w:val="002F7DC6"/>
    <w:rsid w:val="00306D88"/>
    <w:rsid w:val="00327C87"/>
    <w:rsid w:val="00350C5C"/>
    <w:rsid w:val="003630CD"/>
    <w:rsid w:val="0038459A"/>
    <w:rsid w:val="003B417B"/>
    <w:rsid w:val="003C15ED"/>
    <w:rsid w:val="003D6958"/>
    <w:rsid w:val="003E2E9B"/>
    <w:rsid w:val="003F0FE1"/>
    <w:rsid w:val="00400606"/>
    <w:rsid w:val="00412473"/>
    <w:rsid w:val="00422A36"/>
    <w:rsid w:val="00424E79"/>
    <w:rsid w:val="00432903"/>
    <w:rsid w:val="0045212B"/>
    <w:rsid w:val="0045797F"/>
    <w:rsid w:val="0046193A"/>
    <w:rsid w:val="0048482F"/>
    <w:rsid w:val="00493426"/>
    <w:rsid w:val="00494CA5"/>
    <w:rsid w:val="004D4671"/>
    <w:rsid w:val="004E421A"/>
    <w:rsid w:val="004F7F58"/>
    <w:rsid w:val="0050254D"/>
    <w:rsid w:val="00520014"/>
    <w:rsid w:val="005610BD"/>
    <w:rsid w:val="0056258A"/>
    <w:rsid w:val="0057012D"/>
    <w:rsid w:val="00571D6A"/>
    <w:rsid w:val="00592462"/>
    <w:rsid w:val="00596832"/>
    <w:rsid w:val="005C3BA5"/>
    <w:rsid w:val="005F19E9"/>
    <w:rsid w:val="00600CFD"/>
    <w:rsid w:val="00601F2D"/>
    <w:rsid w:val="00635FF3"/>
    <w:rsid w:val="00637CB9"/>
    <w:rsid w:val="006557DC"/>
    <w:rsid w:val="00657B52"/>
    <w:rsid w:val="0067102D"/>
    <w:rsid w:val="00680FE7"/>
    <w:rsid w:val="0068770F"/>
    <w:rsid w:val="0069436D"/>
    <w:rsid w:val="006B3A10"/>
    <w:rsid w:val="006D1053"/>
    <w:rsid w:val="006E6275"/>
    <w:rsid w:val="00707104"/>
    <w:rsid w:val="007139CE"/>
    <w:rsid w:val="007257B5"/>
    <w:rsid w:val="00755C15"/>
    <w:rsid w:val="007651A4"/>
    <w:rsid w:val="00781C25"/>
    <w:rsid w:val="007862CF"/>
    <w:rsid w:val="00793BD0"/>
    <w:rsid w:val="007B29D3"/>
    <w:rsid w:val="007B6E29"/>
    <w:rsid w:val="007D3185"/>
    <w:rsid w:val="008058FD"/>
    <w:rsid w:val="0082412E"/>
    <w:rsid w:val="0082749D"/>
    <w:rsid w:val="00875007"/>
    <w:rsid w:val="00881DE7"/>
    <w:rsid w:val="0088350D"/>
    <w:rsid w:val="0088505B"/>
    <w:rsid w:val="0089324F"/>
    <w:rsid w:val="008C04E5"/>
    <w:rsid w:val="009229BB"/>
    <w:rsid w:val="00923C8D"/>
    <w:rsid w:val="00931A86"/>
    <w:rsid w:val="00932D77"/>
    <w:rsid w:val="009419F0"/>
    <w:rsid w:val="0095679E"/>
    <w:rsid w:val="0097289D"/>
    <w:rsid w:val="0097480E"/>
    <w:rsid w:val="00984DF0"/>
    <w:rsid w:val="0099377F"/>
    <w:rsid w:val="00997063"/>
    <w:rsid w:val="009A3728"/>
    <w:rsid w:val="009A3EBE"/>
    <w:rsid w:val="009A4526"/>
    <w:rsid w:val="009A6479"/>
    <w:rsid w:val="009C6A17"/>
    <w:rsid w:val="009D7090"/>
    <w:rsid w:val="009E6ECA"/>
    <w:rsid w:val="009F3C8C"/>
    <w:rsid w:val="00A00453"/>
    <w:rsid w:val="00A031C1"/>
    <w:rsid w:val="00A12BB9"/>
    <w:rsid w:val="00A30B01"/>
    <w:rsid w:val="00A55AAE"/>
    <w:rsid w:val="00A55AB4"/>
    <w:rsid w:val="00A61F9B"/>
    <w:rsid w:val="00A71026"/>
    <w:rsid w:val="00A71F96"/>
    <w:rsid w:val="00A820F9"/>
    <w:rsid w:val="00A87AE3"/>
    <w:rsid w:val="00A9357C"/>
    <w:rsid w:val="00AB01D8"/>
    <w:rsid w:val="00AE087E"/>
    <w:rsid w:val="00AE1F72"/>
    <w:rsid w:val="00AE6B2A"/>
    <w:rsid w:val="00AE71B7"/>
    <w:rsid w:val="00B12A59"/>
    <w:rsid w:val="00B14875"/>
    <w:rsid w:val="00B33B46"/>
    <w:rsid w:val="00B36421"/>
    <w:rsid w:val="00B4203D"/>
    <w:rsid w:val="00B6421F"/>
    <w:rsid w:val="00BC0DB8"/>
    <w:rsid w:val="00BC2144"/>
    <w:rsid w:val="00BE4BEC"/>
    <w:rsid w:val="00BE6652"/>
    <w:rsid w:val="00C11931"/>
    <w:rsid w:val="00C147E3"/>
    <w:rsid w:val="00C20878"/>
    <w:rsid w:val="00C21D13"/>
    <w:rsid w:val="00C412D4"/>
    <w:rsid w:val="00C54007"/>
    <w:rsid w:val="00C65128"/>
    <w:rsid w:val="00C77B54"/>
    <w:rsid w:val="00C8473A"/>
    <w:rsid w:val="00CE3B31"/>
    <w:rsid w:val="00CE599E"/>
    <w:rsid w:val="00CE7088"/>
    <w:rsid w:val="00CE7889"/>
    <w:rsid w:val="00D16971"/>
    <w:rsid w:val="00D17DB0"/>
    <w:rsid w:val="00D22E81"/>
    <w:rsid w:val="00D26223"/>
    <w:rsid w:val="00D37649"/>
    <w:rsid w:val="00D8342E"/>
    <w:rsid w:val="00D93E11"/>
    <w:rsid w:val="00DA1474"/>
    <w:rsid w:val="00DC4F7C"/>
    <w:rsid w:val="00DD5A41"/>
    <w:rsid w:val="00DE0FDD"/>
    <w:rsid w:val="00E13B28"/>
    <w:rsid w:val="00E20F93"/>
    <w:rsid w:val="00E21202"/>
    <w:rsid w:val="00E26F83"/>
    <w:rsid w:val="00E31C88"/>
    <w:rsid w:val="00E45F8D"/>
    <w:rsid w:val="00E47E67"/>
    <w:rsid w:val="00E80C14"/>
    <w:rsid w:val="00E926A9"/>
    <w:rsid w:val="00EC283E"/>
    <w:rsid w:val="00ED42A4"/>
    <w:rsid w:val="00EF6801"/>
    <w:rsid w:val="00EF6AB9"/>
    <w:rsid w:val="00F056FA"/>
    <w:rsid w:val="00F2704A"/>
    <w:rsid w:val="00F27C33"/>
    <w:rsid w:val="00F64171"/>
    <w:rsid w:val="00F66EA8"/>
    <w:rsid w:val="00F70E29"/>
    <w:rsid w:val="00F94CE8"/>
    <w:rsid w:val="00FA495C"/>
    <w:rsid w:val="00FB418C"/>
    <w:rsid w:val="00FD1A45"/>
    <w:rsid w:val="00FE3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90252B"/>
  <w15:docId w15:val="{00033884-83A0-4105-8CD5-C8A13830D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052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60DE9"/>
    <w:pPr>
      <w:tabs>
        <w:tab w:val="center" w:pos="4680"/>
        <w:tab w:val="right" w:pos="9360"/>
      </w:tabs>
      <w:spacing w:after="0" w:line="240" w:lineRule="auto"/>
    </w:pPr>
  </w:style>
  <w:style w:type="character" w:customStyle="1" w:styleId="HeaderChar">
    <w:name w:val="Header Char"/>
    <w:basedOn w:val="DefaultParagraphFont"/>
    <w:link w:val="Header"/>
    <w:rsid w:val="00260DE9"/>
  </w:style>
  <w:style w:type="paragraph" w:styleId="Footer">
    <w:name w:val="footer"/>
    <w:basedOn w:val="Normal"/>
    <w:link w:val="FooterChar"/>
    <w:uiPriority w:val="99"/>
    <w:unhideWhenUsed/>
    <w:rsid w:val="0026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DE9"/>
  </w:style>
  <w:style w:type="paragraph" w:styleId="NoSpacing">
    <w:name w:val="No Spacing"/>
    <w:uiPriority w:val="1"/>
    <w:qFormat/>
    <w:rsid w:val="00260DE9"/>
    <w:pPr>
      <w:spacing w:after="0" w:line="240" w:lineRule="auto"/>
    </w:pPr>
  </w:style>
  <w:style w:type="paragraph" w:styleId="BalloonText">
    <w:name w:val="Balloon Text"/>
    <w:basedOn w:val="Normal"/>
    <w:link w:val="BalloonTextChar"/>
    <w:uiPriority w:val="99"/>
    <w:semiHidden/>
    <w:unhideWhenUsed/>
    <w:rsid w:val="003E2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E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1ABECD-D5BF-8A47-B41B-5E66C68C5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1288</Words>
  <Characters>7861</Characters>
  <Application>Microsoft Office Word</Application>
  <DocSecurity>0</DocSecurity>
  <Lines>302</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Whelan</dc:creator>
  <cp:lastModifiedBy>Bob Sillick</cp:lastModifiedBy>
  <cp:revision>2</cp:revision>
  <dcterms:created xsi:type="dcterms:W3CDTF">2022-05-24T15:38:00Z</dcterms:created>
  <dcterms:modified xsi:type="dcterms:W3CDTF">2022-05-24T15:38:00Z</dcterms:modified>
</cp:coreProperties>
</file>