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425A" w14:textId="6F182EA7" w:rsidR="00F94CE8" w:rsidRPr="005F19E9" w:rsidRDefault="006E11E5" w:rsidP="00C11931">
      <w:pPr>
        <w:pStyle w:val="NoSpacing"/>
        <w:contextualSpacing/>
        <w:mirrorIndents/>
        <w:rPr>
          <w:rFonts w:ascii="Verdana" w:hAnsi="Verdana"/>
          <w:b/>
          <w:bCs/>
          <w:color w:val="FF0000"/>
          <w:sz w:val="20"/>
          <w:szCs w:val="20"/>
        </w:rPr>
      </w:pPr>
      <w:r>
        <w:rPr>
          <w:rFonts w:ascii="Verdana" w:hAnsi="Verdana"/>
          <w:b/>
          <w:bCs/>
          <w:color w:val="FF0000"/>
          <w:sz w:val="20"/>
          <w:szCs w:val="20"/>
        </w:rPr>
        <w:t>Used Vehicles</w:t>
      </w:r>
      <w:r w:rsidR="005F19E9" w:rsidRPr="005F19E9">
        <w:rPr>
          <w:rFonts w:ascii="Verdana" w:hAnsi="Verdana"/>
          <w:b/>
          <w:bCs/>
          <w:color w:val="FF0000"/>
          <w:sz w:val="20"/>
          <w:szCs w:val="20"/>
        </w:rPr>
        <w:t xml:space="preserve"> Market 2022</w:t>
      </w:r>
    </w:p>
    <w:p w14:paraId="11DB62D2" w14:textId="77777777" w:rsidR="00F94CE8" w:rsidRPr="0033101A" w:rsidRDefault="00F94CE8" w:rsidP="0033101A">
      <w:pPr>
        <w:pStyle w:val="NoSpacing"/>
        <w:contextualSpacing/>
        <w:mirrorIndents/>
        <w:rPr>
          <w:rFonts w:ascii="Verdana" w:hAnsi="Verdana"/>
          <w:sz w:val="20"/>
          <w:szCs w:val="20"/>
        </w:rPr>
      </w:pPr>
    </w:p>
    <w:p w14:paraId="410E4464" w14:textId="58A1E4EF" w:rsidR="0033101A" w:rsidRPr="0033101A" w:rsidRDefault="00552A5E" w:rsidP="0033101A">
      <w:pPr>
        <w:spacing w:after="0" w:line="240" w:lineRule="auto"/>
        <w:contextualSpacing/>
        <w:mirrorIndents/>
        <w:jc w:val="center"/>
        <w:rPr>
          <w:rFonts w:ascii="Verdana" w:hAnsi="Verdana"/>
          <w:b/>
          <w:bCs/>
          <w:color w:val="0070C0"/>
          <w:sz w:val="20"/>
          <w:szCs w:val="20"/>
        </w:rPr>
      </w:pPr>
      <w:r>
        <w:rPr>
          <w:rFonts w:ascii="Verdana" w:hAnsi="Verdana"/>
          <w:b/>
          <w:bCs/>
          <w:color w:val="0070C0"/>
          <w:sz w:val="20"/>
          <w:szCs w:val="20"/>
        </w:rPr>
        <w:t>Very Limited</w:t>
      </w:r>
      <w:r w:rsidR="0033101A" w:rsidRPr="0033101A">
        <w:rPr>
          <w:rFonts w:ascii="Verdana" w:hAnsi="Verdana"/>
          <w:b/>
          <w:bCs/>
          <w:color w:val="0070C0"/>
          <w:sz w:val="20"/>
          <w:szCs w:val="20"/>
        </w:rPr>
        <w:t xml:space="preserve"> Used-Vehicle Inventory Stifles Market</w:t>
      </w:r>
    </w:p>
    <w:p w14:paraId="5B627C27" w14:textId="77777777" w:rsidR="0033101A" w:rsidRPr="0033101A" w:rsidRDefault="0033101A" w:rsidP="0033101A">
      <w:pPr>
        <w:spacing w:after="0" w:line="240" w:lineRule="auto"/>
        <w:contextualSpacing/>
        <w:mirrorIndents/>
        <w:rPr>
          <w:rFonts w:ascii="Verdana" w:hAnsi="Verdana"/>
          <w:sz w:val="20"/>
          <w:szCs w:val="20"/>
        </w:rPr>
      </w:pPr>
    </w:p>
    <w:p w14:paraId="6E017264" w14:textId="622933F9" w:rsidR="0033101A" w:rsidRDefault="0033101A" w:rsidP="0033101A">
      <w:pPr>
        <w:spacing w:after="0" w:line="240" w:lineRule="auto"/>
        <w:contextualSpacing/>
        <w:mirrorIndents/>
        <w:rPr>
          <w:rFonts w:ascii="Verdana" w:hAnsi="Verdana"/>
          <w:sz w:val="20"/>
          <w:szCs w:val="20"/>
        </w:rPr>
      </w:pPr>
      <w:r>
        <w:rPr>
          <w:rFonts w:ascii="Verdana" w:hAnsi="Verdana"/>
          <w:sz w:val="20"/>
          <w:szCs w:val="20"/>
        </w:rPr>
        <w:t>As new-vehicle inventories decreased significantly during 2021 and into 2022, many consumers had to buy used vehicle</w:t>
      </w:r>
      <w:r w:rsidR="007D2370">
        <w:rPr>
          <w:rFonts w:ascii="Verdana" w:hAnsi="Verdana"/>
          <w:sz w:val="20"/>
          <w:szCs w:val="20"/>
        </w:rPr>
        <w:t>s</w:t>
      </w:r>
      <w:r>
        <w:rPr>
          <w:rFonts w:ascii="Verdana" w:hAnsi="Verdana"/>
          <w:sz w:val="20"/>
          <w:szCs w:val="20"/>
        </w:rPr>
        <w:t>. With fewer new vehicles being purchased, dealerships had fewer used cars, creating supply-and-demand chaos and increasing prices.</w:t>
      </w:r>
    </w:p>
    <w:p w14:paraId="751B198F" w14:textId="2BB08BB2" w:rsidR="0033101A" w:rsidRDefault="0033101A" w:rsidP="0033101A">
      <w:pPr>
        <w:spacing w:after="0" w:line="240" w:lineRule="auto"/>
        <w:contextualSpacing/>
        <w:mirrorIndents/>
        <w:rPr>
          <w:rFonts w:ascii="Verdana" w:hAnsi="Verdana"/>
          <w:sz w:val="20"/>
          <w:szCs w:val="20"/>
        </w:rPr>
      </w:pPr>
    </w:p>
    <w:p w14:paraId="2EEBF22C" w14:textId="6929AA11" w:rsidR="0033101A" w:rsidRDefault="0033101A" w:rsidP="0033101A">
      <w:pPr>
        <w:spacing w:after="0" w:line="240" w:lineRule="auto"/>
        <w:contextualSpacing/>
        <w:mirrorIndents/>
        <w:rPr>
          <w:rFonts w:ascii="Verdana" w:hAnsi="Verdana"/>
          <w:sz w:val="20"/>
          <w:szCs w:val="20"/>
        </w:rPr>
      </w:pPr>
      <w:r>
        <w:rPr>
          <w:rFonts w:ascii="Verdana" w:hAnsi="Verdana"/>
          <w:sz w:val="20"/>
          <w:szCs w:val="20"/>
        </w:rPr>
        <w:t>According to Mannheim, a used-vehicle auction company, used-vehicle wholesale prices increased 0.7% during May from April, which in turn increased Mannheim’s Used Vehicle Value Index to 222.7 for May a 9.7% YOY increase.</w:t>
      </w:r>
    </w:p>
    <w:p w14:paraId="1A875B27" w14:textId="77777777" w:rsidR="0033101A" w:rsidRDefault="0033101A" w:rsidP="0033101A">
      <w:pPr>
        <w:spacing w:after="0" w:line="240" w:lineRule="auto"/>
        <w:contextualSpacing/>
        <w:mirrorIndents/>
        <w:rPr>
          <w:rFonts w:ascii="Verdana" w:hAnsi="Verdana"/>
          <w:sz w:val="20"/>
          <w:szCs w:val="20"/>
        </w:rPr>
      </w:pPr>
    </w:p>
    <w:p w14:paraId="5AB70991" w14:textId="5F871628" w:rsidR="0033101A" w:rsidRDefault="00391422" w:rsidP="0033101A">
      <w:pPr>
        <w:spacing w:after="0" w:line="240" w:lineRule="auto"/>
        <w:contextualSpacing/>
        <w:mirrorIndents/>
        <w:rPr>
          <w:rFonts w:ascii="Verdana" w:hAnsi="Verdana"/>
          <w:sz w:val="20"/>
          <w:szCs w:val="20"/>
        </w:rPr>
      </w:pPr>
      <w:r>
        <w:rPr>
          <w:rFonts w:ascii="Verdana" w:hAnsi="Verdana"/>
          <w:sz w:val="20"/>
          <w:szCs w:val="20"/>
        </w:rPr>
        <w:t>Delayed tax returns w</w:t>
      </w:r>
      <w:r w:rsidR="00847800">
        <w:rPr>
          <w:rFonts w:ascii="Verdana" w:hAnsi="Verdana"/>
          <w:sz w:val="20"/>
          <w:szCs w:val="20"/>
        </w:rPr>
        <w:t>ere</w:t>
      </w:r>
      <w:r>
        <w:rPr>
          <w:rFonts w:ascii="Verdana" w:hAnsi="Verdana"/>
          <w:sz w:val="20"/>
          <w:szCs w:val="20"/>
        </w:rPr>
        <w:t xml:space="preserve"> another factor depressing the market, according to Cox Automotive. </w:t>
      </w:r>
      <w:r w:rsidR="0033101A">
        <w:rPr>
          <w:rFonts w:ascii="Verdana" w:hAnsi="Verdana"/>
          <w:sz w:val="20"/>
          <w:szCs w:val="20"/>
        </w:rPr>
        <w:t xml:space="preserve">Mannheim analysts </w:t>
      </w:r>
      <w:r>
        <w:rPr>
          <w:rFonts w:ascii="Verdana" w:hAnsi="Verdana"/>
          <w:sz w:val="20"/>
          <w:szCs w:val="20"/>
        </w:rPr>
        <w:t>stated during April that wholesale and retail used-vehicle prices will start to moderate as they predict demand will decrease.</w:t>
      </w:r>
    </w:p>
    <w:p w14:paraId="0FC9A669" w14:textId="4601C08B" w:rsidR="00391422" w:rsidRDefault="00391422" w:rsidP="0033101A">
      <w:pPr>
        <w:spacing w:after="0" w:line="240" w:lineRule="auto"/>
        <w:contextualSpacing/>
        <w:mirrorIndents/>
        <w:rPr>
          <w:rFonts w:ascii="Verdana" w:hAnsi="Verdana"/>
          <w:sz w:val="20"/>
          <w:szCs w:val="20"/>
        </w:rPr>
      </w:pPr>
    </w:p>
    <w:p w14:paraId="314BA65F" w14:textId="2EDC1C80" w:rsidR="0008164E" w:rsidRPr="00CC1ECE" w:rsidRDefault="0008164E" w:rsidP="0008164E">
      <w:pPr>
        <w:pStyle w:val="Header"/>
        <w:contextualSpacing/>
        <w:jc w:val="center"/>
        <w:rPr>
          <w:rFonts w:ascii="Verdana" w:hAnsi="Verdana"/>
          <w:b/>
          <w:sz w:val="20"/>
          <w:szCs w:val="20"/>
        </w:rPr>
      </w:pPr>
      <w:r>
        <w:rPr>
          <w:rFonts w:ascii="Verdana" w:hAnsi="Verdana"/>
          <w:b/>
          <w:sz w:val="20"/>
          <w:szCs w:val="20"/>
        </w:rPr>
        <w:t>YOY Wholesale Used-Vehicles’ Price Changes for Selected Categories, May 202</w:t>
      </w:r>
      <w:r w:rsidR="00FB47D7">
        <w:rPr>
          <w:rFonts w:ascii="Verdana" w:hAnsi="Verdana"/>
          <w:b/>
          <w:sz w:val="20"/>
          <w:szCs w:val="20"/>
        </w:rPr>
        <w:t>2</w:t>
      </w:r>
    </w:p>
    <w:tbl>
      <w:tblPr>
        <w:tblW w:w="6219"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1843"/>
        <w:gridCol w:w="1267"/>
        <w:gridCol w:w="1842"/>
        <w:gridCol w:w="1267"/>
      </w:tblGrid>
      <w:tr w:rsidR="0008164E" w:rsidRPr="00DB5378" w14:paraId="092C9666" w14:textId="77777777" w:rsidTr="0008164E">
        <w:trPr>
          <w:jc w:val="center"/>
        </w:trPr>
        <w:tc>
          <w:tcPr>
            <w:tcW w:w="1843" w:type="dxa"/>
            <w:tcBorders>
              <w:top w:val="single" w:sz="12" w:space="0" w:color="000000"/>
              <w:left w:val="single" w:sz="12" w:space="0" w:color="000000"/>
              <w:bottom w:val="single" w:sz="18" w:space="0" w:color="C0504D" w:themeColor="accent2"/>
              <w:right w:val="single" w:sz="8" w:space="0" w:color="0070C0"/>
            </w:tcBorders>
            <w:vAlign w:val="center"/>
          </w:tcPr>
          <w:p w14:paraId="43A98618" w14:textId="7B5A6F1B" w:rsidR="0008164E" w:rsidRPr="00DB5378" w:rsidRDefault="0008164E" w:rsidP="00887D14">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Category</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598A208E" w14:textId="6F1567BC" w:rsidR="0008164E" w:rsidRPr="00DB5378" w:rsidRDefault="0008164E" w:rsidP="00887D14">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Change</w:t>
            </w:r>
          </w:p>
        </w:tc>
        <w:tc>
          <w:tcPr>
            <w:tcW w:w="1842" w:type="dxa"/>
            <w:tcBorders>
              <w:top w:val="single" w:sz="12" w:space="0" w:color="000000"/>
              <w:left w:val="single" w:sz="18" w:space="0" w:color="0070C0"/>
              <w:bottom w:val="single" w:sz="18" w:space="0" w:color="C0504D" w:themeColor="accent2"/>
              <w:right w:val="single" w:sz="8" w:space="0" w:color="0070C0"/>
            </w:tcBorders>
            <w:vAlign w:val="center"/>
          </w:tcPr>
          <w:p w14:paraId="230FDFA0" w14:textId="675C95A3" w:rsidR="0008164E" w:rsidRDefault="0008164E" w:rsidP="00887D14">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Category</w:t>
            </w:r>
          </w:p>
        </w:tc>
        <w:tc>
          <w:tcPr>
            <w:tcW w:w="1267" w:type="dxa"/>
            <w:tcBorders>
              <w:top w:val="single" w:sz="12" w:space="0" w:color="000000"/>
              <w:left w:val="single" w:sz="8" w:space="0" w:color="0070C0"/>
              <w:bottom w:val="single" w:sz="18" w:space="0" w:color="C0504D" w:themeColor="accent2"/>
              <w:right w:val="single" w:sz="12" w:space="0" w:color="000000"/>
            </w:tcBorders>
            <w:vAlign w:val="center"/>
          </w:tcPr>
          <w:p w14:paraId="3302B027" w14:textId="6A2F2016" w:rsidR="0008164E" w:rsidRDefault="0008164E" w:rsidP="00887D14">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Change</w:t>
            </w:r>
          </w:p>
        </w:tc>
      </w:tr>
      <w:tr w:rsidR="0008164E" w:rsidRPr="00DB5378" w14:paraId="6C18E65C" w14:textId="77777777" w:rsidTr="0008164E">
        <w:tblPrEx>
          <w:tblBorders>
            <w:top w:val="none" w:sz="0" w:space="0" w:color="auto"/>
          </w:tblBorders>
        </w:tblPrEx>
        <w:trPr>
          <w:jc w:val="center"/>
        </w:trPr>
        <w:tc>
          <w:tcPr>
            <w:tcW w:w="1843" w:type="dxa"/>
            <w:tcBorders>
              <w:top w:val="single" w:sz="18" w:space="0" w:color="C0504D" w:themeColor="accent2"/>
              <w:left w:val="single" w:sz="12" w:space="0" w:color="000000"/>
              <w:bottom w:val="single" w:sz="4" w:space="0" w:color="000000"/>
              <w:right w:val="single" w:sz="8" w:space="0" w:color="0070C0"/>
            </w:tcBorders>
            <w:shd w:val="clear" w:color="auto" w:fill="auto"/>
            <w:vAlign w:val="center"/>
          </w:tcPr>
          <w:p w14:paraId="0E926C72" w14:textId="0CB48A8F" w:rsidR="0008164E" w:rsidRPr="00DB5378" w:rsidRDefault="0008164E" w:rsidP="00887D14">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Total</w:t>
            </w:r>
          </w:p>
        </w:tc>
        <w:tc>
          <w:tcPr>
            <w:tcW w:w="1267" w:type="dxa"/>
            <w:tcBorders>
              <w:top w:val="single" w:sz="18" w:space="0" w:color="C0504D" w:themeColor="accent2"/>
              <w:left w:val="single" w:sz="8" w:space="0" w:color="0070C0"/>
              <w:bottom w:val="single" w:sz="4" w:space="0" w:color="auto"/>
              <w:right w:val="single" w:sz="18" w:space="0" w:color="0070C0"/>
            </w:tcBorders>
            <w:shd w:val="clear" w:color="auto" w:fill="F2DBDB" w:themeFill="accent2" w:themeFillTint="33"/>
            <w:vAlign w:val="center"/>
          </w:tcPr>
          <w:p w14:paraId="22571D65" w14:textId="207CC842" w:rsidR="0008164E" w:rsidRPr="00DB5378" w:rsidRDefault="0008164E"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+9.7%</w:t>
            </w:r>
          </w:p>
        </w:tc>
        <w:tc>
          <w:tcPr>
            <w:tcW w:w="1842" w:type="dxa"/>
            <w:tcBorders>
              <w:top w:val="single" w:sz="18" w:space="0" w:color="C0504D" w:themeColor="accent2"/>
              <w:left w:val="single" w:sz="18" w:space="0" w:color="0070C0"/>
              <w:bottom w:val="single" w:sz="4" w:space="0" w:color="auto"/>
              <w:right w:val="single" w:sz="8" w:space="0" w:color="0070C0"/>
            </w:tcBorders>
            <w:shd w:val="clear" w:color="auto" w:fill="auto"/>
            <w:vAlign w:val="center"/>
          </w:tcPr>
          <w:p w14:paraId="030F6637" w14:textId="08759F7A" w:rsidR="0008164E" w:rsidRDefault="0008164E"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Midsize cars</w:t>
            </w:r>
          </w:p>
        </w:tc>
        <w:tc>
          <w:tcPr>
            <w:tcW w:w="1267" w:type="dxa"/>
            <w:tcBorders>
              <w:top w:val="single" w:sz="18" w:space="0" w:color="C0504D" w:themeColor="accent2"/>
              <w:left w:val="single" w:sz="8" w:space="0" w:color="0070C0"/>
              <w:bottom w:val="single" w:sz="4" w:space="0" w:color="auto"/>
              <w:right w:val="single" w:sz="12" w:space="0" w:color="000000"/>
            </w:tcBorders>
            <w:shd w:val="clear" w:color="auto" w:fill="E5B8B7" w:themeFill="accent2" w:themeFillTint="66"/>
            <w:vAlign w:val="center"/>
          </w:tcPr>
          <w:p w14:paraId="00D0FA24" w14:textId="4B2690E7" w:rsidR="0008164E" w:rsidRDefault="0008164E"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+12.3%</w:t>
            </w:r>
          </w:p>
        </w:tc>
      </w:tr>
      <w:tr w:rsidR="0008164E" w:rsidRPr="00DB5378" w14:paraId="7210BA76" w14:textId="77777777" w:rsidTr="0008164E">
        <w:tblPrEx>
          <w:tblBorders>
            <w:top w:val="none" w:sz="0" w:space="0" w:color="auto"/>
          </w:tblBorders>
        </w:tblPrEx>
        <w:trPr>
          <w:jc w:val="center"/>
        </w:trPr>
        <w:tc>
          <w:tcPr>
            <w:tcW w:w="1843" w:type="dxa"/>
            <w:tcBorders>
              <w:top w:val="single" w:sz="4" w:space="0" w:color="000000"/>
              <w:left w:val="single" w:sz="12" w:space="0" w:color="000000"/>
              <w:bottom w:val="single" w:sz="4" w:space="0" w:color="000000"/>
              <w:right w:val="single" w:sz="8" w:space="0" w:color="0070C0"/>
            </w:tcBorders>
            <w:shd w:val="clear" w:color="auto" w:fill="auto"/>
            <w:vAlign w:val="center"/>
          </w:tcPr>
          <w:p w14:paraId="124A3980" w14:textId="4AD5A54A" w:rsidR="0008164E" w:rsidRDefault="0008164E" w:rsidP="00887D14">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Vans</w:t>
            </w:r>
          </w:p>
        </w:tc>
        <w:tc>
          <w:tcPr>
            <w:tcW w:w="1267" w:type="dxa"/>
            <w:tcBorders>
              <w:top w:val="single" w:sz="4" w:space="0" w:color="auto"/>
              <w:left w:val="single" w:sz="8" w:space="0" w:color="0070C0"/>
              <w:bottom w:val="single" w:sz="4" w:space="0" w:color="000000"/>
              <w:right w:val="single" w:sz="18" w:space="0" w:color="0070C0"/>
            </w:tcBorders>
            <w:shd w:val="clear" w:color="auto" w:fill="D99594" w:themeFill="accent2" w:themeFillTint="99"/>
            <w:vAlign w:val="center"/>
          </w:tcPr>
          <w:p w14:paraId="448CA151" w14:textId="4CC35770" w:rsidR="0008164E" w:rsidRDefault="0008164E"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+27.6%</w:t>
            </w:r>
          </w:p>
        </w:tc>
        <w:tc>
          <w:tcPr>
            <w:tcW w:w="1842" w:type="dxa"/>
            <w:tcBorders>
              <w:top w:val="single" w:sz="4" w:space="0" w:color="auto"/>
              <w:left w:val="single" w:sz="18" w:space="0" w:color="0070C0"/>
              <w:bottom w:val="single" w:sz="4" w:space="0" w:color="000000"/>
              <w:right w:val="single" w:sz="8" w:space="0" w:color="0070C0"/>
            </w:tcBorders>
            <w:shd w:val="clear" w:color="auto" w:fill="auto"/>
            <w:vAlign w:val="center"/>
          </w:tcPr>
          <w:p w14:paraId="621574A5" w14:textId="70025310" w:rsidR="0008164E" w:rsidRDefault="0008164E"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SUV/Crossover</w:t>
            </w:r>
          </w:p>
        </w:tc>
        <w:tc>
          <w:tcPr>
            <w:tcW w:w="1267" w:type="dxa"/>
            <w:tcBorders>
              <w:top w:val="single" w:sz="4" w:space="0" w:color="auto"/>
              <w:left w:val="single" w:sz="8" w:space="0" w:color="0070C0"/>
              <w:bottom w:val="single" w:sz="4" w:space="0" w:color="000000"/>
              <w:right w:val="single" w:sz="12" w:space="0" w:color="000000"/>
            </w:tcBorders>
            <w:shd w:val="clear" w:color="auto" w:fill="F2DBDB" w:themeFill="accent2" w:themeFillTint="33"/>
            <w:vAlign w:val="center"/>
          </w:tcPr>
          <w:p w14:paraId="6C28BE12" w14:textId="0426B759" w:rsidR="0008164E" w:rsidRDefault="0008164E"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+9.9%</w:t>
            </w:r>
          </w:p>
        </w:tc>
      </w:tr>
      <w:tr w:rsidR="0008164E" w:rsidRPr="00DB5378" w14:paraId="7580E427" w14:textId="77777777" w:rsidTr="0008164E">
        <w:tblPrEx>
          <w:tblBorders>
            <w:top w:val="none" w:sz="0" w:space="0" w:color="auto"/>
          </w:tblBorders>
        </w:tblPrEx>
        <w:trPr>
          <w:jc w:val="center"/>
        </w:trPr>
        <w:tc>
          <w:tcPr>
            <w:tcW w:w="1843" w:type="dxa"/>
            <w:tcBorders>
              <w:top w:val="single" w:sz="4" w:space="0" w:color="000000"/>
              <w:left w:val="single" w:sz="12" w:space="0" w:color="000000"/>
              <w:bottom w:val="single" w:sz="4" w:space="0" w:color="000000"/>
              <w:right w:val="single" w:sz="8" w:space="0" w:color="0070C0"/>
            </w:tcBorders>
            <w:shd w:val="clear" w:color="auto" w:fill="auto"/>
            <w:vAlign w:val="center"/>
          </w:tcPr>
          <w:p w14:paraId="1EB75DF5" w14:textId="0ECE80EE" w:rsidR="0008164E" w:rsidRDefault="0008164E" w:rsidP="00887D14">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Compact cars</w:t>
            </w:r>
          </w:p>
        </w:tc>
        <w:tc>
          <w:tcPr>
            <w:tcW w:w="1267" w:type="dxa"/>
            <w:tcBorders>
              <w:top w:val="single" w:sz="4" w:space="0" w:color="auto"/>
              <w:left w:val="single" w:sz="8" w:space="0" w:color="0070C0"/>
              <w:bottom w:val="single" w:sz="4" w:space="0" w:color="000000"/>
              <w:right w:val="single" w:sz="18" w:space="0" w:color="0070C0"/>
            </w:tcBorders>
            <w:shd w:val="clear" w:color="auto" w:fill="E5B8B7" w:themeFill="accent2" w:themeFillTint="66"/>
            <w:vAlign w:val="center"/>
          </w:tcPr>
          <w:p w14:paraId="7B9C392C" w14:textId="510BC65D" w:rsidR="0008164E" w:rsidRDefault="0008164E"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+14.7%</w:t>
            </w:r>
          </w:p>
        </w:tc>
        <w:tc>
          <w:tcPr>
            <w:tcW w:w="1842" w:type="dxa"/>
            <w:tcBorders>
              <w:top w:val="single" w:sz="4" w:space="0" w:color="auto"/>
              <w:left w:val="single" w:sz="18" w:space="0" w:color="0070C0"/>
              <w:bottom w:val="single" w:sz="4" w:space="0" w:color="000000"/>
              <w:right w:val="single" w:sz="8" w:space="0" w:color="0070C0"/>
            </w:tcBorders>
            <w:shd w:val="clear" w:color="auto" w:fill="auto"/>
            <w:vAlign w:val="center"/>
          </w:tcPr>
          <w:p w14:paraId="334A3D87" w14:textId="23708B7B" w:rsidR="0008164E" w:rsidRDefault="0008164E"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Pickups</w:t>
            </w:r>
          </w:p>
        </w:tc>
        <w:tc>
          <w:tcPr>
            <w:tcW w:w="1267" w:type="dxa"/>
            <w:tcBorders>
              <w:top w:val="single" w:sz="4" w:space="0" w:color="auto"/>
              <w:left w:val="single" w:sz="8" w:space="0" w:color="0070C0"/>
              <w:bottom w:val="single" w:sz="4" w:space="0" w:color="000000"/>
              <w:right w:val="single" w:sz="12" w:space="0" w:color="000000"/>
            </w:tcBorders>
            <w:shd w:val="clear" w:color="auto" w:fill="EAF1DD" w:themeFill="accent3" w:themeFillTint="33"/>
            <w:vAlign w:val="center"/>
          </w:tcPr>
          <w:p w14:paraId="4227374A" w14:textId="6AC32795" w:rsidR="0008164E" w:rsidRDefault="0008164E"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-2.7%</w:t>
            </w:r>
          </w:p>
        </w:tc>
      </w:tr>
      <w:tr w:rsidR="0008164E" w:rsidRPr="00DB5378" w14:paraId="64CA5FD1" w14:textId="77777777" w:rsidTr="0008164E">
        <w:tblPrEx>
          <w:tblBorders>
            <w:top w:val="none" w:sz="0" w:space="0" w:color="auto"/>
          </w:tblBorders>
        </w:tblPrEx>
        <w:trPr>
          <w:jc w:val="center"/>
        </w:trPr>
        <w:tc>
          <w:tcPr>
            <w:tcW w:w="1843" w:type="dxa"/>
            <w:tcBorders>
              <w:top w:val="single" w:sz="4" w:space="0" w:color="000000"/>
              <w:left w:val="single" w:sz="12" w:space="0" w:color="000000"/>
              <w:bottom w:val="single" w:sz="12" w:space="0" w:color="auto"/>
              <w:right w:val="single" w:sz="8" w:space="0" w:color="0070C0"/>
            </w:tcBorders>
            <w:shd w:val="clear" w:color="auto" w:fill="auto"/>
            <w:vAlign w:val="center"/>
          </w:tcPr>
          <w:p w14:paraId="6CBD96F0" w14:textId="402552AD" w:rsidR="0008164E" w:rsidRPr="00DB5378" w:rsidRDefault="0008164E" w:rsidP="00887D14">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Luxury cars</w:t>
            </w:r>
          </w:p>
        </w:tc>
        <w:tc>
          <w:tcPr>
            <w:tcW w:w="1267" w:type="dxa"/>
            <w:tcBorders>
              <w:top w:val="single" w:sz="4" w:space="0" w:color="000000"/>
              <w:left w:val="single" w:sz="8" w:space="0" w:color="0070C0"/>
              <w:bottom w:val="single" w:sz="12" w:space="0" w:color="auto"/>
              <w:right w:val="single" w:sz="18" w:space="0" w:color="0070C0"/>
            </w:tcBorders>
            <w:shd w:val="clear" w:color="auto" w:fill="E5B8B7" w:themeFill="accent2" w:themeFillTint="66"/>
            <w:vAlign w:val="center"/>
          </w:tcPr>
          <w:p w14:paraId="40546F3F" w14:textId="77D2C1FB" w:rsidR="0008164E" w:rsidRPr="00DB5378" w:rsidRDefault="0008164E"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+13.4%</w:t>
            </w:r>
          </w:p>
        </w:tc>
        <w:tc>
          <w:tcPr>
            <w:tcW w:w="1842" w:type="dxa"/>
            <w:tcBorders>
              <w:top w:val="single" w:sz="4" w:space="0" w:color="000000"/>
              <w:left w:val="single" w:sz="18" w:space="0" w:color="0070C0"/>
              <w:bottom w:val="single" w:sz="12" w:space="0" w:color="auto"/>
              <w:right w:val="single" w:sz="8" w:space="0" w:color="0070C0"/>
            </w:tcBorders>
            <w:shd w:val="clear" w:color="auto" w:fill="D9D9D9" w:themeFill="background1" w:themeFillShade="D9"/>
            <w:vAlign w:val="center"/>
          </w:tcPr>
          <w:p w14:paraId="023C99AF" w14:textId="77091BEA" w:rsidR="0008164E" w:rsidRPr="00DB5378" w:rsidRDefault="0008164E"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p>
        </w:tc>
        <w:tc>
          <w:tcPr>
            <w:tcW w:w="1267" w:type="dxa"/>
            <w:tcBorders>
              <w:top w:val="single" w:sz="4" w:space="0" w:color="000000"/>
              <w:left w:val="single" w:sz="8" w:space="0" w:color="0070C0"/>
              <w:bottom w:val="single" w:sz="12" w:space="0" w:color="auto"/>
              <w:right w:val="single" w:sz="12" w:space="0" w:color="000000"/>
            </w:tcBorders>
            <w:shd w:val="clear" w:color="auto" w:fill="D9D9D9" w:themeFill="background1" w:themeFillShade="D9"/>
            <w:vAlign w:val="center"/>
          </w:tcPr>
          <w:p w14:paraId="69E08139" w14:textId="65728FF2" w:rsidR="0008164E" w:rsidRPr="00DB5378" w:rsidRDefault="0008164E"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p>
        </w:tc>
      </w:tr>
    </w:tbl>
    <w:p w14:paraId="4C446964" w14:textId="49B1D2E7" w:rsidR="00391422" w:rsidRDefault="00441C53" w:rsidP="00EE32D0">
      <w:pPr>
        <w:tabs>
          <w:tab w:val="left" w:pos="1620"/>
        </w:tabs>
        <w:spacing w:after="0" w:line="240" w:lineRule="auto"/>
        <w:contextualSpacing/>
        <w:mirrorIndents/>
        <w:rPr>
          <w:rFonts w:ascii="Verdana" w:hAnsi="Verdana"/>
          <w:sz w:val="20"/>
          <w:szCs w:val="20"/>
        </w:rPr>
      </w:pPr>
      <w:r>
        <w:rPr>
          <w:rFonts w:ascii="Verdana" w:hAnsi="Verdana"/>
          <w:iCs/>
          <w:sz w:val="16"/>
          <w:szCs w:val="16"/>
        </w:rPr>
        <w:tab/>
        <w:t>Cox Automotive</w:t>
      </w:r>
      <w:r w:rsidR="0008164E">
        <w:rPr>
          <w:rFonts w:ascii="Verdana" w:hAnsi="Verdana"/>
          <w:iCs/>
          <w:sz w:val="16"/>
          <w:szCs w:val="16"/>
        </w:rPr>
        <w:t>, J</w:t>
      </w:r>
      <w:r>
        <w:rPr>
          <w:rFonts w:ascii="Verdana" w:hAnsi="Verdana"/>
          <w:iCs/>
          <w:sz w:val="16"/>
          <w:szCs w:val="16"/>
        </w:rPr>
        <w:t>une</w:t>
      </w:r>
      <w:r w:rsidR="0008164E">
        <w:rPr>
          <w:rFonts w:ascii="Verdana" w:hAnsi="Verdana"/>
          <w:iCs/>
          <w:sz w:val="16"/>
          <w:szCs w:val="16"/>
        </w:rPr>
        <w:t xml:space="preserve"> 2022</w:t>
      </w:r>
      <w:r w:rsidR="0008164E">
        <w:rPr>
          <w:rFonts w:ascii="Verdana" w:hAnsi="Verdana"/>
          <w:iCs/>
          <w:sz w:val="16"/>
          <w:szCs w:val="16"/>
        </w:rPr>
        <w:tab/>
      </w:r>
      <w:r w:rsidR="0008164E">
        <w:rPr>
          <w:rFonts w:ascii="Verdana" w:hAnsi="Verdana"/>
          <w:iCs/>
          <w:sz w:val="16"/>
          <w:szCs w:val="16"/>
        </w:rPr>
        <w:tab/>
      </w:r>
      <w:r w:rsidR="0008164E">
        <w:rPr>
          <w:rFonts w:ascii="Verdana" w:hAnsi="Verdana"/>
          <w:iCs/>
          <w:sz w:val="16"/>
          <w:szCs w:val="16"/>
        </w:rPr>
        <w:tab/>
      </w:r>
      <w:r w:rsidR="0008164E">
        <w:rPr>
          <w:rFonts w:ascii="Verdana" w:hAnsi="Verdana"/>
          <w:iCs/>
          <w:sz w:val="16"/>
          <w:szCs w:val="16"/>
        </w:rPr>
        <w:tab/>
      </w:r>
    </w:p>
    <w:p w14:paraId="6CB770F0" w14:textId="77777777" w:rsidR="0008164E" w:rsidRDefault="0008164E" w:rsidP="0033101A">
      <w:pPr>
        <w:spacing w:after="0" w:line="240" w:lineRule="auto"/>
        <w:contextualSpacing/>
        <w:mirrorIndents/>
        <w:rPr>
          <w:rFonts w:ascii="Verdana" w:hAnsi="Verdana"/>
          <w:sz w:val="20"/>
          <w:szCs w:val="20"/>
        </w:rPr>
      </w:pPr>
    </w:p>
    <w:p w14:paraId="6C41DD79" w14:textId="5474A0CC" w:rsidR="0033101A" w:rsidRPr="00441C53" w:rsidRDefault="0033101A" w:rsidP="00441C53">
      <w:pPr>
        <w:spacing w:after="0" w:line="240" w:lineRule="auto"/>
        <w:contextualSpacing/>
        <w:mirrorIndents/>
        <w:jc w:val="center"/>
        <w:rPr>
          <w:rFonts w:ascii="Verdana" w:hAnsi="Verdana"/>
          <w:b/>
          <w:bCs/>
          <w:color w:val="0070C0"/>
          <w:sz w:val="20"/>
          <w:szCs w:val="20"/>
        </w:rPr>
      </w:pPr>
      <w:r w:rsidRPr="00441C53">
        <w:rPr>
          <w:rFonts w:ascii="Verdana" w:hAnsi="Verdana"/>
          <w:b/>
          <w:bCs/>
          <w:color w:val="0070C0"/>
          <w:sz w:val="20"/>
          <w:szCs w:val="20"/>
        </w:rPr>
        <w:t>Double-Digit Decline for May 2022 Used-Vehicles Sales</w:t>
      </w:r>
    </w:p>
    <w:p w14:paraId="35DA6E15" w14:textId="463B72FF" w:rsidR="0033101A" w:rsidRDefault="0033101A" w:rsidP="0033101A">
      <w:pPr>
        <w:spacing w:after="0" w:line="240" w:lineRule="auto"/>
        <w:contextualSpacing/>
        <w:mirrorIndents/>
        <w:rPr>
          <w:rFonts w:ascii="Verdana" w:hAnsi="Verdana"/>
          <w:sz w:val="20"/>
          <w:szCs w:val="20"/>
        </w:rPr>
      </w:pPr>
    </w:p>
    <w:p w14:paraId="71B78590" w14:textId="1FB3E9E7" w:rsidR="00441C53" w:rsidRDefault="00512455" w:rsidP="0033101A">
      <w:pPr>
        <w:spacing w:after="0" w:line="240" w:lineRule="auto"/>
        <w:contextualSpacing/>
        <w:mirrorIndents/>
        <w:rPr>
          <w:rFonts w:ascii="Verdana" w:hAnsi="Verdana"/>
          <w:sz w:val="20"/>
          <w:szCs w:val="20"/>
        </w:rPr>
      </w:pPr>
      <w:r>
        <w:rPr>
          <w:rFonts w:ascii="Verdana" w:hAnsi="Verdana"/>
          <w:sz w:val="20"/>
          <w:szCs w:val="20"/>
        </w:rPr>
        <w:t xml:space="preserve">US Census Bureau data indicates used-vehicle retail sales decreased 5.0% YOY during April 2022, totaling $14.75 billion; however, the total sales of $55.76 billion during the first four months of the year increased 7.2%, compared to the first four months of 2021. </w:t>
      </w:r>
    </w:p>
    <w:p w14:paraId="57C72EF6" w14:textId="0F6171DB" w:rsidR="00512455" w:rsidRDefault="00512455" w:rsidP="0033101A">
      <w:pPr>
        <w:spacing w:after="0" w:line="240" w:lineRule="auto"/>
        <w:contextualSpacing/>
        <w:mirrorIndents/>
        <w:rPr>
          <w:rFonts w:ascii="Verdana" w:hAnsi="Verdana"/>
          <w:sz w:val="20"/>
          <w:szCs w:val="20"/>
        </w:rPr>
      </w:pPr>
    </w:p>
    <w:p w14:paraId="285993E9" w14:textId="2DCBA8E8" w:rsidR="00512455" w:rsidRDefault="00512455" w:rsidP="0033101A">
      <w:pPr>
        <w:spacing w:after="0" w:line="240" w:lineRule="auto"/>
        <w:contextualSpacing/>
        <w:mirrorIndents/>
        <w:rPr>
          <w:rFonts w:ascii="Verdana" w:hAnsi="Verdana"/>
          <w:sz w:val="20"/>
          <w:szCs w:val="20"/>
        </w:rPr>
      </w:pPr>
      <w:r>
        <w:rPr>
          <w:rFonts w:ascii="Verdana" w:hAnsi="Verdana"/>
          <w:sz w:val="20"/>
          <w:szCs w:val="20"/>
        </w:rPr>
        <w:t xml:space="preserve">Most of that increase was because of higher prices and less inventory. Cox Automotive reports 3.18 million used vehicles were sold during May 2022, a 16% YOY decrease. </w:t>
      </w:r>
      <w:r w:rsidR="004C3280">
        <w:rPr>
          <w:rFonts w:ascii="Verdana" w:hAnsi="Verdana"/>
          <w:sz w:val="20"/>
          <w:szCs w:val="20"/>
        </w:rPr>
        <w:t>The estimated total by the end of the year is expected to decrease more than 12% from 2021.</w:t>
      </w:r>
    </w:p>
    <w:p w14:paraId="45578126" w14:textId="77777777" w:rsidR="002D69CD" w:rsidRDefault="002D69CD" w:rsidP="0033101A">
      <w:pPr>
        <w:spacing w:after="0" w:line="240" w:lineRule="auto"/>
        <w:contextualSpacing/>
        <w:mirrorIndents/>
        <w:rPr>
          <w:rFonts w:ascii="Verdana" w:hAnsi="Verdana"/>
          <w:sz w:val="20"/>
          <w:szCs w:val="20"/>
        </w:rPr>
      </w:pPr>
    </w:p>
    <w:p w14:paraId="0FC1F32F" w14:textId="35C44352" w:rsidR="004C3280" w:rsidRPr="0033101A" w:rsidRDefault="00D45614" w:rsidP="0033101A">
      <w:pPr>
        <w:spacing w:after="0" w:line="240" w:lineRule="auto"/>
        <w:contextualSpacing/>
        <w:mirrorIndents/>
        <w:rPr>
          <w:rFonts w:ascii="Verdana" w:hAnsi="Verdana"/>
          <w:sz w:val="20"/>
          <w:szCs w:val="20"/>
        </w:rPr>
      </w:pPr>
      <w:r>
        <w:rPr>
          <w:rFonts w:ascii="Verdana" w:hAnsi="Verdana"/>
          <w:sz w:val="20"/>
          <w:szCs w:val="20"/>
        </w:rPr>
        <w:t xml:space="preserve">Cox Automotive’s Q2 2022 Dealer Sentiment Index for the current used-vehicle environment was 47, decreasing five points from 52 for Q1 2022. Dealers also scored their current used-vehicle inventory level at 43, compared to 45 during Q1 2022. </w:t>
      </w:r>
    </w:p>
    <w:p w14:paraId="2A66AB4E" w14:textId="77777777" w:rsidR="00441C53" w:rsidRDefault="00441C53" w:rsidP="0033101A">
      <w:pPr>
        <w:spacing w:after="0" w:line="240" w:lineRule="auto"/>
        <w:contextualSpacing/>
        <w:mirrorIndents/>
        <w:rPr>
          <w:rFonts w:ascii="Verdana" w:hAnsi="Verdana"/>
          <w:sz w:val="20"/>
          <w:szCs w:val="20"/>
        </w:rPr>
      </w:pPr>
    </w:p>
    <w:p w14:paraId="0DE3691A" w14:textId="6843BE85" w:rsidR="00EE32D0" w:rsidRPr="00A65A1A" w:rsidRDefault="00391A78" w:rsidP="00EE32D0">
      <w:pPr>
        <w:pStyle w:val="Header"/>
        <w:contextualSpacing/>
        <w:jc w:val="center"/>
        <w:rPr>
          <w:rFonts w:ascii="Verdana" w:hAnsi="Verdana"/>
          <w:b/>
          <w:sz w:val="20"/>
          <w:szCs w:val="20"/>
        </w:rPr>
      </w:pPr>
      <w:r>
        <w:rPr>
          <w:rFonts w:ascii="Verdana" w:hAnsi="Verdana"/>
          <w:b/>
          <w:sz w:val="20"/>
          <w:szCs w:val="20"/>
        </w:rPr>
        <w:t>Used-Vehicle Volume and SAAR</w:t>
      </w:r>
      <w:r w:rsidR="00EE32D0" w:rsidRPr="00EE32D0">
        <w:rPr>
          <w:rFonts w:ascii="Verdana" w:eastAsia="Times New Roman" w:hAnsi="Verdana"/>
          <w:b/>
          <w:bCs/>
          <w:sz w:val="20"/>
          <w:szCs w:val="20"/>
        </w:rPr>
        <w:t>†</w:t>
      </w:r>
      <w:r>
        <w:rPr>
          <w:rFonts w:ascii="Verdana" w:hAnsi="Verdana"/>
          <w:b/>
          <w:sz w:val="20"/>
          <w:szCs w:val="20"/>
        </w:rPr>
        <w:t xml:space="preserve">, January–May </w:t>
      </w:r>
      <w:r w:rsidRPr="00A65A1A">
        <w:rPr>
          <w:rFonts w:ascii="Verdana" w:hAnsi="Verdana"/>
          <w:b/>
          <w:sz w:val="20"/>
          <w:szCs w:val="20"/>
        </w:rPr>
        <w:t>202</w:t>
      </w:r>
      <w:r>
        <w:rPr>
          <w:rFonts w:ascii="Verdana" w:hAnsi="Verdana"/>
          <w:b/>
          <w:sz w:val="20"/>
          <w:szCs w:val="20"/>
        </w:rPr>
        <w:t>2</w:t>
      </w:r>
    </w:p>
    <w:tbl>
      <w:tblPr>
        <w:tblW w:w="8545" w:type="dxa"/>
        <w:jc w:val="center"/>
        <w:tblBorders>
          <w:left w:val="single" w:sz="8" w:space="0" w:color="000000"/>
          <w:right w:val="single" w:sz="8" w:space="0" w:color="000000"/>
        </w:tblBorders>
        <w:tblLayout w:type="fixed"/>
        <w:tblLook w:val="0000" w:firstRow="0" w:lastRow="0" w:firstColumn="0" w:lastColumn="0" w:noHBand="0" w:noVBand="0"/>
      </w:tblPr>
      <w:tblGrid>
        <w:gridCol w:w="2325"/>
        <w:gridCol w:w="1152"/>
        <w:gridCol w:w="1267"/>
        <w:gridCol w:w="1267"/>
        <w:gridCol w:w="1267"/>
        <w:gridCol w:w="1267"/>
      </w:tblGrid>
      <w:tr w:rsidR="00115907" w:rsidRPr="00A65A1A" w14:paraId="0F63BFBE" w14:textId="77777777" w:rsidTr="00EE32D0">
        <w:trPr>
          <w:jc w:val="center"/>
        </w:trPr>
        <w:tc>
          <w:tcPr>
            <w:tcW w:w="2325" w:type="dxa"/>
            <w:tcBorders>
              <w:top w:val="single" w:sz="12" w:space="0" w:color="auto"/>
              <w:left w:val="single" w:sz="12" w:space="0" w:color="000000"/>
              <w:bottom w:val="single" w:sz="18" w:space="0" w:color="C0504D" w:themeColor="accent2"/>
              <w:right w:val="single" w:sz="18" w:space="0" w:color="0070C0"/>
            </w:tcBorders>
            <w:shd w:val="clear" w:color="auto" w:fill="auto"/>
            <w:vAlign w:val="center"/>
          </w:tcPr>
          <w:p w14:paraId="39EC6895" w14:textId="5FB50BDC" w:rsidR="00115907" w:rsidRPr="00A65A1A" w:rsidRDefault="00115907" w:rsidP="00115907">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Metric</w:t>
            </w:r>
          </w:p>
        </w:tc>
        <w:tc>
          <w:tcPr>
            <w:tcW w:w="1152" w:type="dxa"/>
            <w:tcBorders>
              <w:top w:val="single" w:sz="12" w:space="0" w:color="auto"/>
              <w:left w:val="single" w:sz="18" w:space="0" w:color="0070C0"/>
              <w:bottom w:val="single" w:sz="18" w:space="0" w:color="C0504D" w:themeColor="accent2"/>
              <w:right w:val="single" w:sz="8" w:space="0" w:color="0070C0"/>
            </w:tcBorders>
            <w:shd w:val="clear" w:color="auto" w:fill="auto"/>
            <w:vAlign w:val="center"/>
          </w:tcPr>
          <w:p w14:paraId="3D74FC43" w14:textId="17A9848B" w:rsidR="00115907" w:rsidRPr="00A65A1A" w:rsidRDefault="00115907" w:rsidP="00115907">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center"/>
              <w:rPr>
                <w:rFonts w:ascii="Verdana" w:eastAsia="Times New Roman" w:hAnsi="Verdana"/>
                <w:sz w:val="20"/>
                <w:szCs w:val="20"/>
              </w:rPr>
            </w:pPr>
            <w:r>
              <w:rPr>
                <w:rFonts w:ascii="Verdana" w:eastAsia="Times New Roman" w:hAnsi="Verdana"/>
                <w:sz w:val="20"/>
                <w:szCs w:val="20"/>
              </w:rPr>
              <w:t>January 2022</w:t>
            </w:r>
          </w:p>
        </w:tc>
        <w:tc>
          <w:tcPr>
            <w:tcW w:w="1267" w:type="dxa"/>
            <w:tcBorders>
              <w:top w:val="single" w:sz="12" w:space="0" w:color="auto"/>
              <w:left w:val="single" w:sz="8" w:space="0" w:color="0070C0"/>
              <w:bottom w:val="single" w:sz="18" w:space="0" w:color="C0504D" w:themeColor="accent2"/>
              <w:right w:val="single" w:sz="8" w:space="0" w:color="0070C0"/>
            </w:tcBorders>
            <w:vAlign w:val="center"/>
          </w:tcPr>
          <w:p w14:paraId="7B648368" w14:textId="5D4E771A" w:rsidR="00115907" w:rsidRDefault="00115907" w:rsidP="00115907">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center"/>
              <w:rPr>
                <w:rFonts w:ascii="Verdana" w:eastAsia="Times New Roman" w:hAnsi="Verdana"/>
                <w:sz w:val="20"/>
                <w:szCs w:val="20"/>
              </w:rPr>
            </w:pPr>
            <w:r>
              <w:rPr>
                <w:rFonts w:ascii="Verdana" w:eastAsia="Times New Roman" w:hAnsi="Verdana"/>
                <w:sz w:val="20"/>
                <w:szCs w:val="20"/>
              </w:rPr>
              <w:t>February 2022</w:t>
            </w:r>
          </w:p>
        </w:tc>
        <w:tc>
          <w:tcPr>
            <w:tcW w:w="1267" w:type="dxa"/>
            <w:tcBorders>
              <w:top w:val="single" w:sz="12" w:space="0" w:color="auto"/>
              <w:left w:val="single" w:sz="8" w:space="0" w:color="0070C0"/>
              <w:bottom w:val="single" w:sz="18" w:space="0" w:color="C0504D" w:themeColor="accent2"/>
              <w:right w:val="single" w:sz="8" w:space="0" w:color="0070C0"/>
            </w:tcBorders>
            <w:shd w:val="clear" w:color="auto" w:fill="auto"/>
            <w:vAlign w:val="center"/>
          </w:tcPr>
          <w:p w14:paraId="5A121A7A" w14:textId="263BF989" w:rsidR="00115907" w:rsidRPr="00A65A1A" w:rsidRDefault="00115907" w:rsidP="00115907">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center"/>
              <w:rPr>
                <w:rFonts w:ascii="Verdana" w:eastAsia="Times New Roman" w:hAnsi="Verdana"/>
                <w:sz w:val="20"/>
                <w:szCs w:val="20"/>
              </w:rPr>
            </w:pPr>
            <w:r>
              <w:rPr>
                <w:rFonts w:ascii="Verdana" w:eastAsia="Times New Roman" w:hAnsi="Verdana"/>
                <w:sz w:val="20"/>
                <w:szCs w:val="20"/>
              </w:rPr>
              <w:t>March 2022</w:t>
            </w:r>
          </w:p>
        </w:tc>
        <w:tc>
          <w:tcPr>
            <w:tcW w:w="1267" w:type="dxa"/>
            <w:tcBorders>
              <w:top w:val="single" w:sz="12" w:space="0" w:color="auto"/>
              <w:left w:val="single" w:sz="8" w:space="0" w:color="0070C0"/>
              <w:bottom w:val="single" w:sz="18" w:space="0" w:color="C0504D" w:themeColor="accent2"/>
              <w:right w:val="single" w:sz="8" w:space="0" w:color="0070C0"/>
            </w:tcBorders>
            <w:vAlign w:val="center"/>
          </w:tcPr>
          <w:p w14:paraId="4B629573" w14:textId="36D10DB0" w:rsidR="00115907" w:rsidRPr="00A65A1A" w:rsidRDefault="00115907" w:rsidP="00115907">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center"/>
              <w:rPr>
                <w:rFonts w:ascii="Verdana" w:eastAsia="Times New Roman" w:hAnsi="Verdana"/>
                <w:sz w:val="20"/>
                <w:szCs w:val="20"/>
              </w:rPr>
            </w:pPr>
            <w:r>
              <w:rPr>
                <w:rFonts w:ascii="Verdana" w:eastAsia="Times New Roman" w:hAnsi="Verdana"/>
                <w:sz w:val="20"/>
                <w:szCs w:val="20"/>
              </w:rPr>
              <w:t>April 2022</w:t>
            </w:r>
          </w:p>
        </w:tc>
        <w:tc>
          <w:tcPr>
            <w:tcW w:w="1267" w:type="dxa"/>
            <w:tcBorders>
              <w:top w:val="single" w:sz="12" w:space="0" w:color="auto"/>
              <w:left w:val="single" w:sz="8" w:space="0" w:color="0070C0"/>
              <w:bottom w:val="single" w:sz="18" w:space="0" w:color="C0504D" w:themeColor="accent2"/>
              <w:right w:val="single" w:sz="12" w:space="0" w:color="000000"/>
            </w:tcBorders>
            <w:shd w:val="clear" w:color="auto" w:fill="auto"/>
            <w:vAlign w:val="center"/>
          </w:tcPr>
          <w:p w14:paraId="038E912B" w14:textId="1CD44D63" w:rsidR="00115907" w:rsidRPr="00A65A1A" w:rsidRDefault="00115907" w:rsidP="00115907">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center"/>
              <w:rPr>
                <w:rFonts w:ascii="Verdana" w:eastAsia="Times New Roman" w:hAnsi="Verdana"/>
                <w:sz w:val="20"/>
                <w:szCs w:val="20"/>
              </w:rPr>
            </w:pPr>
            <w:r>
              <w:rPr>
                <w:rFonts w:ascii="Verdana" w:eastAsia="Times New Roman" w:hAnsi="Verdana"/>
                <w:sz w:val="20"/>
                <w:szCs w:val="20"/>
              </w:rPr>
              <w:t>May 2022</w:t>
            </w:r>
          </w:p>
        </w:tc>
      </w:tr>
      <w:tr w:rsidR="00115907" w:rsidRPr="00A65A1A" w14:paraId="1B119152" w14:textId="77777777" w:rsidTr="005667B7">
        <w:trPr>
          <w:jc w:val="center"/>
        </w:trPr>
        <w:tc>
          <w:tcPr>
            <w:tcW w:w="2325"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00BF9A71" w14:textId="3018C0E0" w:rsidR="00115907" w:rsidRPr="00A65A1A" w:rsidRDefault="00115907" w:rsidP="00887D14">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 xml:space="preserve">Total </w:t>
            </w:r>
            <w:r w:rsidR="004456EC">
              <w:rPr>
                <w:rFonts w:ascii="Verdana" w:eastAsia="Times New Roman" w:hAnsi="Verdana"/>
                <w:sz w:val="20"/>
                <w:szCs w:val="20"/>
              </w:rPr>
              <w:t>u</w:t>
            </w:r>
            <w:r>
              <w:rPr>
                <w:rFonts w:ascii="Verdana" w:eastAsia="Times New Roman" w:hAnsi="Verdana"/>
                <w:sz w:val="20"/>
                <w:szCs w:val="20"/>
              </w:rPr>
              <w:t xml:space="preserve">sed </w:t>
            </w:r>
            <w:r w:rsidR="004456EC">
              <w:rPr>
                <w:rFonts w:ascii="Verdana" w:eastAsia="Times New Roman" w:hAnsi="Verdana"/>
                <w:sz w:val="20"/>
                <w:szCs w:val="20"/>
              </w:rPr>
              <w:t>v</w:t>
            </w:r>
            <w:r>
              <w:rPr>
                <w:rFonts w:ascii="Verdana" w:eastAsia="Times New Roman" w:hAnsi="Verdana"/>
                <w:sz w:val="20"/>
                <w:szCs w:val="20"/>
              </w:rPr>
              <w:t>olume</w:t>
            </w:r>
          </w:p>
        </w:tc>
        <w:tc>
          <w:tcPr>
            <w:tcW w:w="1152" w:type="dxa"/>
            <w:tcBorders>
              <w:top w:val="single" w:sz="18" w:space="0" w:color="C0504D" w:themeColor="accent2"/>
              <w:left w:val="single" w:sz="18" w:space="0" w:color="0070C0"/>
              <w:bottom w:val="single" w:sz="4" w:space="0" w:color="000000"/>
              <w:right w:val="single" w:sz="8" w:space="0" w:color="0070C0"/>
            </w:tcBorders>
            <w:shd w:val="clear" w:color="auto" w:fill="auto"/>
            <w:vAlign w:val="center"/>
          </w:tcPr>
          <w:p w14:paraId="5194A04A" w14:textId="29699516" w:rsidR="00115907" w:rsidRPr="000F1C6D" w:rsidRDefault="00115907" w:rsidP="005667B7">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3.05 M</w:t>
            </w:r>
          </w:p>
        </w:tc>
        <w:tc>
          <w:tcPr>
            <w:tcW w:w="1267" w:type="dxa"/>
            <w:tcBorders>
              <w:top w:val="single" w:sz="18" w:space="0" w:color="C0504D" w:themeColor="accent2"/>
              <w:left w:val="single" w:sz="8" w:space="0" w:color="0070C0"/>
              <w:bottom w:val="single" w:sz="4" w:space="0" w:color="000000"/>
              <w:right w:val="single" w:sz="8" w:space="0" w:color="0070C0"/>
            </w:tcBorders>
            <w:shd w:val="clear" w:color="auto" w:fill="EAF1DD" w:themeFill="accent3" w:themeFillTint="33"/>
            <w:vAlign w:val="center"/>
          </w:tcPr>
          <w:p w14:paraId="2A0CD22B" w14:textId="4280B0B9" w:rsidR="00115907" w:rsidRPr="00A65A1A" w:rsidRDefault="00115907" w:rsidP="005667B7">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3.11 M</w:t>
            </w:r>
          </w:p>
        </w:tc>
        <w:tc>
          <w:tcPr>
            <w:tcW w:w="1267" w:type="dxa"/>
            <w:tcBorders>
              <w:top w:val="single" w:sz="18" w:space="0" w:color="C0504D" w:themeColor="accent2"/>
              <w:left w:val="single" w:sz="8" w:space="0" w:color="0070C0"/>
              <w:bottom w:val="single" w:sz="4" w:space="0" w:color="000000"/>
              <w:right w:val="single" w:sz="8" w:space="0" w:color="0070C0"/>
            </w:tcBorders>
            <w:shd w:val="clear" w:color="auto" w:fill="D6E3BC" w:themeFill="accent3" w:themeFillTint="66"/>
            <w:vAlign w:val="center"/>
          </w:tcPr>
          <w:p w14:paraId="48E79649" w14:textId="168B183D" w:rsidR="00115907" w:rsidRPr="00A65A1A" w:rsidRDefault="00115907" w:rsidP="005667B7">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3.46 M</w:t>
            </w:r>
          </w:p>
        </w:tc>
        <w:tc>
          <w:tcPr>
            <w:tcW w:w="1267" w:type="dxa"/>
            <w:tcBorders>
              <w:top w:val="single" w:sz="18" w:space="0" w:color="C0504D" w:themeColor="accent2"/>
              <w:left w:val="single" w:sz="8" w:space="0" w:color="0070C0"/>
              <w:bottom w:val="single" w:sz="4" w:space="0" w:color="000000"/>
              <w:right w:val="single" w:sz="8" w:space="0" w:color="0070C0"/>
            </w:tcBorders>
            <w:shd w:val="clear" w:color="auto" w:fill="E5B8B7" w:themeFill="accent2" w:themeFillTint="66"/>
            <w:vAlign w:val="center"/>
          </w:tcPr>
          <w:p w14:paraId="0E7E69BF" w14:textId="52DE231F" w:rsidR="00115907" w:rsidRDefault="00115907" w:rsidP="005667B7">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3.08 M</w:t>
            </w:r>
          </w:p>
        </w:tc>
        <w:tc>
          <w:tcPr>
            <w:tcW w:w="1267" w:type="dxa"/>
            <w:tcBorders>
              <w:top w:val="single" w:sz="18" w:space="0" w:color="C0504D" w:themeColor="accent2"/>
              <w:left w:val="single" w:sz="8" w:space="0" w:color="0070C0"/>
              <w:bottom w:val="single" w:sz="4" w:space="0" w:color="000000"/>
              <w:right w:val="single" w:sz="12" w:space="0" w:color="000000"/>
            </w:tcBorders>
            <w:shd w:val="clear" w:color="auto" w:fill="EAF1DD" w:themeFill="accent3" w:themeFillTint="33"/>
            <w:vAlign w:val="center"/>
          </w:tcPr>
          <w:p w14:paraId="777D401D" w14:textId="511B8015" w:rsidR="00115907" w:rsidRPr="00A65A1A" w:rsidRDefault="00115907" w:rsidP="005667B7">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3.18 M</w:t>
            </w:r>
          </w:p>
        </w:tc>
      </w:tr>
      <w:tr w:rsidR="00115907" w:rsidRPr="00A65A1A" w14:paraId="1CF70865" w14:textId="77777777" w:rsidTr="005667B7">
        <w:trPr>
          <w:jc w:val="center"/>
        </w:trPr>
        <w:tc>
          <w:tcPr>
            <w:tcW w:w="2325"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0C00C924" w14:textId="7EAF1EA6" w:rsidR="00115907" w:rsidRPr="00A65A1A" w:rsidRDefault="00115907" w:rsidP="00887D14">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Used SAAR</w:t>
            </w:r>
          </w:p>
        </w:tc>
        <w:tc>
          <w:tcPr>
            <w:tcW w:w="1152"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15310F18" w14:textId="1347BF40" w:rsidR="00115907" w:rsidRPr="00A65A1A" w:rsidRDefault="00115907" w:rsidP="005667B7">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 xml:space="preserve"> 39.0 M </w:t>
            </w:r>
          </w:p>
        </w:tc>
        <w:tc>
          <w:tcPr>
            <w:tcW w:w="1267"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6C12C277" w14:textId="579255CD" w:rsidR="00115907" w:rsidRPr="00A65A1A" w:rsidRDefault="00115907" w:rsidP="005667B7">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34.5 M</w:t>
            </w:r>
          </w:p>
        </w:tc>
        <w:tc>
          <w:tcPr>
            <w:tcW w:w="1267"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26BB483E" w14:textId="02BCCD88" w:rsidR="00115907" w:rsidRPr="00A65A1A" w:rsidRDefault="00115907" w:rsidP="005667B7">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37.0 M</w:t>
            </w:r>
          </w:p>
        </w:tc>
        <w:tc>
          <w:tcPr>
            <w:tcW w:w="1267"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2A1908D1" w14:textId="4758D6B1" w:rsidR="00115907" w:rsidRPr="00A65A1A" w:rsidRDefault="00115907" w:rsidP="005667B7">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34.7 M</w:t>
            </w:r>
          </w:p>
        </w:tc>
        <w:tc>
          <w:tcPr>
            <w:tcW w:w="1267" w:type="dxa"/>
            <w:tcBorders>
              <w:top w:val="single" w:sz="4" w:space="0" w:color="auto"/>
              <w:left w:val="single" w:sz="8" w:space="0" w:color="0070C0"/>
              <w:bottom w:val="single" w:sz="4" w:space="0" w:color="000000"/>
              <w:right w:val="single" w:sz="12" w:space="0" w:color="000000"/>
            </w:tcBorders>
            <w:shd w:val="clear" w:color="auto" w:fill="EAF1DD" w:themeFill="accent3" w:themeFillTint="33"/>
            <w:vAlign w:val="center"/>
          </w:tcPr>
          <w:p w14:paraId="79CF337C" w14:textId="34E12732" w:rsidR="00115907" w:rsidRPr="00A65A1A" w:rsidRDefault="00E64C4D" w:rsidP="005667B7">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36.8 M</w:t>
            </w:r>
          </w:p>
        </w:tc>
      </w:tr>
      <w:tr w:rsidR="00115907" w:rsidRPr="00A65A1A" w14:paraId="2369B384" w14:textId="77777777" w:rsidTr="005667B7">
        <w:trPr>
          <w:jc w:val="center"/>
        </w:trPr>
        <w:tc>
          <w:tcPr>
            <w:tcW w:w="2325"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50C88C4F" w14:textId="329F5225" w:rsidR="00115907" w:rsidRPr="00A65A1A" w:rsidRDefault="00115907" w:rsidP="00887D14">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 xml:space="preserve">Used </w:t>
            </w:r>
            <w:r w:rsidR="004456EC">
              <w:rPr>
                <w:rFonts w:ascii="Verdana" w:eastAsia="Times New Roman" w:hAnsi="Verdana"/>
                <w:sz w:val="20"/>
                <w:szCs w:val="20"/>
              </w:rPr>
              <w:t>r</w:t>
            </w:r>
            <w:r>
              <w:rPr>
                <w:rFonts w:ascii="Verdana" w:eastAsia="Times New Roman" w:hAnsi="Verdana"/>
                <w:sz w:val="20"/>
                <w:szCs w:val="20"/>
              </w:rPr>
              <w:t xml:space="preserve">etail </w:t>
            </w:r>
            <w:r w:rsidR="004456EC">
              <w:rPr>
                <w:rFonts w:ascii="Verdana" w:eastAsia="Times New Roman" w:hAnsi="Verdana"/>
                <w:sz w:val="20"/>
                <w:szCs w:val="20"/>
              </w:rPr>
              <w:t>v</w:t>
            </w:r>
            <w:r>
              <w:rPr>
                <w:rFonts w:ascii="Verdana" w:eastAsia="Times New Roman" w:hAnsi="Verdana"/>
                <w:sz w:val="20"/>
                <w:szCs w:val="20"/>
              </w:rPr>
              <w:t>olume*</w:t>
            </w:r>
          </w:p>
        </w:tc>
        <w:tc>
          <w:tcPr>
            <w:tcW w:w="1152"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38BBA591" w14:textId="3EA9A04F" w:rsidR="00115907" w:rsidRPr="00A65A1A" w:rsidRDefault="00115907" w:rsidP="005667B7">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1.61 M</w:t>
            </w:r>
          </w:p>
        </w:tc>
        <w:tc>
          <w:tcPr>
            <w:tcW w:w="1267"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44ABEEB5" w14:textId="10B3319F" w:rsidR="00115907" w:rsidRPr="00A65A1A" w:rsidRDefault="00115907" w:rsidP="005667B7">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1.64 M</w:t>
            </w:r>
          </w:p>
        </w:tc>
        <w:tc>
          <w:tcPr>
            <w:tcW w:w="1267"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12F16E06" w14:textId="4620FE9C" w:rsidR="00115907" w:rsidRPr="00A65A1A" w:rsidRDefault="00115907" w:rsidP="005667B7">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1.82 M</w:t>
            </w:r>
          </w:p>
        </w:tc>
        <w:tc>
          <w:tcPr>
            <w:tcW w:w="1267"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0704F073" w14:textId="3CA9840D" w:rsidR="00115907" w:rsidRPr="00A65A1A" w:rsidRDefault="00115907" w:rsidP="005667B7">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1.63</w:t>
            </w:r>
            <w:r w:rsidR="00E64C4D">
              <w:rPr>
                <w:rFonts w:ascii="Verdana" w:eastAsia="Times New Roman" w:hAnsi="Verdana"/>
                <w:sz w:val="20"/>
                <w:szCs w:val="20"/>
              </w:rPr>
              <w:t xml:space="preserve"> </w:t>
            </w:r>
            <w:r>
              <w:rPr>
                <w:rFonts w:ascii="Verdana" w:eastAsia="Times New Roman" w:hAnsi="Verdana"/>
                <w:sz w:val="20"/>
                <w:szCs w:val="20"/>
              </w:rPr>
              <w:t>M</w:t>
            </w:r>
          </w:p>
        </w:tc>
        <w:tc>
          <w:tcPr>
            <w:tcW w:w="1267" w:type="dxa"/>
            <w:tcBorders>
              <w:top w:val="single" w:sz="4" w:space="0" w:color="auto"/>
              <w:left w:val="single" w:sz="8" w:space="0" w:color="0070C0"/>
              <w:bottom w:val="single" w:sz="4" w:space="0" w:color="000000"/>
              <w:right w:val="single" w:sz="12" w:space="0" w:color="000000"/>
            </w:tcBorders>
            <w:shd w:val="clear" w:color="auto" w:fill="EAF1DD" w:themeFill="accent3" w:themeFillTint="33"/>
            <w:vAlign w:val="center"/>
          </w:tcPr>
          <w:p w14:paraId="53168E9B" w14:textId="1A9C913A" w:rsidR="00115907" w:rsidRPr="00A65A1A" w:rsidRDefault="00E64C4D" w:rsidP="005667B7">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1.68 M</w:t>
            </w:r>
          </w:p>
        </w:tc>
      </w:tr>
      <w:tr w:rsidR="00115907" w:rsidRPr="00A65A1A" w14:paraId="30C96732" w14:textId="77777777" w:rsidTr="005667B7">
        <w:trPr>
          <w:jc w:val="center"/>
        </w:trPr>
        <w:tc>
          <w:tcPr>
            <w:tcW w:w="2325"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157F0219" w14:textId="38181252" w:rsidR="00115907" w:rsidRPr="00A65A1A" w:rsidRDefault="00115907" w:rsidP="00887D14">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 xml:space="preserve">Used </w:t>
            </w:r>
            <w:r w:rsidR="004456EC">
              <w:rPr>
                <w:rFonts w:ascii="Verdana" w:eastAsia="Times New Roman" w:hAnsi="Verdana"/>
                <w:sz w:val="20"/>
                <w:szCs w:val="20"/>
              </w:rPr>
              <w:t>r</w:t>
            </w:r>
            <w:r>
              <w:rPr>
                <w:rFonts w:ascii="Verdana" w:eastAsia="Times New Roman" w:hAnsi="Verdana"/>
                <w:sz w:val="20"/>
                <w:szCs w:val="20"/>
              </w:rPr>
              <w:t>etail SAAR</w:t>
            </w:r>
            <w:r w:rsidR="00EE32D0">
              <w:rPr>
                <w:rFonts w:ascii="Verdana" w:eastAsia="Times New Roman" w:hAnsi="Verdana"/>
                <w:sz w:val="20"/>
                <w:szCs w:val="20"/>
              </w:rPr>
              <w:t>†</w:t>
            </w:r>
          </w:p>
        </w:tc>
        <w:tc>
          <w:tcPr>
            <w:tcW w:w="1152" w:type="dxa"/>
            <w:tcBorders>
              <w:top w:val="single" w:sz="4" w:space="0" w:color="000000"/>
              <w:left w:val="single" w:sz="18" w:space="0" w:color="0070C0"/>
              <w:bottom w:val="single" w:sz="12" w:space="0" w:color="000000"/>
              <w:right w:val="single" w:sz="8" w:space="0" w:color="0070C0"/>
            </w:tcBorders>
            <w:shd w:val="clear" w:color="auto" w:fill="auto"/>
            <w:vAlign w:val="center"/>
          </w:tcPr>
          <w:p w14:paraId="4480418A" w14:textId="0DBADE51" w:rsidR="00115907" w:rsidRPr="00A65A1A" w:rsidRDefault="00115907" w:rsidP="005667B7">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20.6 M</w:t>
            </w:r>
          </w:p>
        </w:tc>
        <w:tc>
          <w:tcPr>
            <w:tcW w:w="1267" w:type="dxa"/>
            <w:tcBorders>
              <w:top w:val="single" w:sz="4" w:space="0" w:color="000000"/>
              <w:left w:val="single" w:sz="8" w:space="0" w:color="0070C0"/>
              <w:bottom w:val="single" w:sz="12" w:space="0" w:color="000000"/>
              <w:right w:val="single" w:sz="8" w:space="0" w:color="0070C0"/>
            </w:tcBorders>
            <w:shd w:val="clear" w:color="auto" w:fill="F2DBDB" w:themeFill="accent2" w:themeFillTint="33"/>
            <w:vAlign w:val="center"/>
          </w:tcPr>
          <w:p w14:paraId="6611ED89" w14:textId="33F2469B" w:rsidR="00115907" w:rsidRPr="00A65A1A" w:rsidRDefault="00115907" w:rsidP="005667B7">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18.2 M</w:t>
            </w:r>
          </w:p>
        </w:tc>
        <w:tc>
          <w:tcPr>
            <w:tcW w:w="1267" w:type="dxa"/>
            <w:tcBorders>
              <w:top w:val="single" w:sz="4" w:space="0" w:color="000000"/>
              <w:left w:val="single" w:sz="8" w:space="0" w:color="0070C0"/>
              <w:bottom w:val="single" w:sz="12" w:space="0" w:color="000000"/>
              <w:right w:val="single" w:sz="8" w:space="0" w:color="0070C0"/>
            </w:tcBorders>
            <w:shd w:val="clear" w:color="auto" w:fill="EAF1DD" w:themeFill="accent3" w:themeFillTint="33"/>
            <w:vAlign w:val="center"/>
          </w:tcPr>
          <w:p w14:paraId="58D28B2B" w14:textId="029B7A10" w:rsidR="00115907" w:rsidRPr="00A65A1A" w:rsidRDefault="00115907" w:rsidP="005667B7">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19.5 M</w:t>
            </w:r>
          </w:p>
        </w:tc>
        <w:tc>
          <w:tcPr>
            <w:tcW w:w="1267" w:type="dxa"/>
            <w:tcBorders>
              <w:top w:val="single" w:sz="4" w:space="0" w:color="000000"/>
              <w:left w:val="single" w:sz="8" w:space="0" w:color="0070C0"/>
              <w:bottom w:val="single" w:sz="12" w:space="0" w:color="000000"/>
              <w:right w:val="single" w:sz="8" w:space="0" w:color="0070C0"/>
            </w:tcBorders>
            <w:shd w:val="clear" w:color="auto" w:fill="F2DBDB" w:themeFill="accent2" w:themeFillTint="33"/>
            <w:vAlign w:val="center"/>
          </w:tcPr>
          <w:p w14:paraId="20CB37E8" w14:textId="79F35EC3" w:rsidR="00115907" w:rsidRPr="008C1BE9" w:rsidRDefault="00115907" w:rsidP="005667B7">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18.3 M</w:t>
            </w:r>
          </w:p>
        </w:tc>
        <w:tc>
          <w:tcPr>
            <w:tcW w:w="1267" w:type="dxa"/>
            <w:tcBorders>
              <w:top w:val="single" w:sz="4" w:space="0" w:color="000000"/>
              <w:left w:val="single" w:sz="8" w:space="0" w:color="0070C0"/>
              <w:bottom w:val="single" w:sz="12" w:space="0" w:color="000000"/>
              <w:right w:val="single" w:sz="12" w:space="0" w:color="000000"/>
            </w:tcBorders>
            <w:shd w:val="clear" w:color="auto" w:fill="EAF1DD" w:themeFill="accent3" w:themeFillTint="33"/>
            <w:vAlign w:val="center"/>
          </w:tcPr>
          <w:p w14:paraId="2031C7C4" w14:textId="7C0D7505" w:rsidR="00115907" w:rsidRPr="008C1BE9" w:rsidRDefault="00E64C4D" w:rsidP="005667B7">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19.4 M</w:t>
            </w:r>
          </w:p>
        </w:tc>
      </w:tr>
    </w:tbl>
    <w:p w14:paraId="3FEB19CA" w14:textId="3347D80A" w:rsidR="00EE32D0" w:rsidRDefault="00EE32D0" w:rsidP="00EE32D0">
      <w:pPr>
        <w:tabs>
          <w:tab w:val="left" w:pos="450"/>
        </w:tabs>
        <w:spacing w:after="0" w:line="240" w:lineRule="auto"/>
        <w:contextualSpacing/>
        <w:mirrorIndents/>
        <w:rPr>
          <w:sz w:val="16"/>
          <w:szCs w:val="16"/>
        </w:rPr>
      </w:pPr>
      <w:r>
        <w:rPr>
          <w:sz w:val="16"/>
          <w:szCs w:val="16"/>
        </w:rPr>
        <w:tab/>
      </w:r>
      <w:r w:rsidR="00E64C4D">
        <w:rPr>
          <w:sz w:val="16"/>
          <w:szCs w:val="16"/>
        </w:rPr>
        <w:t>Cox Automotive, June 2022</w:t>
      </w:r>
      <w:r>
        <w:rPr>
          <w:sz w:val="16"/>
          <w:szCs w:val="16"/>
        </w:rPr>
        <w:tab/>
      </w:r>
      <w:r w:rsidR="00E64C4D">
        <w:rPr>
          <w:sz w:val="16"/>
          <w:szCs w:val="16"/>
        </w:rPr>
        <w:t xml:space="preserve">*used vehicles sold at dealers </w:t>
      </w:r>
      <w:r>
        <w:rPr>
          <w:sz w:val="16"/>
          <w:szCs w:val="16"/>
        </w:rPr>
        <w:tab/>
      </w:r>
      <w:r w:rsidRPr="00EE32D0">
        <w:rPr>
          <w:rFonts w:ascii="Verdana" w:eastAsia="Times New Roman" w:hAnsi="Verdana"/>
          <w:sz w:val="16"/>
          <w:szCs w:val="16"/>
        </w:rPr>
        <w:t>†</w:t>
      </w:r>
      <w:r>
        <w:rPr>
          <w:rFonts w:ascii="Verdana" w:eastAsia="Times New Roman" w:hAnsi="Verdana"/>
          <w:sz w:val="16"/>
          <w:szCs w:val="16"/>
        </w:rPr>
        <w:t>Seasonally-Adjusted Annual Rate</w:t>
      </w:r>
    </w:p>
    <w:p w14:paraId="6F12FB31" w14:textId="6637B539" w:rsidR="00441C53" w:rsidRPr="00EE32D0" w:rsidRDefault="00EE32D0" w:rsidP="00EE32D0">
      <w:pPr>
        <w:tabs>
          <w:tab w:val="left" w:pos="450"/>
        </w:tabs>
        <w:spacing w:after="0" w:line="240" w:lineRule="auto"/>
        <w:ind w:firstLine="90"/>
        <w:contextualSpacing/>
        <w:mirrorIndents/>
        <w:rPr>
          <w:sz w:val="16"/>
          <w:szCs w:val="16"/>
        </w:rPr>
      </w:pPr>
      <w:r>
        <w:rPr>
          <w:sz w:val="16"/>
          <w:szCs w:val="16"/>
        </w:rPr>
        <w:tab/>
      </w:r>
      <w:r w:rsidR="00E64C4D">
        <w:rPr>
          <w:sz w:val="16"/>
          <w:szCs w:val="16"/>
        </w:rPr>
        <w:t>(color represents the change from the previous month)</w:t>
      </w:r>
      <w:r w:rsidR="00391A78">
        <w:rPr>
          <w:rFonts w:ascii="Verdana" w:hAnsi="Verdana"/>
          <w:sz w:val="16"/>
          <w:szCs w:val="16"/>
        </w:rPr>
        <w:tab/>
      </w:r>
    </w:p>
    <w:p w14:paraId="660A75ED" w14:textId="3A5B029A" w:rsidR="00391A78" w:rsidRDefault="00391A78" w:rsidP="0033101A">
      <w:pPr>
        <w:spacing w:after="0" w:line="240" w:lineRule="auto"/>
        <w:contextualSpacing/>
        <w:mirrorIndents/>
        <w:rPr>
          <w:rFonts w:ascii="Verdana" w:hAnsi="Verdana"/>
          <w:sz w:val="20"/>
          <w:szCs w:val="20"/>
        </w:rPr>
      </w:pPr>
    </w:p>
    <w:p w14:paraId="507FB14D" w14:textId="4DC1AB44" w:rsidR="00391A78" w:rsidRDefault="00391A78" w:rsidP="0033101A">
      <w:pPr>
        <w:spacing w:after="0" w:line="240" w:lineRule="auto"/>
        <w:contextualSpacing/>
        <w:mirrorIndents/>
        <w:rPr>
          <w:rFonts w:ascii="Verdana" w:hAnsi="Verdana"/>
          <w:sz w:val="20"/>
          <w:szCs w:val="20"/>
        </w:rPr>
      </w:pPr>
    </w:p>
    <w:p w14:paraId="17BDF0AD" w14:textId="52C1C798" w:rsidR="0033101A" w:rsidRPr="002151DD" w:rsidRDefault="0033101A" w:rsidP="002151DD">
      <w:pPr>
        <w:spacing w:after="0" w:line="240" w:lineRule="auto"/>
        <w:contextualSpacing/>
        <w:mirrorIndents/>
        <w:jc w:val="center"/>
        <w:rPr>
          <w:rFonts w:ascii="Verdana" w:hAnsi="Verdana"/>
          <w:b/>
          <w:bCs/>
          <w:color w:val="0070C0"/>
          <w:sz w:val="20"/>
          <w:szCs w:val="20"/>
        </w:rPr>
      </w:pPr>
      <w:r w:rsidRPr="002151DD">
        <w:rPr>
          <w:rFonts w:ascii="Verdana" w:hAnsi="Verdana"/>
          <w:b/>
          <w:bCs/>
          <w:color w:val="0070C0"/>
          <w:sz w:val="20"/>
          <w:szCs w:val="20"/>
        </w:rPr>
        <w:lastRenderedPageBreak/>
        <w:t>Price and Loan Rates Limit Consumer Affordability</w:t>
      </w:r>
    </w:p>
    <w:p w14:paraId="6CC6D68A" w14:textId="26956B98" w:rsidR="0033101A" w:rsidRDefault="0033101A" w:rsidP="0033101A">
      <w:pPr>
        <w:spacing w:after="0" w:line="240" w:lineRule="auto"/>
        <w:contextualSpacing/>
        <w:mirrorIndents/>
        <w:rPr>
          <w:rFonts w:ascii="Verdana" w:hAnsi="Verdana"/>
          <w:sz w:val="20"/>
          <w:szCs w:val="20"/>
        </w:rPr>
      </w:pPr>
    </w:p>
    <w:p w14:paraId="428E0E4F" w14:textId="1F506031" w:rsidR="009255F4" w:rsidRPr="00B93F15" w:rsidRDefault="009255F4" w:rsidP="009255F4">
      <w:pPr>
        <w:spacing w:after="0" w:line="240" w:lineRule="auto"/>
        <w:contextualSpacing/>
        <w:mirrorIndents/>
        <w:rPr>
          <w:rFonts w:ascii="Verdana" w:hAnsi="Verdana"/>
          <w:sz w:val="20"/>
          <w:szCs w:val="20"/>
        </w:rPr>
      </w:pPr>
      <w:r>
        <w:rPr>
          <w:rFonts w:ascii="Verdana" w:hAnsi="Verdana"/>
          <w:sz w:val="20"/>
          <w:szCs w:val="20"/>
        </w:rPr>
        <w:t>The used-vehicle loan rate for consumers with the highest credit score was 7.85% during early June 2022, but ranged to as much as 20.69% for consumers with the poorest credit rating (451–599).</w:t>
      </w:r>
    </w:p>
    <w:p w14:paraId="4D4D7BDC" w14:textId="3095985D" w:rsidR="002151DD" w:rsidRDefault="002151DD" w:rsidP="0033101A">
      <w:pPr>
        <w:spacing w:after="0" w:line="240" w:lineRule="auto"/>
        <w:contextualSpacing/>
        <w:mirrorIndents/>
        <w:rPr>
          <w:rFonts w:ascii="Verdana" w:hAnsi="Verdana"/>
          <w:sz w:val="20"/>
          <w:szCs w:val="20"/>
        </w:rPr>
      </w:pPr>
    </w:p>
    <w:p w14:paraId="760301C5" w14:textId="60F2C17B" w:rsidR="002151DD" w:rsidRDefault="009255F4" w:rsidP="0033101A">
      <w:pPr>
        <w:spacing w:after="0" w:line="240" w:lineRule="auto"/>
        <w:contextualSpacing/>
        <w:mirrorIndents/>
        <w:rPr>
          <w:rFonts w:ascii="Verdana" w:hAnsi="Verdana"/>
          <w:sz w:val="20"/>
          <w:szCs w:val="20"/>
        </w:rPr>
      </w:pPr>
      <w:r>
        <w:rPr>
          <w:rFonts w:ascii="Verdana" w:hAnsi="Verdana"/>
          <w:sz w:val="20"/>
          <w:szCs w:val="20"/>
        </w:rPr>
        <w:t>As of 6/15/22, CarGurus reported the average used-vehicle price was $30,771, which had decreased 0.09% during the last 30 days</w:t>
      </w:r>
      <w:r w:rsidR="00194802">
        <w:rPr>
          <w:rFonts w:ascii="Verdana" w:hAnsi="Verdana"/>
          <w:sz w:val="20"/>
          <w:szCs w:val="20"/>
        </w:rPr>
        <w:t>, but increased 1.33% during the past 90 days and increased 13.66% YOY.</w:t>
      </w:r>
    </w:p>
    <w:p w14:paraId="6950C747" w14:textId="5AF9E434" w:rsidR="002151DD" w:rsidRDefault="002151DD" w:rsidP="0033101A">
      <w:pPr>
        <w:spacing w:after="0" w:line="240" w:lineRule="auto"/>
        <w:contextualSpacing/>
        <w:mirrorIndents/>
        <w:rPr>
          <w:rFonts w:ascii="Verdana" w:hAnsi="Verdana"/>
          <w:sz w:val="20"/>
          <w:szCs w:val="20"/>
        </w:rPr>
      </w:pPr>
    </w:p>
    <w:p w14:paraId="3FB490EF" w14:textId="0EC09B14" w:rsidR="002151DD" w:rsidRDefault="00194802" w:rsidP="0033101A">
      <w:pPr>
        <w:spacing w:after="0" w:line="240" w:lineRule="auto"/>
        <w:contextualSpacing/>
        <w:mirrorIndents/>
        <w:rPr>
          <w:rFonts w:ascii="Verdana" w:hAnsi="Verdana"/>
          <w:sz w:val="20"/>
          <w:szCs w:val="20"/>
        </w:rPr>
      </w:pPr>
      <w:r>
        <w:rPr>
          <w:rFonts w:ascii="Verdana" w:hAnsi="Verdana"/>
          <w:sz w:val="20"/>
          <w:szCs w:val="20"/>
        </w:rPr>
        <w:t>Among four major auto brand divisions, Ford had the highest average price for a used car as of 6/15/22 at $30,612 (+1.2 last 30 days), Chevrolet at $30,382 -0.8% last 30 days), Jeep at $29,731 (-0.5% last 30 days) and Toyota at $28,072 (+0.5% last 30 days).</w:t>
      </w:r>
    </w:p>
    <w:p w14:paraId="4A2B4D78" w14:textId="77777777" w:rsidR="002151DD" w:rsidRDefault="002151DD" w:rsidP="0033101A">
      <w:pPr>
        <w:spacing w:after="0" w:line="240" w:lineRule="auto"/>
        <w:contextualSpacing/>
        <w:mirrorIndents/>
        <w:rPr>
          <w:rFonts w:ascii="Verdana" w:hAnsi="Verdana"/>
          <w:sz w:val="20"/>
          <w:szCs w:val="20"/>
        </w:rPr>
      </w:pPr>
    </w:p>
    <w:p w14:paraId="0D2234E2" w14:textId="74538A68" w:rsidR="001170C1" w:rsidRPr="00CC1ECE" w:rsidRDefault="00194802" w:rsidP="001170C1">
      <w:pPr>
        <w:pStyle w:val="Header"/>
        <w:contextualSpacing/>
        <w:jc w:val="center"/>
        <w:rPr>
          <w:rFonts w:ascii="Verdana" w:hAnsi="Verdana"/>
          <w:b/>
          <w:sz w:val="20"/>
          <w:szCs w:val="20"/>
        </w:rPr>
      </w:pPr>
      <w:r>
        <w:rPr>
          <w:rFonts w:ascii="Verdana" w:hAnsi="Verdana"/>
          <w:b/>
          <w:sz w:val="20"/>
          <w:szCs w:val="20"/>
        </w:rPr>
        <w:t xml:space="preserve">Average Used-Vehicle Price by </w:t>
      </w:r>
      <w:r w:rsidR="00864059">
        <w:rPr>
          <w:rFonts w:ascii="Verdana" w:hAnsi="Verdana"/>
          <w:b/>
          <w:sz w:val="20"/>
          <w:szCs w:val="20"/>
        </w:rPr>
        <w:t>Body Styles as of 6/15/22</w:t>
      </w:r>
    </w:p>
    <w:tbl>
      <w:tblPr>
        <w:tblW w:w="8385"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1661"/>
        <w:gridCol w:w="1267"/>
        <w:gridCol w:w="1267"/>
        <w:gridCol w:w="1656"/>
        <w:gridCol w:w="1267"/>
        <w:gridCol w:w="1267"/>
      </w:tblGrid>
      <w:tr w:rsidR="00864059" w:rsidRPr="00DB5378" w14:paraId="0E24F5D0" w14:textId="77777777" w:rsidTr="001170C1">
        <w:trPr>
          <w:jc w:val="center"/>
        </w:trPr>
        <w:tc>
          <w:tcPr>
            <w:tcW w:w="1661" w:type="dxa"/>
            <w:tcBorders>
              <w:top w:val="single" w:sz="12" w:space="0" w:color="000000"/>
              <w:left w:val="single" w:sz="12" w:space="0" w:color="000000"/>
              <w:bottom w:val="single" w:sz="18" w:space="0" w:color="C0504D" w:themeColor="accent2"/>
              <w:right w:val="single" w:sz="12" w:space="0" w:color="0070C0"/>
            </w:tcBorders>
            <w:vAlign w:val="center"/>
          </w:tcPr>
          <w:p w14:paraId="270BB5EA" w14:textId="42149D56" w:rsidR="00864059" w:rsidRPr="00DB5378" w:rsidRDefault="00864059" w:rsidP="00864059">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Body Style</w:t>
            </w:r>
          </w:p>
        </w:tc>
        <w:tc>
          <w:tcPr>
            <w:tcW w:w="1267" w:type="dxa"/>
            <w:tcBorders>
              <w:top w:val="single" w:sz="12" w:space="0" w:color="000000"/>
              <w:left w:val="single" w:sz="12" w:space="0" w:color="0070C0"/>
              <w:bottom w:val="single" w:sz="18" w:space="0" w:color="C0504D" w:themeColor="accent2"/>
              <w:right w:val="single" w:sz="2" w:space="0" w:color="0070C0"/>
            </w:tcBorders>
            <w:vAlign w:val="center"/>
          </w:tcPr>
          <w:p w14:paraId="074E87E3" w14:textId="2FAD9948" w:rsidR="00864059" w:rsidRPr="00DB5378" w:rsidRDefault="00864059" w:rsidP="00864059">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Price</w:t>
            </w:r>
          </w:p>
        </w:tc>
        <w:tc>
          <w:tcPr>
            <w:tcW w:w="1267" w:type="dxa"/>
            <w:tcBorders>
              <w:top w:val="single" w:sz="12" w:space="0" w:color="000000"/>
              <w:left w:val="single" w:sz="2" w:space="0" w:color="0070C0"/>
              <w:bottom w:val="single" w:sz="18" w:space="0" w:color="C0504D" w:themeColor="accent2"/>
              <w:right w:val="single" w:sz="18" w:space="0" w:color="0070C0"/>
            </w:tcBorders>
            <w:vAlign w:val="center"/>
          </w:tcPr>
          <w:p w14:paraId="6ABFB394" w14:textId="4122F9D9" w:rsidR="00864059" w:rsidRPr="00DB5378" w:rsidRDefault="00864059" w:rsidP="00864059">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 xml:space="preserve">Last 30 </w:t>
            </w:r>
            <w:r w:rsidR="004456EC">
              <w:rPr>
                <w:rFonts w:ascii="Verdana" w:eastAsia="Times New Roman" w:hAnsi="Verdana"/>
                <w:sz w:val="20"/>
                <w:szCs w:val="20"/>
              </w:rPr>
              <w:t>D</w:t>
            </w:r>
            <w:r>
              <w:rPr>
                <w:rFonts w:ascii="Verdana" w:eastAsia="Times New Roman" w:hAnsi="Verdana"/>
                <w:sz w:val="20"/>
                <w:szCs w:val="20"/>
              </w:rPr>
              <w:t>ays</w:t>
            </w:r>
          </w:p>
        </w:tc>
        <w:tc>
          <w:tcPr>
            <w:tcW w:w="1656" w:type="dxa"/>
            <w:tcBorders>
              <w:top w:val="single" w:sz="12" w:space="0" w:color="000000"/>
              <w:left w:val="single" w:sz="18" w:space="0" w:color="0070C0"/>
              <w:bottom w:val="single" w:sz="18" w:space="0" w:color="C0504D" w:themeColor="accent2"/>
              <w:right w:val="single" w:sz="12" w:space="0" w:color="0070C0"/>
            </w:tcBorders>
            <w:vAlign w:val="center"/>
          </w:tcPr>
          <w:p w14:paraId="575923BC" w14:textId="2BE4C615" w:rsidR="00864059" w:rsidRDefault="00864059" w:rsidP="00864059">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Body Style</w:t>
            </w:r>
          </w:p>
        </w:tc>
        <w:tc>
          <w:tcPr>
            <w:tcW w:w="1267" w:type="dxa"/>
            <w:tcBorders>
              <w:top w:val="single" w:sz="12" w:space="0" w:color="000000"/>
              <w:left w:val="single" w:sz="12" w:space="0" w:color="0070C0"/>
              <w:bottom w:val="single" w:sz="18" w:space="0" w:color="C0504D" w:themeColor="accent2"/>
              <w:right w:val="single" w:sz="2" w:space="0" w:color="0070C0"/>
            </w:tcBorders>
            <w:vAlign w:val="center"/>
          </w:tcPr>
          <w:p w14:paraId="11BCBD84" w14:textId="63B7365C" w:rsidR="00864059" w:rsidRDefault="00864059" w:rsidP="00864059">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Price</w:t>
            </w:r>
          </w:p>
        </w:tc>
        <w:tc>
          <w:tcPr>
            <w:tcW w:w="1267" w:type="dxa"/>
            <w:tcBorders>
              <w:top w:val="single" w:sz="12" w:space="0" w:color="000000"/>
              <w:left w:val="single" w:sz="2" w:space="0" w:color="0070C0"/>
              <w:bottom w:val="single" w:sz="18" w:space="0" w:color="C0504D" w:themeColor="accent2"/>
              <w:right w:val="single" w:sz="12" w:space="0" w:color="000000"/>
            </w:tcBorders>
            <w:vAlign w:val="center"/>
          </w:tcPr>
          <w:p w14:paraId="10BF18BE" w14:textId="740B5D37" w:rsidR="00864059" w:rsidRDefault="00864059" w:rsidP="00864059">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 xml:space="preserve">Last 30 </w:t>
            </w:r>
            <w:r w:rsidR="004456EC">
              <w:rPr>
                <w:rFonts w:ascii="Verdana" w:eastAsia="Times New Roman" w:hAnsi="Verdana"/>
                <w:sz w:val="20"/>
                <w:szCs w:val="20"/>
              </w:rPr>
              <w:t>D</w:t>
            </w:r>
            <w:r>
              <w:rPr>
                <w:rFonts w:ascii="Verdana" w:eastAsia="Times New Roman" w:hAnsi="Verdana"/>
                <w:sz w:val="20"/>
                <w:szCs w:val="20"/>
              </w:rPr>
              <w:t>ays</w:t>
            </w:r>
          </w:p>
        </w:tc>
      </w:tr>
      <w:tr w:rsidR="00864059" w:rsidRPr="00DB5378" w14:paraId="609F7524" w14:textId="77777777" w:rsidTr="001170C1">
        <w:tblPrEx>
          <w:tblBorders>
            <w:top w:val="none" w:sz="0" w:space="0" w:color="auto"/>
          </w:tblBorders>
        </w:tblPrEx>
        <w:trPr>
          <w:jc w:val="center"/>
        </w:trPr>
        <w:tc>
          <w:tcPr>
            <w:tcW w:w="1661" w:type="dxa"/>
            <w:tcBorders>
              <w:top w:val="single" w:sz="18" w:space="0" w:color="C0504D" w:themeColor="accent2"/>
              <w:left w:val="single" w:sz="12" w:space="0" w:color="000000"/>
              <w:bottom w:val="single" w:sz="4" w:space="0" w:color="000000"/>
              <w:right w:val="single" w:sz="12" w:space="0" w:color="0070C0"/>
            </w:tcBorders>
            <w:vAlign w:val="center"/>
          </w:tcPr>
          <w:p w14:paraId="3AF6D64C" w14:textId="1CBBC664" w:rsidR="00864059" w:rsidRPr="00DB5378" w:rsidRDefault="00864059" w:rsidP="00864059">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Coupe</w:t>
            </w:r>
          </w:p>
        </w:tc>
        <w:tc>
          <w:tcPr>
            <w:tcW w:w="1267" w:type="dxa"/>
            <w:tcBorders>
              <w:top w:val="single" w:sz="18" w:space="0" w:color="C0504D" w:themeColor="accent2"/>
              <w:left w:val="single" w:sz="12" w:space="0" w:color="0070C0"/>
              <w:bottom w:val="single" w:sz="4" w:space="0" w:color="auto"/>
              <w:right w:val="single" w:sz="2" w:space="0" w:color="0070C0"/>
            </w:tcBorders>
            <w:vAlign w:val="center"/>
          </w:tcPr>
          <w:p w14:paraId="2A88021E" w14:textId="47F3C21E" w:rsidR="00864059" w:rsidRPr="00DB5378" w:rsidRDefault="00864059" w:rsidP="0086405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$41,074</w:t>
            </w:r>
          </w:p>
        </w:tc>
        <w:tc>
          <w:tcPr>
            <w:tcW w:w="1267" w:type="dxa"/>
            <w:tcBorders>
              <w:top w:val="single" w:sz="18" w:space="0" w:color="C0504D" w:themeColor="accent2"/>
              <w:left w:val="single" w:sz="2" w:space="0" w:color="0070C0"/>
              <w:bottom w:val="single" w:sz="4" w:space="0" w:color="auto"/>
              <w:right w:val="single" w:sz="18" w:space="0" w:color="0070C0"/>
            </w:tcBorders>
            <w:shd w:val="clear" w:color="auto" w:fill="E5B8B7" w:themeFill="accent2" w:themeFillTint="66"/>
            <w:vAlign w:val="center"/>
          </w:tcPr>
          <w:p w14:paraId="3EC610F1" w14:textId="52A9BE00" w:rsidR="00864059" w:rsidRPr="00DB5378" w:rsidRDefault="00864059" w:rsidP="0086405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+1.63%</w:t>
            </w:r>
          </w:p>
        </w:tc>
        <w:tc>
          <w:tcPr>
            <w:tcW w:w="1656" w:type="dxa"/>
            <w:tcBorders>
              <w:top w:val="single" w:sz="18" w:space="0" w:color="C0504D" w:themeColor="accent2"/>
              <w:left w:val="single" w:sz="18" w:space="0" w:color="0070C0"/>
              <w:bottom w:val="single" w:sz="4" w:space="0" w:color="auto"/>
              <w:right w:val="single" w:sz="12" w:space="0" w:color="0070C0"/>
            </w:tcBorders>
            <w:shd w:val="clear" w:color="auto" w:fill="auto"/>
            <w:vAlign w:val="center"/>
          </w:tcPr>
          <w:p w14:paraId="4F84B16F" w14:textId="61A6378D" w:rsidR="00864059" w:rsidRDefault="00864059" w:rsidP="0086405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Crossover</w:t>
            </w:r>
          </w:p>
        </w:tc>
        <w:tc>
          <w:tcPr>
            <w:tcW w:w="1267" w:type="dxa"/>
            <w:tcBorders>
              <w:top w:val="single" w:sz="18" w:space="0" w:color="C0504D" w:themeColor="accent2"/>
              <w:left w:val="single" w:sz="12" w:space="0" w:color="0070C0"/>
              <w:bottom w:val="single" w:sz="4" w:space="0" w:color="auto"/>
              <w:right w:val="single" w:sz="2" w:space="0" w:color="0070C0"/>
            </w:tcBorders>
            <w:shd w:val="clear" w:color="auto" w:fill="auto"/>
            <w:vAlign w:val="center"/>
          </w:tcPr>
          <w:p w14:paraId="3097DEE5" w14:textId="40ADF90F" w:rsidR="00864059" w:rsidRDefault="00864059" w:rsidP="0086405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$27,496</w:t>
            </w:r>
          </w:p>
        </w:tc>
        <w:tc>
          <w:tcPr>
            <w:tcW w:w="1267" w:type="dxa"/>
            <w:tcBorders>
              <w:top w:val="single" w:sz="18" w:space="0" w:color="C0504D" w:themeColor="accent2"/>
              <w:left w:val="single" w:sz="2" w:space="0" w:color="0070C0"/>
              <w:bottom w:val="single" w:sz="4" w:space="0" w:color="auto"/>
              <w:right w:val="single" w:sz="12" w:space="0" w:color="000000"/>
            </w:tcBorders>
            <w:shd w:val="clear" w:color="auto" w:fill="EAF1DD" w:themeFill="accent3" w:themeFillTint="33"/>
            <w:vAlign w:val="center"/>
          </w:tcPr>
          <w:p w14:paraId="4D4EBC6D" w14:textId="6D38904F" w:rsidR="00864059" w:rsidRDefault="00864059" w:rsidP="0086405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-0.31%</w:t>
            </w:r>
          </w:p>
        </w:tc>
      </w:tr>
      <w:tr w:rsidR="00864059" w:rsidRPr="00DB5378" w14:paraId="04F8200E" w14:textId="77777777" w:rsidTr="001170C1">
        <w:tblPrEx>
          <w:tblBorders>
            <w:top w:val="none" w:sz="0" w:space="0" w:color="auto"/>
          </w:tblBorders>
        </w:tblPrEx>
        <w:trPr>
          <w:jc w:val="center"/>
        </w:trPr>
        <w:tc>
          <w:tcPr>
            <w:tcW w:w="1661" w:type="dxa"/>
            <w:tcBorders>
              <w:top w:val="single" w:sz="4" w:space="0" w:color="000000"/>
              <w:left w:val="single" w:sz="12" w:space="0" w:color="000000"/>
              <w:bottom w:val="single" w:sz="4" w:space="0" w:color="000000"/>
              <w:right w:val="single" w:sz="12" w:space="0" w:color="0070C0"/>
            </w:tcBorders>
            <w:vAlign w:val="center"/>
          </w:tcPr>
          <w:p w14:paraId="605DD439" w14:textId="04368A00" w:rsidR="00864059" w:rsidRDefault="00864059" w:rsidP="00864059">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SUV</w:t>
            </w:r>
          </w:p>
        </w:tc>
        <w:tc>
          <w:tcPr>
            <w:tcW w:w="1267" w:type="dxa"/>
            <w:tcBorders>
              <w:top w:val="single" w:sz="4" w:space="0" w:color="auto"/>
              <w:left w:val="single" w:sz="12" w:space="0" w:color="0070C0"/>
              <w:bottom w:val="single" w:sz="4" w:space="0" w:color="000000"/>
              <w:right w:val="single" w:sz="2" w:space="0" w:color="0070C0"/>
            </w:tcBorders>
            <w:vAlign w:val="center"/>
          </w:tcPr>
          <w:p w14:paraId="0AA36900" w14:textId="40D7D161" w:rsidR="00864059" w:rsidRDefault="00864059" w:rsidP="0086405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$39,495</w:t>
            </w:r>
          </w:p>
        </w:tc>
        <w:tc>
          <w:tcPr>
            <w:tcW w:w="1267" w:type="dxa"/>
            <w:tcBorders>
              <w:top w:val="single" w:sz="4" w:space="0" w:color="auto"/>
              <w:left w:val="single" w:sz="2" w:space="0" w:color="0070C0"/>
              <w:bottom w:val="single" w:sz="4" w:space="0" w:color="000000"/>
              <w:right w:val="single" w:sz="18" w:space="0" w:color="0070C0"/>
            </w:tcBorders>
            <w:shd w:val="clear" w:color="auto" w:fill="EAF1DD" w:themeFill="accent3" w:themeFillTint="33"/>
            <w:vAlign w:val="center"/>
          </w:tcPr>
          <w:p w14:paraId="39FFD3C2" w14:textId="2E0C596D" w:rsidR="00864059" w:rsidRDefault="00864059" w:rsidP="0086405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-0.54%</w:t>
            </w:r>
          </w:p>
        </w:tc>
        <w:tc>
          <w:tcPr>
            <w:tcW w:w="1656" w:type="dxa"/>
            <w:tcBorders>
              <w:top w:val="single" w:sz="4" w:space="0" w:color="auto"/>
              <w:left w:val="single" w:sz="18" w:space="0" w:color="0070C0"/>
              <w:bottom w:val="single" w:sz="4" w:space="0" w:color="000000"/>
              <w:right w:val="single" w:sz="12" w:space="0" w:color="0070C0"/>
            </w:tcBorders>
            <w:shd w:val="clear" w:color="auto" w:fill="auto"/>
            <w:vAlign w:val="center"/>
          </w:tcPr>
          <w:p w14:paraId="266B7A24" w14:textId="65050AC8" w:rsidR="00864059" w:rsidRDefault="00864059" w:rsidP="0086405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Minivan</w:t>
            </w:r>
          </w:p>
        </w:tc>
        <w:tc>
          <w:tcPr>
            <w:tcW w:w="1267" w:type="dxa"/>
            <w:tcBorders>
              <w:top w:val="single" w:sz="4" w:space="0" w:color="auto"/>
              <w:left w:val="single" w:sz="12" w:space="0" w:color="0070C0"/>
              <w:bottom w:val="single" w:sz="4" w:space="0" w:color="000000"/>
              <w:right w:val="single" w:sz="2" w:space="0" w:color="0070C0"/>
            </w:tcBorders>
            <w:shd w:val="clear" w:color="auto" w:fill="auto"/>
            <w:vAlign w:val="center"/>
          </w:tcPr>
          <w:p w14:paraId="0439878E" w14:textId="0D7B78D8" w:rsidR="00864059" w:rsidRDefault="00864059" w:rsidP="0086405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$23,889</w:t>
            </w:r>
          </w:p>
        </w:tc>
        <w:tc>
          <w:tcPr>
            <w:tcW w:w="1267" w:type="dxa"/>
            <w:tcBorders>
              <w:top w:val="single" w:sz="4" w:space="0" w:color="auto"/>
              <w:left w:val="single" w:sz="2" w:space="0" w:color="0070C0"/>
              <w:bottom w:val="single" w:sz="4" w:space="0" w:color="000000"/>
              <w:right w:val="single" w:sz="12" w:space="0" w:color="000000"/>
            </w:tcBorders>
            <w:shd w:val="clear" w:color="auto" w:fill="D6E3BC" w:themeFill="accent3" w:themeFillTint="66"/>
            <w:vAlign w:val="center"/>
          </w:tcPr>
          <w:p w14:paraId="2E120936" w14:textId="54D7B64F" w:rsidR="00864059" w:rsidRDefault="00864059" w:rsidP="0086405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-1.09%</w:t>
            </w:r>
          </w:p>
        </w:tc>
      </w:tr>
      <w:tr w:rsidR="00864059" w:rsidRPr="00DB5378" w14:paraId="274BC7FF" w14:textId="77777777" w:rsidTr="001170C1">
        <w:tblPrEx>
          <w:tblBorders>
            <w:top w:val="none" w:sz="0" w:space="0" w:color="auto"/>
          </w:tblBorders>
        </w:tblPrEx>
        <w:trPr>
          <w:jc w:val="center"/>
        </w:trPr>
        <w:tc>
          <w:tcPr>
            <w:tcW w:w="1661" w:type="dxa"/>
            <w:tcBorders>
              <w:top w:val="single" w:sz="4" w:space="0" w:color="000000"/>
              <w:left w:val="single" w:sz="12" w:space="0" w:color="000000"/>
              <w:bottom w:val="single" w:sz="4" w:space="0" w:color="000000"/>
              <w:right w:val="single" w:sz="12" w:space="0" w:color="0070C0"/>
            </w:tcBorders>
            <w:vAlign w:val="center"/>
          </w:tcPr>
          <w:p w14:paraId="3DF27ED8" w14:textId="53927F65" w:rsidR="00864059" w:rsidRDefault="00864059" w:rsidP="00864059">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Convertible</w:t>
            </w:r>
          </w:p>
        </w:tc>
        <w:tc>
          <w:tcPr>
            <w:tcW w:w="1267" w:type="dxa"/>
            <w:tcBorders>
              <w:top w:val="single" w:sz="4" w:space="0" w:color="auto"/>
              <w:left w:val="single" w:sz="12" w:space="0" w:color="0070C0"/>
              <w:bottom w:val="single" w:sz="4" w:space="0" w:color="000000"/>
              <w:right w:val="single" w:sz="2" w:space="0" w:color="0070C0"/>
            </w:tcBorders>
            <w:vAlign w:val="center"/>
          </w:tcPr>
          <w:p w14:paraId="1AF9026E" w14:textId="362E358F" w:rsidR="00864059" w:rsidRDefault="00864059" w:rsidP="0086405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$39,023</w:t>
            </w:r>
          </w:p>
        </w:tc>
        <w:tc>
          <w:tcPr>
            <w:tcW w:w="1267" w:type="dxa"/>
            <w:tcBorders>
              <w:top w:val="single" w:sz="4" w:space="0" w:color="auto"/>
              <w:left w:val="single" w:sz="2" w:space="0" w:color="0070C0"/>
              <w:bottom w:val="single" w:sz="4" w:space="0" w:color="000000"/>
              <w:right w:val="single" w:sz="18" w:space="0" w:color="0070C0"/>
            </w:tcBorders>
            <w:shd w:val="clear" w:color="auto" w:fill="E5B8B7" w:themeFill="accent2" w:themeFillTint="66"/>
            <w:vAlign w:val="center"/>
          </w:tcPr>
          <w:p w14:paraId="5DDF0742" w14:textId="25C9900F" w:rsidR="00864059" w:rsidRDefault="00864059" w:rsidP="0086405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+1.58%</w:t>
            </w:r>
          </w:p>
        </w:tc>
        <w:tc>
          <w:tcPr>
            <w:tcW w:w="1656" w:type="dxa"/>
            <w:tcBorders>
              <w:top w:val="single" w:sz="4" w:space="0" w:color="auto"/>
              <w:left w:val="single" w:sz="18" w:space="0" w:color="0070C0"/>
              <w:bottom w:val="single" w:sz="4" w:space="0" w:color="000000"/>
              <w:right w:val="single" w:sz="12" w:space="0" w:color="0070C0"/>
            </w:tcBorders>
            <w:shd w:val="clear" w:color="auto" w:fill="auto"/>
            <w:vAlign w:val="center"/>
          </w:tcPr>
          <w:p w14:paraId="50264BE3" w14:textId="7279C53F" w:rsidR="00864059" w:rsidRDefault="00864059" w:rsidP="0086405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Sedan</w:t>
            </w:r>
          </w:p>
        </w:tc>
        <w:tc>
          <w:tcPr>
            <w:tcW w:w="1267" w:type="dxa"/>
            <w:tcBorders>
              <w:top w:val="single" w:sz="4" w:space="0" w:color="auto"/>
              <w:left w:val="single" w:sz="12" w:space="0" w:color="0070C0"/>
              <w:bottom w:val="single" w:sz="4" w:space="0" w:color="000000"/>
              <w:right w:val="single" w:sz="2" w:space="0" w:color="0070C0"/>
            </w:tcBorders>
            <w:shd w:val="clear" w:color="auto" w:fill="auto"/>
            <w:vAlign w:val="center"/>
          </w:tcPr>
          <w:p w14:paraId="683A264B" w14:textId="4490E5D7" w:rsidR="00864059" w:rsidRDefault="00864059" w:rsidP="0086405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$23,494</w:t>
            </w:r>
          </w:p>
        </w:tc>
        <w:tc>
          <w:tcPr>
            <w:tcW w:w="1267" w:type="dxa"/>
            <w:tcBorders>
              <w:top w:val="single" w:sz="4" w:space="0" w:color="auto"/>
              <w:left w:val="single" w:sz="2" w:space="0" w:color="0070C0"/>
              <w:bottom w:val="single" w:sz="4" w:space="0" w:color="000000"/>
              <w:right w:val="single" w:sz="12" w:space="0" w:color="000000"/>
            </w:tcBorders>
            <w:shd w:val="clear" w:color="auto" w:fill="F2DBDB" w:themeFill="accent2" w:themeFillTint="33"/>
            <w:vAlign w:val="center"/>
          </w:tcPr>
          <w:p w14:paraId="19DBFB7E" w14:textId="05CE4EF0" w:rsidR="00864059" w:rsidRDefault="00864059" w:rsidP="0086405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+0.11%</w:t>
            </w:r>
          </w:p>
        </w:tc>
      </w:tr>
      <w:tr w:rsidR="00864059" w:rsidRPr="00DB5378" w14:paraId="7DC6CCCF" w14:textId="77777777" w:rsidTr="001170C1">
        <w:tblPrEx>
          <w:tblBorders>
            <w:top w:val="none" w:sz="0" w:space="0" w:color="auto"/>
          </w:tblBorders>
        </w:tblPrEx>
        <w:trPr>
          <w:jc w:val="center"/>
        </w:trPr>
        <w:tc>
          <w:tcPr>
            <w:tcW w:w="1661" w:type="dxa"/>
            <w:tcBorders>
              <w:top w:val="single" w:sz="4" w:space="0" w:color="000000"/>
              <w:left w:val="single" w:sz="12" w:space="0" w:color="000000"/>
              <w:bottom w:val="single" w:sz="4" w:space="0" w:color="000000"/>
              <w:right w:val="single" w:sz="12" w:space="0" w:color="0070C0"/>
            </w:tcBorders>
            <w:vAlign w:val="center"/>
          </w:tcPr>
          <w:p w14:paraId="21445675" w14:textId="6C04F288" w:rsidR="00864059" w:rsidRPr="00DB5378" w:rsidRDefault="00864059" w:rsidP="00864059">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 xml:space="preserve">Pickup </w:t>
            </w:r>
            <w:r w:rsidR="004456EC">
              <w:rPr>
                <w:rFonts w:ascii="Verdana" w:eastAsia="Times New Roman" w:hAnsi="Verdana"/>
                <w:sz w:val="20"/>
                <w:szCs w:val="20"/>
              </w:rPr>
              <w:t>t</w:t>
            </w:r>
            <w:r>
              <w:rPr>
                <w:rFonts w:ascii="Verdana" w:eastAsia="Times New Roman" w:hAnsi="Verdana"/>
                <w:sz w:val="20"/>
                <w:szCs w:val="20"/>
              </w:rPr>
              <w:t>ruck</w:t>
            </w:r>
          </w:p>
        </w:tc>
        <w:tc>
          <w:tcPr>
            <w:tcW w:w="1267" w:type="dxa"/>
            <w:tcBorders>
              <w:top w:val="single" w:sz="4" w:space="0" w:color="auto"/>
              <w:left w:val="single" w:sz="12" w:space="0" w:color="0070C0"/>
              <w:bottom w:val="single" w:sz="4" w:space="0" w:color="000000"/>
              <w:right w:val="single" w:sz="2" w:space="0" w:color="0070C0"/>
            </w:tcBorders>
            <w:vAlign w:val="center"/>
          </w:tcPr>
          <w:p w14:paraId="55B591A8" w14:textId="3727F699" w:rsidR="00864059" w:rsidRPr="00DB5378" w:rsidRDefault="00864059" w:rsidP="0086405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$38,167</w:t>
            </w:r>
          </w:p>
        </w:tc>
        <w:tc>
          <w:tcPr>
            <w:tcW w:w="1267" w:type="dxa"/>
            <w:tcBorders>
              <w:top w:val="single" w:sz="4" w:space="0" w:color="auto"/>
              <w:left w:val="single" w:sz="2" w:space="0" w:color="0070C0"/>
              <w:bottom w:val="single" w:sz="4" w:space="0" w:color="000000"/>
              <w:right w:val="single" w:sz="18" w:space="0" w:color="0070C0"/>
            </w:tcBorders>
            <w:shd w:val="clear" w:color="auto" w:fill="F2DBDB" w:themeFill="accent2" w:themeFillTint="33"/>
            <w:vAlign w:val="center"/>
          </w:tcPr>
          <w:p w14:paraId="31A1BAFD" w14:textId="06A4F5E2" w:rsidR="00864059" w:rsidRPr="00DB5378" w:rsidRDefault="00864059" w:rsidP="0086405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+0.45%</w:t>
            </w:r>
          </w:p>
        </w:tc>
        <w:tc>
          <w:tcPr>
            <w:tcW w:w="1656" w:type="dxa"/>
            <w:tcBorders>
              <w:top w:val="single" w:sz="4" w:space="0" w:color="auto"/>
              <w:left w:val="single" w:sz="18" w:space="0" w:color="0070C0"/>
              <w:bottom w:val="single" w:sz="4" w:space="0" w:color="000000"/>
              <w:right w:val="single" w:sz="12" w:space="0" w:color="0070C0"/>
            </w:tcBorders>
            <w:shd w:val="clear" w:color="auto" w:fill="auto"/>
            <w:vAlign w:val="center"/>
          </w:tcPr>
          <w:p w14:paraId="248F5766" w14:textId="505D715C" w:rsidR="00864059" w:rsidRDefault="00864059" w:rsidP="0086405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Wagon</w:t>
            </w:r>
          </w:p>
        </w:tc>
        <w:tc>
          <w:tcPr>
            <w:tcW w:w="1267" w:type="dxa"/>
            <w:tcBorders>
              <w:top w:val="single" w:sz="4" w:space="0" w:color="auto"/>
              <w:left w:val="single" w:sz="12" w:space="0" w:color="0070C0"/>
              <w:bottom w:val="single" w:sz="4" w:space="0" w:color="000000"/>
              <w:right w:val="single" w:sz="2" w:space="0" w:color="0070C0"/>
            </w:tcBorders>
            <w:shd w:val="clear" w:color="auto" w:fill="auto"/>
            <w:vAlign w:val="center"/>
          </w:tcPr>
          <w:p w14:paraId="2A18B594" w14:textId="5FAEE0D5" w:rsidR="00864059" w:rsidRDefault="00864059" w:rsidP="0086405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$21,243</w:t>
            </w:r>
          </w:p>
        </w:tc>
        <w:tc>
          <w:tcPr>
            <w:tcW w:w="1267" w:type="dxa"/>
            <w:tcBorders>
              <w:top w:val="single" w:sz="4" w:space="0" w:color="auto"/>
              <w:left w:val="single" w:sz="2" w:space="0" w:color="0070C0"/>
              <w:bottom w:val="single" w:sz="4" w:space="0" w:color="000000"/>
              <w:right w:val="single" w:sz="12" w:space="0" w:color="000000"/>
            </w:tcBorders>
            <w:shd w:val="clear" w:color="auto" w:fill="EAF1DD" w:themeFill="accent3" w:themeFillTint="33"/>
            <w:vAlign w:val="center"/>
          </w:tcPr>
          <w:p w14:paraId="10FABA39" w14:textId="00752FC3" w:rsidR="00864059" w:rsidRDefault="00864059" w:rsidP="0086405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-0.54%</w:t>
            </w:r>
          </w:p>
        </w:tc>
      </w:tr>
      <w:tr w:rsidR="00864059" w:rsidRPr="00DB5378" w14:paraId="3AA29FA1" w14:textId="77777777" w:rsidTr="001170C1">
        <w:tblPrEx>
          <w:tblBorders>
            <w:top w:val="none" w:sz="0" w:space="0" w:color="auto"/>
          </w:tblBorders>
        </w:tblPrEx>
        <w:trPr>
          <w:jc w:val="center"/>
        </w:trPr>
        <w:tc>
          <w:tcPr>
            <w:tcW w:w="1661" w:type="dxa"/>
            <w:tcBorders>
              <w:top w:val="single" w:sz="4" w:space="0" w:color="000000"/>
              <w:left w:val="single" w:sz="12" w:space="0" w:color="000000"/>
              <w:bottom w:val="single" w:sz="12" w:space="0" w:color="auto"/>
              <w:right w:val="single" w:sz="12" w:space="0" w:color="0070C0"/>
            </w:tcBorders>
            <w:vAlign w:val="center"/>
          </w:tcPr>
          <w:p w14:paraId="4EAC1291" w14:textId="16E38E1B" w:rsidR="00864059" w:rsidRPr="00DB5378" w:rsidRDefault="00864059" w:rsidP="00864059">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Van</w:t>
            </w:r>
          </w:p>
        </w:tc>
        <w:tc>
          <w:tcPr>
            <w:tcW w:w="1267" w:type="dxa"/>
            <w:tcBorders>
              <w:top w:val="single" w:sz="4" w:space="0" w:color="000000"/>
              <w:left w:val="single" w:sz="12" w:space="0" w:color="0070C0"/>
              <w:bottom w:val="single" w:sz="12" w:space="0" w:color="auto"/>
              <w:right w:val="single" w:sz="2" w:space="0" w:color="0070C0"/>
            </w:tcBorders>
            <w:vAlign w:val="center"/>
          </w:tcPr>
          <w:p w14:paraId="3A5117C6" w14:textId="32CF60D3" w:rsidR="00864059" w:rsidRPr="00DB5378" w:rsidRDefault="00864059" w:rsidP="0086405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$34,897</w:t>
            </w:r>
          </w:p>
        </w:tc>
        <w:tc>
          <w:tcPr>
            <w:tcW w:w="1267" w:type="dxa"/>
            <w:tcBorders>
              <w:top w:val="single" w:sz="4" w:space="0" w:color="000000"/>
              <w:left w:val="single" w:sz="2" w:space="0" w:color="0070C0"/>
              <w:bottom w:val="single" w:sz="12" w:space="0" w:color="auto"/>
              <w:right w:val="single" w:sz="18" w:space="0" w:color="0070C0"/>
            </w:tcBorders>
            <w:shd w:val="clear" w:color="auto" w:fill="E5B8B7" w:themeFill="accent2" w:themeFillTint="66"/>
            <w:vAlign w:val="center"/>
          </w:tcPr>
          <w:p w14:paraId="5409CB43" w14:textId="58C24F46" w:rsidR="00864059" w:rsidRPr="00DB5378" w:rsidRDefault="00864059" w:rsidP="0086405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+1.59%</w:t>
            </w:r>
          </w:p>
        </w:tc>
        <w:tc>
          <w:tcPr>
            <w:tcW w:w="1656" w:type="dxa"/>
            <w:tcBorders>
              <w:top w:val="single" w:sz="4" w:space="0" w:color="000000"/>
              <w:left w:val="single" w:sz="18" w:space="0" w:color="0070C0"/>
              <w:bottom w:val="single" w:sz="12" w:space="0" w:color="auto"/>
              <w:right w:val="single" w:sz="12" w:space="0" w:color="0070C0"/>
            </w:tcBorders>
            <w:shd w:val="clear" w:color="auto" w:fill="auto"/>
            <w:vAlign w:val="center"/>
          </w:tcPr>
          <w:p w14:paraId="16C7BC5C" w14:textId="52A7B206" w:rsidR="00864059" w:rsidRPr="00DB5378" w:rsidRDefault="00864059" w:rsidP="0086405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Hatchback</w:t>
            </w:r>
          </w:p>
        </w:tc>
        <w:tc>
          <w:tcPr>
            <w:tcW w:w="1267" w:type="dxa"/>
            <w:tcBorders>
              <w:top w:val="single" w:sz="4" w:space="0" w:color="000000"/>
              <w:left w:val="single" w:sz="12" w:space="0" w:color="0070C0"/>
              <w:bottom w:val="single" w:sz="12" w:space="0" w:color="auto"/>
              <w:right w:val="single" w:sz="2" w:space="0" w:color="0070C0"/>
            </w:tcBorders>
            <w:shd w:val="clear" w:color="auto" w:fill="auto"/>
            <w:vAlign w:val="center"/>
          </w:tcPr>
          <w:p w14:paraId="0791C1EF" w14:textId="5A15DA6A" w:rsidR="00864059" w:rsidRPr="00DB5378" w:rsidRDefault="00864059" w:rsidP="0086405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$17,487</w:t>
            </w:r>
          </w:p>
        </w:tc>
        <w:tc>
          <w:tcPr>
            <w:tcW w:w="1267" w:type="dxa"/>
            <w:tcBorders>
              <w:top w:val="single" w:sz="4" w:space="0" w:color="000000"/>
              <w:left w:val="single" w:sz="2" w:space="0" w:color="0070C0"/>
              <w:bottom w:val="single" w:sz="12" w:space="0" w:color="auto"/>
              <w:right w:val="single" w:sz="12" w:space="0" w:color="000000"/>
            </w:tcBorders>
            <w:shd w:val="clear" w:color="auto" w:fill="EAF1DD" w:themeFill="accent3" w:themeFillTint="33"/>
            <w:vAlign w:val="center"/>
          </w:tcPr>
          <w:p w14:paraId="7DC99D40" w14:textId="01B9A55E" w:rsidR="00864059" w:rsidRPr="00DB5378" w:rsidRDefault="00864059" w:rsidP="0086405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-0.01%</w:t>
            </w:r>
          </w:p>
        </w:tc>
      </w:tr>
    </w:tbl>
    <w:p w14:paraId="0BD2B53D" w14:textId="43F19C7C" w:rsidR="00391A78" w:rsidRDefault="001170C1" w:rsidP="001170C1">
      <w:pPr>
        <w:tabs>
          <w:tab w:val="left" w:pos="540"/>
        </w:tabs>
        <w:spacing w:after="0" w:line="240" w:lineRule="auto"/>
        <w:contextualSpacing/>
        <w:mirrorIndents/>
        <w:rPr>
          <w:rFonts w:ascii="Verdana" w:hAnsi="Verdana"/>
          <w:sz w:val="20"/>
          <w:szCs w:val="20"/>
        </w:rPr>
      </w:pPr>
      <w:r>
        <w:rPr>
          <w:rFonts w:ascii="Verdana" w:hAnsi="Verdana"/>
          <w:iCs/>
          <w:sz w:val="16"/>
          <w:szCs w:val="16"/>
        </w:rPr>
        <w:tab/>
      </w:r>
      <w:r w:rsidR="00864059">
        <w:rPr>
          <w:rFonts w:ascii="Verdana" w:hAnsi="Verdana"/>
          <w:iCs/>
          <w:sz w:val="16"/>
          <w:szCs w:val="16"/>
        </w:rPr>
        <w:t>CarGurus</w:t>
      </w:r>
      <w:r w:rsidR="00391A78">
        <w:rPr>
          <w:rFonts w:ascii="Verdana" w:hAnsi="Verdana"/>
          <w:iCs/>
          <w:sz w:val="16"/>
          <w:szCs w:val="16"/>
        </w:rPr>
        <w:t>, June 2022</w:t>
      </w:r>
    </w:p>
    <w:p w14:paraId="1F257929" w14:textId="77777777" w:rsidR="00391A78" w:rsidRPr="0033101A" w:rsidRDefault="00391A78" w:rsidP="0033101A">
      <w:pPr>
        <w:spacing w:after="0" w:line="240" w:lineRule="auto"/>
        <w:contextualSpacing/>
        <w:mirrorIndents/>
        <w:rPr>
          <w:rFonts w:ascii="Verdana" w:hAnsi="Verdana"/>
          <w:sz w:val="20"/>
          <w:szCs w:val="20"/>
        </w:rPr>
      </w:pPr>
    </w:p>
    <w:p w14:paraId="23216718" w14:textId="5F0C10AB" w:rsidR="0033101A" w:rsidRPr="001170C1" w:rsidRDefault="0033101A" w:rsidP="001170C1">
      <w:pPr>
        <w:spacing w:after="0" w:line="240" w:lineRule="auto"/>
        <w:contextualSpacing/>
        <w:mirrorIndents/>
        <w:jc w:val="center"/>
        <w:rPr>
          <w:rFonts w:ascii="Verdana" w:hAnsi="Verdana"/>
          <w:b/>
          <w:bCs/>
          <w:color w:val="0070C0"/>
          <w:sz w:val="20"/>
          <w:szCs w:val="20"/>
        </w:rPr>
      </w:pPr>
      <w:r w:rsidRPr="001170C1">
        <w:rPr>
          <w:rFonts w:ascii="Verdana" w:hAnsi="Verdana"/>
          <w:b/>
          <w:bCs/>
          <w:color w:val="0070C0"/>
          <w:sz w:val="20"/>
          <w:szCs w:val="20"/>
        </w:rPr>
        <w:t>YOY Certified</w:t>
      </w:r>
      <w:r w:rsidR="002D69CD">
        <w:rPr>
          <w:rFonts w:ascii="Verdana" w:hAnsi="Verdana"/>
          <w:b/>
          <w:bCs/>
          <w:color w:val="0070C0"/>
          <w:sz w:val="20"/>
          <w:szCs w:val="20"/>
        </w:rPr>
        <w:t xml:space="preserve"> </w:t>
      </w:r>
      <w:r w:rsidRPr="001170C1">
        <w:rPr>
          <w:rFonts w:ascii="Verdana" w:hAnsi="Verdana"/>
          <w:b/>
          <w:bCs/>
          <w:color w:val="0070C0"/>
          <w:sz w:val="20"/>
          <w:szCs w:val="20"/>
        </w:rPr>
        <w:t>Pre-Owned Sales Have Significantly Decreased</w:t>
      </w:r>
    </w:p>
    <w:p w14:paraId="537CBA0A" w14:textId="77777777" w:rsidR="0033101A" w:rsidRPr="0033101A" w:rsidRDefault="0033101A" w:rsidP="0033101A">
      <w:pPr>
        <w:spacing w:after="0" w:line="240" w:lineRule="auto"/>
        <w:contextualSpacing/>
        <w:mirrorIndents/>
        <w:rPr>
          <w:rFonts w:ascii="Verdana" w:hAnsi="Verdana"/>
          <w:sz w:val="20"/>
          <w:szCs w:val="20"/>
        </w:rPr>
      </w:pPr>
    </w:p>
    <w:p w14:paraId="3D853FDC" w14:textId="35186E8E" w:rsidR="001170C1" w:rsidRDefault="001170C1" w:rsidP="0033101A">
      <w:pPr>
        <w:spacing w:after="0" w:line="240" w:lineRule="auto"/>
        <w:contextualSpacing/>
        <w:mirrorIndents/>
        <w:rPr>
          <w:rFonts w:ascii="Verdana" w:hAnsi="Verdana"/>
          <w:sz w:val="20"/>
          <w:szCs w:val="20"/>
        </w:rPr>
      </w:pPr>
      <w:r>
        <w:rPr>
          <w:rFonts w:ascii="Verdana" w:hAnsi="Verdana"/>
          <w:sz w:val="20"/>
          <w:szCs w:val="20"/>
        </w:rPr>
        <w:t>In the tight used-vehicle market, certified pre-owned (CPO) vehicles are highly prized for being thoroughly checked and maintaining much of their original look and drivability. Unsurprisingly, therefore, CPO vehicle sales decreased 22% YOY during May 2022.</w:t>
      </w:r>
    </w:p>
    <w:p w14:paraId="05561B53" w14:textId="5362FB8B" w:rsidR="001170C1" w:rsidRDefault="001170C1" w:rsidP="0033101A">
      <w:pPr>
        <w:spacing w:after="0" w:line="240" w:lineRule="auto"/>
        <w:contextualSpacing/>
        <w:mirrorIndents/>
        <w:rPr>
          <w:rFonts w:ascii="Verdana" w:hAnsi="Verdana"/>
          <w:sz w:val="20"/>
          <w:szCs w:val="20"/>
        </w:rPr>
      </w:pPr>
    </w:p>
    <w:p w14:paraId="05D5651D" w14:textId="5C69E80D" w:rsidR="001170C1" w:rsidRDefault="001170C1" w:rsidP="0033101A">
      <w:pPr>
        <w:spacing w:after="0" w:line="240" w:lineRule="auto"/>
        <w:contextualSpacing/>
        <w:mirrorIndents/>
        <w:rPr>
          <w:rFonts w:ascii="Verdana" w:hAnsi="Verdana"/>
          <w:sz w:val="20"/>
          <w:szCs w:val="20"/>
        </w:rPr>
      </w:pPr>
      <w:r>
        <w:rPr>
          <w:rFonts w:ascii="Verdana" w:hAnsi="Verdana"/>
          <w:sz w:val="20"/>
          <w:szCs w:val="20"/>
        </w:rPr>
        <w:t>The 208,423 CPO vehicle units sold during May was a 7% decrease from April, the fewest since February</w:t>
      </w:r>
      <w:r w:rsidR="00847800">
        <w:rPr>
          <w:rFonts w:ascii="Verdana" w:hAnsi="Verdana"/>
          <w:sz w:val="20"/>
          <w:szCs w:val="20"/>
        </w:rPr>
        <w:t>,</w:t>
      </w:r>
      <w:r>
        <w:rPr>
          <w:rFonts w:ascii="Verdana" w:hAnsi="Verdana"/>
          <w:sz w:val="20"/>
          <w:szCs w:val="20"/>
        </w:rPr>
        <w:t xml:space="preserve"> and ended four consecutive months of increased sales. Despite those better months, CPO sales have decreased 17.5% for the first five months of 2022. </w:t>
      </w:r>
    </w:p>
    <w:p w14:paraId="753D7593" w14:textId="77777777" w:rsidR="001170C1" w:rsidRDefault="001170C1" w:rsidP="0033101A">
      <w:pPr>
        <w:spacing w:after="0" w:line="240" w:lineRule="auto"/>
        <w:contextualSpacing/>
        <w:mirrorIndents/>
        <w:rPr>
          <w:rFonts w:ascii="Verdana" w:hAnsi="Verdana"/>
          <w:sz w:val="20"/>
          <w:szCs w:val="20"/>
        </w:rPr>
      </w:pPr>
    </w:p>
    <w:p w14:paraId="1758ECC6" w14:textId="65F82DA9" w:rsidR="001170C1" w:rsidRDefault="001170C1" w:rsidP="0033101A">
      <w:pPr>
        <w:spacing w:after="0" w:line="240" w:lineRule="auto"/>
        <w:contextualSpacing/>
        <w:mirrorIndents/>
        <w:rPr>
          <w:rFonts w:ascii="Verdana" w:hAnsi="Verdana"/>
          <w:sz w:val="20"/>
          <w:szCs w:val="20"/>
        </w:rPr>
      </w:pPr>
      <w:r>
        <w:rPr>
          <w:rFonts w:ascii="Verdana" w:hAnsi="Verdana"/>
          <w:sz w:val="20"/>
          <w:szCs w:val="20"/>
        </w:rPr>
        <w:t>A Cox Automotive analyst said rental car companies are buying many of the CPO vehicles that have been traded for a new vehicle. With few new vehicles available to consumers to replace their CPO vehicle</w:t>
      </w:r>
      <w:r w:rsidR="00847800">
        <w:rPr>
          <w:rFonts w:ascii="Verdana" w:hAnsi="Verdana"/>
          <w:sz w:val="20"/>
          <w:szCs w:val="20"/>
        </w:rPr>
        <w:t>s</w:t>
      </w:r>
      <w:r>
        <w:rPr>
          <w:rFonts w:ascii="Verdana" w:hAnsi="Verdana"/>
          <w:sz w:val="20"/>
          <w:szCs w:val="20"/>
        </w:rPr>
        <w:t>, dealers’ CPO programs have almost nothing to sell.</w:t>
      </w:r>
    </w:p>
    <w:p w14:paraId="519EC79B" w14:textId="77777777" w:rsidR="001170C1" w:rsidRDefault="001170C1" w:rsidP="0033101A">
      <w:pPr>
        <w:spacing w:after="0" w:line="240" w:lineRule="auto"/>
        <w:contextualSpacing/>
        <w:mirrorIndents/>
        <w:rPr>
          <w:rFonts w:ascii="Verdana" w:hAnsi="Verdana"/>
          <w:sz w:val="20"/>
          <w:szCs w:val="20"/>
        </w:rPr>
      </w:pPr>
    </w:p>
    <w:p w14:paraId="6F6A7F84" w14:textId="63AAE8FB" w:rsidR="004456EC" w:rsidRPr="00A65A1A" w:rsidRDefault="005065A2" w:rsidP="004456EC">
      <w:pPr>
        <w:pStyle w:val="Header"/>
        <w:contextualSpacing/>
        <w:jc w:val="center"/>
        <w:rPr>
          <w:rFonts w:ascii="Verdana" w:hAnsi="Verdana"/>
          <w:b/>
          <w:sz w:val="20"/>
          <w:szCs w:val="20"/>
        </w:rPr>
      </w:pPr>
      <w:r>
        <w:rPr>
          <w:rFonts w:ascii="Verdana" w:hAnsi="Verdana"/>
          <w:b/>
          <w:sz w:val="20"/>
          <w:szCs w:val="20"/>
        </w:rPr>
        <w:t xml:space="preserve">CPO Vehicle Sales, </w:t>
      </w:r>
      <w:r w:rsidR="00CA1AAC">
        <w:rPr>
          <w:rFonts w:ascii="Verdana" w:hAnsi="Verdana"/>
          <w:b/>
          <w:sz w:val="20"/>
          <w:szCs w:val="20"/>
        </w:rPr>
        <w:t>March, April and May, 2019</w:t>
      </w:r>
      <w:r>
        <w:rPr>
          <w:rFonts w:ascii="Verdana" w:hAnsi="Verdana"/>
          <w:b/>
          <w:sz w:val="20"/>
          <w:szCs w:val="20"/>
        </w:rPr>
        <w:t>–</w:t>
      </w:r>
      <w:r w:rsidRPr="00A65A1A">
        <w:rPr>
          <w:rFonts w:ascii="Verdana" w:hAnsi="Verdana"/>
          <w:b/>
          <w:sz w:val="20"/>
          <w:szCs w:val="20"/>
        </w:rPr>
        <w:t>202</w:t>
      </w:r>
      <w:r>
        <w:rPr>
          <w:rFonts w:ascii="Verdana" w:hAnsi="Verdana"/>
          <w:b/>
          <w:sz w:val="20"/>
          <w:szCs w:val="20"/>
        </w:rPr>
        <w:t>2</w:t>
      </w:r>
    </w:p>
    <w:tbl>
      <w:tblPr>
        <w:tblW w:w="6234" w:type="dxa"/>
        <w:jc w:val="center"/>
        <w:tblBorders>
          <w:left w:val="single" w:sz="8" w:space="0" w:color="000000"/>
          <w:right w:val="single" w:sz="8" w:space="0" w:color="000000"/>
        </w:tblBorders>
        <w:tblLayout w:type="fixed"/>
        <w:tblLook w:val="0000" w:firstRow="0" w:lastRow="0" w:firstColumn="0" w:lastColumn="0" w:noHBand="0" w:noVBand="0"/>
      </w:tblPr>
      <w:tblGrid>
        <w:gridCol w:w="2130"/>
        <w:gridCol w:w="1368"/>
        <w:gridCol w:w="1368"/>
        <w:gridCol w:w="1368"/>
      </w:tblGrid>
      <w:tr w:rsidR="00CA1AAC" w:rsidRPr="00A65A1A" w14:paraId="2E8443B3" w14:textId="77777777" w:rsidTr="004456EC">
        <w:trPr>
          <w:jc w:val="center"/>
        </w:trPr>
        <w:tc>
          <w:tcPr>
            <w:tcW w:w="2130" w:type="dxa"/>
            <w:tcBorders>
              <w:top w:val="single" w:sz="12" w:space="0" w:color="auto"/>
              <w:left w:val="single" w:sz="12" w:space="0" w:color="000000"/>
              <w:bottom w:val="single" w:sz="18" w:space="0" w:color="C0504D" w:themeColor="accent2"/>
              <w:right w:val="single" w:sz="18" w:space="0" w:color="0070C0"/>
            </w:tcBorders>
            <w:shd w:val="clear" w:color="auto" w:fill="auto"/>
            <w:vAlign w:val="center"/>
          </w:tcPr>
          <w:p w14:paraId="56D5DE16" w14:textId="212C6EAC" w:rsidR="00CA1AAC" w:rsidRPr="00A65A1A" w:rsidRDefault="00CA1AAC" w:rsidP="00887D14">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Year</w:t>
            </w:r>
          </w:p>
        </w:tc>
        <w:tc>
          <w:tcPr>
            <w:tcW w:w="1368" w:type="dxa"/>
            <w:tcBorders>
              <w:top w:val="single" w:sz="12" w:space="0" w:color="auto"/>
              <w:left w:val="single" w:sz="18" w:space="0" w:color="0070C0"/>
              <w:bottom w:val="single" w:sz="18" w:space="0" w:color="C0504D" w:themeColor="accent2"/>
              <w:right w:val="single" w:sz="8" w:space="0" w:color="0070C0"/>
            </w:tcBorders>
            <w:shd w:val="clear" w:color="auto" w:fill="auto"/>
            <w:vAlign w:val="center"/>
          </w:tcPr>
          <w:p w14:paraId="65B5CD07" w14:textId="60A06E71" w:rsidR="00CA1AAC" w:rsidRPr="00A65A1A" w:rsidRDefault="00CA1AAC"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center"/>
              <w:rPr>
                <w:rFonts w:ascii="Verdana" w:eastAsia="Times New Roman" w:hAnsi="Verdana"/>
                <w:sz w:val="20"/>
                <w:szCs w:val="20"/>
              </w:rPr>
            </w:pPr>
            <w:r>
              <w:rPr>
                <w:rFonts w:ascii="Verdana" w:eastAsia="Times New Roman" w:hAnsi="Verdana"/>
                <w:sz w:val="20"/>
                <w:szCs w:val="20"/>
              </w:rPr>
              <w:t>March</w:t>
            </w:r>
          </w:p>
        </w:tc>
        <w:tc>
          <w:tcPr>
            <w:tcW w:w="1368" w:type="dxa"/>
            <w:tcBorders>
              <w:top w:val="single" w:sz="12" w:space="0" w:color="auto"/>
              <w:left w:val="single" w:sz="8" w:space="0" w:color="0070C0"/>
              <w:bottom w:val="single" w:sz="18" w:space="0" w:color="C0504D" w:themeColor="accent2"/>
              <w:right w:val="single" w:sz="8" w:space="0" w:color="0070C0"/>
            </w:tcBorders>
            <w:shd w:val="clear" w:color="auto" w:fill="auto"/>
            <w:vAlign w:val="center"/>
          </w:tcPr>
          <w:p w14:paraId="0A5F765E" w14:textId="3D5511D5" w:rsidR="00CA1AAC" w:rsidRPr="00A65A1A" w:rsidRDefault="00CA1AAC"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center"/>
              <w:rPr>
                <w:rFonts w:ascii="Verdana" w:eastAsia="Times New Roman" w:hAnsi="Verdana"/>
                <w:sz w:val="20"/>
                <w:szCs w:val="20"/>
              </w:rPr>
            </w:pPr>
            <w:r>
              <w:rPr>
                <w:rFonts w:ascii="Verdana" w:eastAsia="Times New Roman" w:hAnsi="Verdana"/>
                <w:sz w:val="20"/>
                <w:szCs w:val="20"/>
              </w:rPr>
              <w:t xml:space="preserve">April </w:t>
            </w:r>
          </w:p>
        </w:tc>
        <w:tc>
          <w:tcPr>
            <w:tcW w:w="1368" w:type="dxa"/>
            <w:tcBorders>
              <w:top w:val="single" w:sz="12" w:space="0" w:color="auto"/>
              <w:left w:val="single" w:sz="8" w:space="0" w:color="0070C0"/>
              <w:bottom w:val="single" w:sz="18" w:space="0" w:color="C0504D" w:themeColor="accent2"/>
              <w:right w:val="single" w:sz="12" w:space="0" w:color="000000"/>
            </w:tcBorders>
            <w:shd w:val="clear" w:color="auto" w:fill="auto"/>
            <w:vAlign w:val="center"/>
          </w:tcPr>
          <w:p w14:paraId="15EFE080" w14:textId="745934CE" w:rsidR="00CA1AAC" w:rsidRPr="00A65A1A" w:rsidRDefault="00CA1AAC"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center"/>
              <w:rPr>
                <w:rFonts w:ascii="Verdana" w:eastAsia="Times New Roman" w:hAnsi="Verdana"/>
                <w:sz w:val="20"/>
                <w:szCs w:val="20"/>
              </w:rPr>
            </w:pPr>
            <w:r>
              <w:rPr>
                <w:rFonts w:ascii="Verdana" w:eastAsia="Times New Roman" w:hAnsi="Verdana"/>
                <w:sz w:val="20"/>
                <w:szCs w:val="20"/>
              </w:rPr>
              <w:t>May</w:t>
            </w:r>
          </w:p>
        </w:tc>
      </w:tr>
      <w:tr w:rsidR="00CA1AAC" w:rsidRPr="00A65A1A" w14:paraId="1D1B19EE" w14:textId="77777777" w:rsidTr="004456EC">
        <w:trPr>
          <w:jc w:val="center"/>
        </w:trPr>
        <w:tc>
          <w:tcPr>
            <w:tcW w:w="2130"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23260285" w14:textId="473F5B7F" w:rsidR="00CA1AAC" w:rsidRPr="00A65A1A" w:rsidRDefault="00CA1AAC" w:rsidP="00887D14">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2019</w:t>
            </w:r>
          </w:p>
        </w:tc>
        <w:tc>
          <w:tcPr>
            <w:tcW w:w="1368" w:type="dxa"/>
            <w:tcBorders>
              <w:top w:val="single" w:sz="18" w:space="0" w:color="C0504D" w:themeColor="accent2"/>
              <w:left w:val="single" w:sz="18" w:space="0" w:color="0070C0"/>
              <w:bottom w:val="single" w:sz="4" w:space="0" w:color="000000"/>
              <w:right w:val="single" w:sz="8" w:space="0" w:color="0070C0"/>
            </w:tcBorders>
            <w:shd w:val="clear" w:color="auto" w:fill="auto"/>
            <w:vAlign w:val="center"/>
          </w:tcPr>
          <w:p w14:paraId="043B6FA7" w14:textId="5CC35D7D" w:rsidR="00CA1AAC" w:rsidRPr="000F1C6D" w:rsidRDefault="00CA1AAC"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265,872</w:t>
            </w:r>
          </w:p>
        </w:tc>
        <w:tc>
          <w:tcPr>
            <w:tcW w:w="1368" w:type="dxa"/>
            <w:tcBorders>
              <w:top w:val="single" w:sz="18" w:space="0" w:color="C0504D" w:themeColor="accent2"/>
              <w:left w:val="single" w:sz="8" w:space="0" w:color="0070C0"/>
              <w:bottom w:val="single" w:sz="4" w:space="0" w:color="000000"/>
              <w:right w:val="single" w:sz="8" w:space="0" w:color="0070C0"/>
            </w:tcBorders>
            <w:shd w:val="clear" w:color="auto" w:fill="auto"/>
            <w:vAlign w:val="center"/>
          </w:tcPr>
          <w:p w14:paraId="158D1B4A" w14:textId="67D7B8F6" w:rsidR="00CA1AAC" w:rsidRPr="00A65A1A" w:rsidRDefault="00CA1AAC"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233,534</w:t>
            </w:r>
          </w:p>
        </w:tc>
        <w:tc>
          <w:tcPr>
            <w:tcW w:w="1368" w:type="dxa"/>
            <w:tcBorders>
              <w:top w:val="single" w:sz="18" w:space="0" w:color="C0504D" w:themeColor="accent2"/>
              <w:left w:val="single" w:sz="8" w:space="0" w:color="0070C0"/>
              <w:bottom w:val="single" w:sz="4" w:space="0" w:color="000000"/>
              <w:right w:val="single" w:sz="12" w:space="0" w:color="000000"/>
            </w:tcBorders>
            <w:shd w:val="clear" w:color="auto" w:fill="auto"/>
            <w:vAlign w:val="center"/>
          </w:tcPr>
          <w:p w14:paraId="3A1D9CF4" w14:textId="1D78AC87" w:rsidR="00CA1AAC" w:rsidRPr="00A65A1A" w:rsidRDefault="00CA1AAC"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251,856</w:t>
            </w:r>
          </w:p>
        </w:tc>
      </w:tr>
      <w:tr w:rsidR="00CA1AAC" w:rsidRPr="00A65A1A" w14:paraId="74B076D9" w14:textId="77777777" w:rsidTr="004456EC">
        <w:trPr>
          <w:jc w:val="center"/>
        </w:trPr>
        <w:tc>
          <w:tcPr>
            <w:tcW w:w="2130"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33BE7868" w14:textId="3DAC1736" w:rsidR="00CA1AAC" w:rsidRPr="00A65A1A" w:rsidRDefault="00CA1AAC" w:rsidP="00887D14">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2020</w:t>
            </w:r>
          </w:p>
        </w:tc>
        <w:tc>
          <w:tcPr>
            <w:tcW w:w="1368"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2D1E096C" w14:textId="68509126" w:rsidR="00CA1AAC" w:rsidRPr="00A65A1A" w:rsidRDefault="00CA1AAC"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158,578</w:t>
            </w:r>
          </w:p>
        </w:tc>
        <w:tc>
          <w:tcPr>
            <w:tcW w:w="1368" w:type="dxa"/>
            <w:tcBorders>
              <w:top w:val="single" w:sz="4" w:space="0" w:color="auto"/>
              <w:left w:val="single" w:sz="8" w:space="0" w:color="0070C0"/>
              <w:bottom w:val="single" w:sz="4" w:space="0" w:color="000000"/>
              <w:right w:val="single" w:sz="8" w:space="0" w:color="0070C0"/>
            </w:tcBorders>
            <w:shd w:val="clear" w:color="auto" w:fill="auto"/>
            <w:vAlign w:val="center"/>
          </w:tcPr>
          <w:p w14:paraId="0F43D918" w14:textId="45824890" w:rsidR="00CA1AAC" w:rsidRPr="00A65A1A" w:rsidRDefault="00CA1AAC"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127,064</w:t>
            </w:r>
          </w:p>
        </w:tc>
        <w:tc>
          <w:tcPr>
            <w:tcW w:w="1368" w:type="dxa"/>
            <w:tcBorders>
              <w:top w:val="single" w:sz="4" w:space="0" w:color="auto"/>
              <w:left w:val="single" w:sz="8" w:space="0" w:color="0070C0"/>
              <w:bottom w:val="single" w:sz="4" w:space="0" w:color="000000"/>
              <w:right w:val="single" w:sz="12" w:space="0" w:color="000000"/>
            </w:tcBorders>
            <w:shd w:val="clear" w:color="auto" w:fill="auto"/>
            <w:vAlign w:val="center"/>
          </w:tcPr>
          <w:p w14:paraId="5560913B" w14:textId="462E4BD0" w:rsidR="00CA1AAC" w:rsidRPr="00A65A1A" w:rsidRDefault="00CA1AAC"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237,489</w:t>
            </w:r>
          </w:p>
        </w:tc>
      </w:tr>
      <w:tr w:rsidR="00CA1AAC" w:rsidRPr="00A65A1A" w14:paraId="6F6197BC" w14:textId="77777777" w:rsidTr="004456EC">
        <w:trPr>
          <w:jc w:val="center"/>
        </w:trPr>
        <w:tc>
          <w:tcPr>
            <w:tcW w:w="2130"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30CC4AAF" w14:textId="589C1C3A" w:rsidR="00CA1AAC" w:rsidRPr="00A65A1A" w:rsidRDefault="00CA1AAC" w:rsidP="00887D14">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2021</w:t>
            </w:r>
          </w:p>
        </w:tc>
        <w:tc>
          <w:tcPr>
            <w:tcW w:w="1368"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2859EC20" w14:textId="07F6CC29" w:rsidR="00CA1AAC" w:rsidRPr="00A65A1A" w:rsidRDefault="00CA1AAC"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286,055</w:t>
            </w:r>
          </w:p>
        </w:tc>
        <w:tc>
          <w:tcPr>
            <w:tcW w:w="1368" w:type="dxa"/>
            <w:tcBorders>
              <w:top w:val="single" w:sz="4" w:space="0" w:color="auto"/>
              <w:left w:val="single" w:sz="8" w:space="0" w:color="0070C0"/>
              <w:bottom w:val="single" w:sz="4" w:space="0" w:color="000000"/>
              <w:right w:val="single" w:sz="8" w:space="0" w:color="0070C0"/>
            </w:tcBorders>
            <w:shd w:val="clear" w:color="auto" w:fill="auto"/>
            <w:vAlign w:val="center"/>
          </w:tcPr>
          <w:p w14:paraId="30A034A9" w14:textId="7F0C4E07" w:rsidR="00CA1AAC" w:rsidRPr="00A65A1A" w:rsidRDefault="00CA1AAC"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259,238</w:t>
            </w:r>
          </w:p>
        </w:tc>
        <w:tc>
          <w:tcPr>
            <w:tcW w:w="1368" w:type="dxa"/>
            <w:tcBorders>
              <w:top w:val="single" w:sz="4" w:space="0" w:color="auto"/>
              <w:left w:val="single" w:sz="8" w:space="0" w:color="0070C0"/>
              <w:bottom w:val="single" w:sz="4" w:space="0" w:color="000000"/>
              <w:right w:val="single" w:sz="12" w:space="0" w:color="000000"/>
            </w:tcBorders>
            <w:shd w:val="clear" w:color="auto" w:fill="auto"/>
            <w:vAlign w:val="center"/>
          </w:tcPr>
          <w:p w14:paraId="5FDAFE7B" w14:textId="5D7D77FB" w:rsidR="00CA1AAC" w:rsidRPr="00A65A1A" w:rsidRDefault="00CA1AAC"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268,447</w:t>
            </w:r>
          </w:p>
        </w:tc>
      </w:tr>
      <w:tr w:rsidR="00CA1AAC" w:rsidRPr="00A65A1A" w14:paraId="29DA90D9" w14:textId="77777777" w:rsidTr="004456EC">
        <w:trPr>
          <w:jc w:val="center"/>
        </w:trPr>
        <w:tc>
          <w:tcPr>
            <w:tcW w:w="2130" w:type="dxa"/>
            <w:tcBorders>
              <w:top w:val="single" w:sz="4" w:space="0" w:color="000000"/>
              <w:left w:val="single" w:sz="12" w:space="0" w:color="000000"/>
              <w:bottom w:val="single" w:sz="12" w:space="0" w:color="C0504D" w:themeColor="accent2"/>
              <w:right w:val="single" w:sz="18" w:space="0" w:color="0070C0"/>
            </w:tcBorders>
            <w:shd w:val="clear" w:color="auto" w:fill="auto"/>
            <w:vAlign w:val="center"/>
          </w:tcPr>
          <w:p w14:paraId="0E070C73" w14:textId="706FE0F3" w:rsidR="00CA1AAC" w:rsidRPr="00A65A1A" w:rsidRDefault="00CA1AAC" w:rsidP="00887D14">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2022</w:t>
            </w:r>
          </w:p>
        </w:tc>
        <w:tc>
          <w:tcPr>
            <w:tcW w:w="1368" w:type="dxa"/>
            <w:tcBorders>
              <w:top w:val="single" w:sz="4" w:space="0" w:color="000000"/>
              <w:left w:val="single" w:sz="18" w:space="0" w:color="0070C0"/>
              <w:bottom w:val="single" w:sz="12" w:space="0" w:color="C0504D" w:themeColor="accent2"/>
              <w:right w:val="single" w:sz="8" w:space="0" w:color="0070C0"/>
            </w:tcBorders>
            <w:shd w:val="clear" w:color="auto" w:fill="auto"/>
            <w:vAlign w:val="center"/>
          </w:tcPr>
          <w:p w14:paraId="3F7542B6" w14:textId="3352CACA" w:rsidR="00CA1AAC" w:rsidRPr="00A65A1A" w:rsidRDefault="00CA1AAC"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210,360</w:t>
            </w:r>
          </w:p>
        </w:tc>
        <w:tc>
          <w:tcPr>
            <w:tcW w:w="1368" w:type="dxa"/>
            <w:tcBorders>
              <w:top w:val="single" w:sz="4" w:space="0" w:color="000000"/>
              <w:left w:val="single" w:sz="8" w:space="0" w:color="0070C0"/>
              <w:bottom w:val="single" w:sz="12" w:space="0" w:color="C0504D" w:themeColor="accent2"/>
              <w:right w:val="single" w:sz="8" w:space="0" w:color="0070C0"/>
            </w:tcBorders>
            <w:shd w:val="clear" w:color="auto" w:fill="auto"/>
            <w:vAlign w:val="center"/>
          </w:tcPr>
          <w:p w14:paraId="109F7860" w14:textId="1C9C388F" w:rsidR="00CA1AAC" w:rsidRPr="00A65A1A" w:rsidRDefault="00CA1AAC"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223,999</w:t>
            </w:r>
          </w:p>
        </w:tc>
        <w:tc>
          <w:tcPr>
            <w:tcW w:w="1368" w:type="dxa"/>
            <w:tcBorders>
              <w:top w:val="single" w:sz="4" w:space="0" w:color="000000"/>
              <w:left w:val="single" w:sz="8" w:space="0" w:color="0070C0"/>
              <w:bottom w:val="single" w:sz="12" w:space="0" w:color="C0504D" w:themeColor="accent2"/>
              <w:right w:val="single" w:sz="12" w:space="0" w:color="000000"/>
            </w:tcBorders>
            <w:shd w:val="clear" w:color="auto" w:fill="auto"/>
            <w:vAlign w:val="center"/>
          </w:tcPr>
          <w:p w14:paraId="4D5DFDB3" w14:textId="643A437E" w:rsidR="00CA1AAC" w:rsidRPr="008C1BE9" w:rsidRDefault="00CA1AAC"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208,423</w:t>
            </w:r>
          </w:p>
        </w:tc>
      </w:tr>
      <w:tr w:rsidR="00CA1AAC" w:rsidRPr="00A65A1A" w14:paraId="0F4D6532" w14:textId="77777777" w:rsidTr="004456EC">
        <w:trPr>
          <w:jc w:val="center"/>
        </w:trPr>
        <w:tc>
          <w:tcPr>
            <w:tcW w:w="2130" w:type="dxa"/>
            <w:tcBorders>
              <w:top w:val="single" w:sz="12" w:space="0" w:color="C0504D" w:themeColor="accent2"/>
              <w:left w:val="single" w:sz="12" w:space="0" w:color="000000"/>
              <w:bottom w:val="single" w:sz="12" w:space="0" w:color="000000"/>
              <w:right w:val="single" w:sz="18" w:space="0" w:color="0070C0"/>
            </w:tcBorders>
            <w:shd w:val="clear" w:color="auto" w:fill="auto"/>
            <w:vAlign w:val="center"/>
          </w:tcPr>
          <w:p w14:paraId="6BF5045E" w14:textId="289832F2" w:rsidR="00CA1AAC" w:rsidRDefault="00CA1AAC" w:rsidP="00887D14">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Change from 2019</w:t>
            </w:r>
          </w:p>
        </w:tc>
        <w:tc>
          <w:tcPr>
            <w:tcW w:w="1368" w:type="dxa"/>
            <w:tcBorders>
              <w:top w:val="single" w:sz="12" w:space="0" w:color="C0504D" w:themeColor="accent2"/>
              <w:left w:val="single" w:sz="18" w:space="0" w:color="0070C0"/>
              <w:bottom w:val="single" w:sz="12" w:space="0" w:color="000000"/>
              <w:right w:val="single" w:sz="8" w:space="0" w:color="0070C0"/>
            </w:tcBorders>
            <w:shd w:val="clear" w:color="auto" w:fill="D99594" w:themeFill="accent2" w:themeFillTint="99"/>
            <w:vAlign w:val="center"/>
          </w:tcPr>
          <w:p w14:paraId="31B588DA" w14:textId="640EFAEB" w:rsidR="00CA1AAC" w:rsidRPr="00A65A1A" w:rsidRDefault="00340B5D"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-20.9%</w:t>
            </w:r>
          </w:p>
        </w:tc>
        <w:tc>
          <w:tcPr>
            <w:tcW w:w="1368" w:type="dxa"/>
            <w:tcBorders>
              <w:top w:val="single" w:sz="12" w:space="0" w:color="C0504D" w:themeColor="accent2"/>
              <w:left w:val="single" w:sz="8" w:space="0" w:color="0070C0"/>
              <w:bottom w:val="single" w:sz="12" w:space="0" w:color="000000"/>
              <w:right w:val="single" w:sz="8" w:space="0" w:color="0070C0"/>
            </w:tcBorders>
            <w:shd w:val="clear" w:color="auto" w:fill="F2DBDB" w:themeFill="accent2" w:themeFillTint="33"/>
            <w:vAlign w:val="center"/>
          </w:tcPr>
          <w:p w14:paraId="1C4FF308" w14:textId="478757BF" w:rsidR="00CA1AAC" w:rsidRPr="00A65A1A" w:rsidRDefault="00340B5D"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-4.1%</w:t>
            </w:r>
          </w:p>
        </w:tc>
        <w:tc>
          <w:tcPr>
            <w:tcW w:w="1368" w:type="dxa"/>
            <w:tcBorders>
              <w:top w:val="single" w:sz="12" w:space="0" w:color="C0504D" w:themeColor="accent2"/>
              <w:left w:val="single" w:sz="8" w:space="0" w:color="0070C0"/>
              <w:bottom w:val="single" w:sz="12" w:space="0" w:color="000000"/>
              <w:right w:val="single" w:sz="12" w:space="0" w:color="000000"/>
            </w:tcBorders>
            <w:shd w:val="clear" w:color="auto" w:fill="E5B8B7" w:themeFill="accent2" w:themeFillTint="66"/>
            <w:vAlign w:val="center"/>
          </w:tcPr>
          <w:p w14:paraId="422B3998" w14:textId="5D102F37" w:rsidR="00CA1AAC" w:rsidRPr="008C1BE9" w:rsidRDefault="00340B5D"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-17.2%</w:t>
            </w:r>
          </w:p>
        </w:tc>
      </w:tr>
    </w:tbl>
    <w:p w14:paraId="40F39FFC" w14:textId="50F02E44" w:rsidR="005065A2" w:rsidRDefault="00340B5D" w:rsidP="00340B5D">
      <w:pPr>
        <w:tabs>
          <w:tab w:val="left" w:pos="1530"/>
        </w:tabs>
        <w:spacing w:after="0" w:line="240" w:lineRule="auto"/>
        <w:contextualSpacing/>
        <w:mirrorIndents/>
        <w:rPr>
          <w:sz w:val="16"/>
          <w:szCs w:val="16"/>
        </w:rPr>
      </w:pPr>
      <w:r>
        <w:rPr>
          <w:sz w:val="16"/>
          <w:szCs w:val="16"/>
        </w:rPr>
        <w:tab/>
      </w:r>
      <w:r w:rsidR="005065A2">
        <w:rPr>
          <w:sz w:val="16"/>
          <w:szCs w:val="16"/>
        </w:rPr>
        <w:t>Cox Automotive, June 2022</w:t>
      </w:r>
      <w:r w:rsidR="005065A2">
        <w:rPr>
          <w:sz w:val="16"/>
          <w:szCs w:val="16"/>
        </w:rPr>
        <w:tab/>
      </w:r>
    </w:p>
    <w:p w14:paraId="769D2702" w14:textId="77777777" w:rsidR="001170C1" w:rsidRDefault="001170C1" w:rsidP="0033101A">
      <w:pPr>
        <w:spacing w:after="0" w:line="240" w:lineRule="auto"/>
        <w:contextualSpacing/>
        <w:mirrorIndents/>
        <w:rPr>
          <w:rFonts w:ascii="Verdana" w:hAnsi="Verdana"/>
          <w:sz w:val="20"/>
          <w:szCs w:val="20"/>
        </w:rPr>
      </w:pPr>
    </w:p>
    <w:p w14:paraId="2717473F" w14:textId="77777777" w:rsidR="001170C1" w:rsidRDefault="001170C1" w:rsidP="0033101A">
      <w:pPr>
        <w:spacing w:after="0" w:line="240" w:lineRule="auto"/>
        <w:contextualSpacing/>
        <w:mirrorIndents/>
        <w:rPr>
          <w:rFonts w:ascii="Verdana" w:hAnsi="Verdana"/>
          <w:sz w:val="20"/>
          <w:szCs w:val="20"/>
        </w:rPr>
      </w:pPr>
    </w:p>
    <w:p w14:paraId="18011400" w14:textId="77777777" w:rsidR="001170C1" w:rsidRDefault="001170C1" w:rsidP="0033101A">
      <w:pPr>
        <w:spacing w:after="0" w:line="240" w:lineRule="auto"/>
        <w:contextualSpacing/>
        <w:mirrorIndents/>
        <w:rPr>
          <w:rFonts w:ascii="Verdana" w:hAnsi="Verdana"/>
          <w:sz w:val="20"/>
          <w:szCs w:val="20"/>
        </w:rPr>
      </w:pPr>
    </w:p>
    <w:p w14:paraId="72FA05EB" w14:textId="4315022B" w:rsidR="0033101A" w:rsidRPr="00011E22" w:rsidRDefault="0033101A" w:rsidP="00011E22">
      <w:pPr>
        <w:spacing w:after="0" w:line="240" w:lineRule="auto"/>
        <w:contextualSpacing/>
        <w:mirrorIndents/>
        <w:jc w:val="center"/>
        <w:rPr>
          <w:rFonts w:ascii="Verdana" w:hAnsi="Verdana"/>
          <w:b/>
          <w:bCs/>
          <w:color w:val="0070C0"/>
          <w:sz w:val="20"/>
          <w:szCs w:val="20"/>
        </w:rPr>
      </w:pPr>
      <w:r w:rsidRPr="00011E22">
        <w:rPr>
          <w:rFonts w:ascii="Verdana" w:hAnsi="Verdana"/>
          <w:b/>
          <w:bCs/>
          <w:color w:val="0070C0"/>
          <w:sz w:val="20"/>
          <w:szCs w:val="20"/>
        </w:rPr>
        <w:lastRenderedPageBreak/>
        <w:t>Consumers Search Across States for Used Vehicles</w:t>
      </w:r>
    </w:p>
    <w:p w14:paraId="7CC204F9" w14:textId="77777777" w:rsidR="0033101A" w:rsidRPr="0033101A" w:rsidRDefault="0033101A" w:rsidP="0033101A">
      <w:pPr>
        <w:spacing w:after="0" w:line="240" w:lineRule="auto"/>
        <w:contextualSpacing/>
        <w:mirrorIndents/>
        <w:rPr>
          <w:rFonts w:ascii="Verdana" w:hAnsi="Verdana"/>
          <w:sz w:val="20"/>
          <w:szCs w:val="20"/>
        </w:rPr>
      </w:pPr>
    </w:p>
    <w:p w14:paraId="0CD72711" w14:textId="02262E35" w:rsidR="00011E22" w:rsidRDefault="00011E22" w:rsidP="0033101A">
      <w:pPr>
        <w:spacing w:after="0" w:line="240" w:lineRule="auto"/>
        <w:contextualSpacing/>
        <w:mirrorIndents/>
        <w:rPr>
          <w:rFonts w:ascii="Verdana" w:hAnsi="Verdana"/>
          <w:sz w:val="20"/>
          <w:szCs w:val="20"/>
        </w:rPr>
      </w:pPr>
      <w:r>
        <w:rPr>
          <w:rFonts w:ascii="Verdana" w:hAnsi="Verdana"/>
          <w:sz w:val="20"/>
          <w:szCs w:val="20"/>
        </w:rPr>
        <w:t>Quantrell Subaru in Lexington, KY survey</w:t>
      </w:r>
      <w:r w:rsidR="00847800">
        <w:rPr>
          <w:rFonts w:ascii="Verdana" w:hAnsi="Verdana"/>
          <w:sz w:val="20"/>
          <w:szCs w:val="20"/>
        </w:rPr>
        <w:t>ed</w:t>
      </w:r>
      <w:r>
        <w:rPr>
          <w:rFonts w:ascii="Verdana" w:hAnsi="Verdana"/>
          <w:sz w:val="20"/>
          <w:szCs w:val="20"/>
        </w:rPr>
        <w:t xml:space="preserve"> more than 2,600 used-vehicle buyers and discovered the average recipient would travel as much as 469 to purchase the used vehicle they wanted, with those in Alaska willing to travel the farthest or 722 miles.</w:t>
      </w:r>
    </w:p>
    <w:p w14:paraId="46D92A3F" w14:textId="14367E91" w:rsidR="00011E22" w:rsidRDefault="00011E22" w:rsidP="0033101A">
      <w:pPr>
        <w:spacing w:after="0" w:line="240" w:lineRule="auto"/>
        <w:contextualSpacing/>
        <w:mirrorIndents/>
        <w:rPr>
          <w:rFonts w:ascii="Verdana" w:hAnsi="Verdana"/>
          <w:sz w:val="20"/>
          <w:szCs w:val="20"/>
        </w:rPr>
      </w:pPr>
    </w:p>
    <w:p w14:paraId="09A245B0" w14:textId="645D9438" w:rsidR="00011E22" w:rsidRDefault="00204A2A" w:rsidP="0033101A">
      <w:pPr>
        <w:spacing w:after="0" w:line="240" w:lineRule="auto"/>
        <w:contextualSpacing/>
        <w:mirrorIndents/>
        <w:rPr>
          <w:rFonts w:ascii="Verdana" w:hAnsi="Verdana"/>
          <w:sz w:val="20"/>
          <w:szCs w:val="20"/>
        </w:rPr>
      </w:pPr>
      <w:r>
        <w:rPr>
          <w:rFonts w:ascii="Verdana" w:hAnsi="Verdana"/>
          <w:sz w:val="20"/>
          <w:szCs w:val="20"/>
        </w:rPr>
        <w:t>A Cars.com analyst attributes t</w:t>
      </w:r>
      <w:r w:rsidR="00011E22">
        <w:rPr>
          <w:rFonts w:ascii="Verdana" w:hAnsi="Verdana"/>
          <w:sz w:val="20"/>
          <w:szCs w:val="20"/>
        </w:rPr>
        <w:t xml:space="preserve">his trend </w:t>
      </w:r>
      <w:r>
        <w:rPr>
          <w:rFonts w:ascii="Verdana" w:hAnsi="Verdana"/>
          <w:sz w:val="20"/>
          <w:szCs w:val="20"/>
        </w:rPr>
        <w:t>to the low inventories of used vehicles, especially in smaller cities and towns. A Cars.com survey found consumers quickly learn they have to be very flexible and not expect to find the vehicle they would like.</w:t>
      </w:r>
    </w:p>
    <w:p w14:paraId="750C124A" w14:textId="6B269AF0" w:rsidR="00204A2A" w:rsidRDefault="00204A2A" w:rsidP="0033101A">
      <w:pPr>
        <w:spacing w:after="0" w:line="240" w:lineRule="auto"/>
        <w:contextualSpacing/>
        <w:mirrorIndents/>
        <w:rPr>
          <w:rFonts w:ascii="Verdana" w:hAnsi="Verdana"/>
          <w:sz w:val="20"/>
          <w:szCs w:val="20"/>
        </w:rPr>
      </w:pPr>
    </w:p>
    <w:p w14:paraId="4312E558" w14:textId="5FFB75E3" w:rsidR="00204A2A" w:rsidRDefault="00204A2A" w:rsidP="0033101A">
      <w:pPr>
        <w:spacing w:after="0" w:line="240" w:lineRule="auto"/>
        <w:contextualSpacing/>
        <w:mirrorIndents/>
        <w:rPr>
          <w:rFonts w:ascii="Verdana" w:hAnsi="Verdana"/>
          <w:sz w:val="20"/>
          <w:szCs w:val="20"/>
        </w:rPr>
      </w:pPr>
      <w:r>
        <w:rPr>
          <w:rFonts w:ascii="Verdana" w:hAnsi="Verdana"/>
          <w:sz w:val="20"/>
          <w:szCs w:val="20"/>
        </w:rPr>
        <w:t>A Buffalo, NY used-vehicle dealer said many of its customers have decided to buy a much older and less-costly vehicle with high mileage</w:t>
      </w:r>
      <w:r w:rsidR="00F53AFD">
        <w:rPr>
          <w:rFonts w:ascii="Verdana" w:hAnsi="Verdana"/>
          <w:sz w:val="20"/>
          <w:szCs w:val="20"/>
        </w:rPr>
        <w:t xml:space="preserve"> and</w:t>
      </w:r>
      <w:r>
        <w:rPr>
          <w:rFonts w:ascii="Verdana" w:hAnsi="Verdana"/>
          <w:sz w:val="20"/>
          <w:szCs w:val="20"/>
        </w:rPr>
        <w:t xml:space="preserve"> still somewhat dependable</w:t>
      </w:r>
      <w:r w:rsidR="00F53AFD">
        <w:rPr>
          <w:rFonts w:ascii="Verdana" w:hAnsi="Verdana"/>
          <w:sz w:val="20"/>
          <w:szCs w:val="20"/>
        </w:rPr>
        <w:t xml:space="preserve"> as a 12- to 18-month</w:t>
      </w:r>
      <w:r w:rsidR="00857E38">
        <w:rPr>
          <w:rFonts w:ascii="Verdana" w:hAnsi="Verdana"/>
          <w:sz w:val="20"/>
          <w:szCs w:val="20"/>
        </w:rPr>
        <w:t>-</w:t>
      </w:r>
      <w:r w:rsidR="00F53AFD">
        <w:rPr>
          <w:rFonts w:ascii="Verdana" w:hAnsi="Verdana"/>
          <w:sz w:val="20"/>
          <w:szCs w:val="20"/>
        </w:rPr>
        <w:t xml:space="preserve">interim vehicle until the market rebalances. </w:t>
      </w:r>
    </w:p>
    <w:p w14:paraId="38AB5B60" w14:textId="77777777" w:rsidR="00011E22" w:rsidRDefault="00011E22" w:rsidP="0033101A">
      <w:pPr>
        <w:spacing w:after="0" w:line="240" w:lineRule="auto"/>
        <w:contextualSpacing/>
        <w:mirrorIndents/>
        <w:rPr>
          <w:rFonts w:ascii="Verdana" w:hAnsi="Verdana"/>
          <w:sz w:val="20"/>
          <w:szCs w:val="20"/>
        </w:rPr>
      </w:pPr>
    </w:p>
    <w:p w14:paraId="65092F2F" w14:textId="77777777" w:rsidR="00FB47D7" w:rsidRDefault="00FB47D7" w:rsidP="00FB47D7">
      <w:pPr>
        <w:pStyle w:val="Header"/>
        <w:contextualSpacing/>
        <w:jc w:val="center"/>
        <w:rPr>
          <w:rFonts w:ascii="Verdana" w:hAnsi="Verdana"/>
          <w:b/>
          <w:sz w:val="20"/>
          <w:szCs w:val="20"/>
        </w:rPr>
      </w:pPr>
      <w:r>
        <w:rPr>
          <w:rFonts w:ascii="Verdana" w:hAnsi="Verdana"/>
          <w:b/>
          <w:sz w:val="20"/>
          <w:szCs w:val="20"/>
        </w:rPr>
        <w:t xml:space="preserve">Distances Consumers Are Willing To Travel to </w:t>
      </w:r>
    </w:p>
    <w:p w14:paraId="79468845" w14:textId="1DE6372B" w:rsidR="00FB47D7" w:rsidRPr="00CC1ECE" w:rsidRDefault="00FB47D7" w:rsidP="00FB47D7">
      <w:pPr>
        <w:pStyle w:val="Header"/>
        <w:contextualSpacing/>
        <w:jc w:val="center"/>
        <w:rPr>
          <w:rFonts w:ascii="Verdana" w:hAnsi="Verdana"/>
          <w:b/>
          <w:sz w:val="20"/>
          <w:szCs w:val="20"/>
        </w:rPr>
      </w:pPr>
      <w:r>
        <w:rPr>
          <w:rFonts w:ascii="Verdana" w:hAnsi="Verdana"/>
          <w:b/>
          <w:sz w:val="20"/>
          <w:szCs w:val="20"/>
        </w:rPr>
        <w:t>Buy a Used Vehicle in Selected States, May 2022</w:t>
      </w:r>
    </w:p>
    <w:tbl>
      <w:tblPr>
        <w:tblW w:w="5414"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1440"/>
        <w:gridCol w:w="1267"/>
        <w:gridCol w:w="1440"/>
        <w:gridCol w:w="1267"/>
      </w:tblGrid>
      <w:tr w:rsidR="00FB47D7" w:rsidRPr="00DB5378" w14:paraId="7CC5A411" w14:textId="77777777" w:rsidTr="00FB47D7">
        <w:trPr>
          <w:jc w:val="center"/>
        </w:trPr>
        <w:tc>
          <w:tcPr>
            <w:tcW w:w="1440" w:type="dxa"/>
            <w:tcBorders>
              <w:top w:val="single" w:sz="12" w:space="0" w:color="000000"/>
              <w:left w:val="single" w:sz="12" w:space="0" w:color="000000"/>
              <w:bottom w:val="single" w:sz="18" w:space="0" w:color="C0504D" w:themeColor="accent2"/>
              <w:right w:val="single" w:sz="8" w:space="0" w:color="0070C0"/>
            </w:tcBorders>
            <w:vAlign w:val="center"/>
          </w:tcPr>
          <w:p w14:paraId="28EDC311" w14:textId="6C293C26" w:rsidR="00FB47D7" w:rsidRPr="00DB5378" w:rsidRDefault="00FB47D7" w:rsidP="00887D14">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State</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44611C45" w14:textId="2A831FA0" w:rsidR="00FB47D7" w:rsidRPr="00DB5378" w:rsidRDefault="00FB47D7" w:rsidP="00887D14">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Distance</w:t>
            </w:r>
          </w:p>
        </w:tc>
        <w:tc>
          <w:tcPr>
            <w:tcW w:w="1440" w:type="dxa"/>
            <w:tcBorders>
              <w:top w:val="single" w:sz="12" w:space="0" w:color="000000"/>
              <w:left w:val="single" w:sz="18" w:space="0" w:color="0070C0"/>
              <w:bottom w:val="single" w:sz="18" w:space="0" w:color="C0504D" w:themeColor="accent2"/>
              <w:right w:val="single" w:sz="8" w:space="0" w:color="0070C0"/>
            </w:tcBorders>
            <w:vAlign w:val="center"/>
          </w:tcPr>
          <w:p w14:paraId="5C866CA4" w14:textId="41B1CA8B" w:rsidR="00FB47D7" w:rsidRDefault="00FB47D7" w:rsidP="00887D14">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State</w:t>
            </w:r>
          </w:p>
        </w:tc>
        <w:tc>
          <w:tcPr>
            <w:tcW w:w="1267" w:type="dxa"/>
            <w:tcBorders>
              <w:top w:val="single" w:sz="12" w:space="0" w:color="000000"/>
              <w:left w:val="single" w:sz="8" w:space="0" w:color="0070C0"/>
              <w:bottom w:val="single" w:sz="18" w:space="0" w:color="C0504D" w:themeColor="accent2"/>
              <w:right w:val="single" w:sz="12" w:space="0" w:color="000000"/>
            </w:tcBorders>
            <w:vAlign w:val="center"/>
          </w:tcPr>
          <w:p w14:paraId="2C02A6CC" w14:textId="3077DD03" w:rsidR="00FB47D7" w:rsidRDefault="00FB47D7" w:rsidP="00887D14">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Distance</w:t>
            </w:r>
          </w:p>
        </w:tc>
      </w:tr>
      <w:tr w:rsidR="001C5F02" w:rsidRPr="00DB5378" w14:paraId="1D1B9E70" w14:textId="77777777" w:rsidTr="001C5F02">
        <w:tblPrEx>
          <w:tblBorders>
            <w:top w:val="none" w:sz="0" w:space="0" w:color="auto"/>
          </w:tblBorders>
        </w:tblPrEx>
        <w:trPr>
          <w:jc w:val="center"/>
        </w:trPr>
        <w:tc>
          <w:tcPr>
            <w:tcW w:w="1440" w:type="dxa"/>
            <w:tcBorders>
              <w:top w:val="single" w:sz="18" w:space="0" w:color="C0504D" w:themeColor="accent2"/>
              <w:left w:val="single" w:sz="12" w:space="0" w:color="000000"/>
              <w:bottom w:val="single" w:sz="4" w:space="0" w:color="000000"/>
              <w:right w:val="single" w:sz="8" w:space="0" w:color="0070C0"/>
            </w:tcBorders>
            <w:shd w:val="clear" w:color="auto" w:fill="auto"/>
            <w:vAlign w:val="center"/>
          </w:tcPr>
          <w:p w14:paraId="453416B6" w14:textId="58396620" w:rsidR="00FB47D7" w:rsidRPr="00DB5378" w:rsidRDefault="00FB47D7" w:rsidP="00887D14">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Alaska</w:t>
            </w:r>
          </w:p>
        </w:tc>
        <w:tc>
          <w:tcPr>
            <w:tcW w:w="1267" w:type="dxa"/>
            <w:tcBorders>
              <w:top w:val="single" w:sz="18" w:space="0" w:color="C0504D" w:themeColor="accent2"/>
              <w:left w:val="single" w:sz="8" w:space="0" w:color="0070C0"/>
              <w:bottom w:val="single" w:sz="4" w:space="0" w:color="auto"/>
              <w:right w:val="single" w:sz="18" w:space="0" w:color="0070C0"/>
            </w:tcBorders>
            <w:shd w:val="clear" w:color="auto" w:fill="FF0000"/>
            <w:vAlign w:val="center"/>
          </w:tcPr>
          <w:p w14:paraId="7A582BBD" w14:textId="5E4877E5" w:rsidR="00FB47D7" w:rsidRPr="00DB5378" w:rsidRDefault="00FB47D7"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722</w:t>
            </w:r>
          </w:p>
        </w:tc>
        <w:tc>
          <w:tcPr>
            <w:tcW w:w="1440" w:type="dxa"/>
            <w:tcBorders>
              <w:top w:val="single" w:sz="18" w:space="0" w:color="C0504D" w:themeColor="accent2"/>
              <w:left w:val="single" w:sz="18" w:space="0" w:color="0070C0"/>
              <w:bottom w:val="single" w:sz="4" w:space="0" w:color="auto"/>
              <w:right w:val="single" w:sz="8" w:space="0" w:color="0070C0"/>
            </w:tcBorders>
            <w:shd w:val="clear" w:color="auto" w:fill="auto"/>
            <w:vAlign w:val="center"/>
          </w:tcPr>
          <w:p w14:paraId="2392F9E2" w14:textId="3F9944E9" w:rsidR="00FB47D7" w:rsidRDefault="00FB47D7"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Florida</w:t>
            </w:r>
          </w:p>
        </w:tc>
        <w:tc>
          <w:tcPr>
            <w:tcW w:w="1267" w:type="dxa"/>
            <w:tcBorders>
              <w:top w:val="single" w:sz="18" w:space="0" w:color="C0504D" w:themeColor="accent2"/>
              <w:left w:val="single" w:sz="8" w:space="0" w:color="0070C0"/>
              <w:bottom w:val="single" w:sz="4" w:space="0" w:color="auto"/>
              <w:right w:val="single" w:sz="12" w:space="0" w:color="000000"/>
            </w:tcBorders>
            <w:shd w:val="clear" w:color="auto" w:fill="E5B8B7" w:themeFill="accent2" w:themeFillTint="66"/>
            <w:vAlign w:val="center"/>
          </w:tcPr>
          <w:p w14:paraId="58890F45" w14:textId="1D4FBF15" w:rsidR="00FB47D7" w:rsidRDefault="00FB47D7"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442</w:t>
            </w:r>
          </w:p>
        </w:tc>
      </w:tr>
      <w:tr w:rsidR="001C5F02" w:rsidRPr="00DB5378" w14:paraId="46DADE7C" w14:textId="77777777" w:rsidTr="001C5F02">
        <w:tblPrEx>
          <w:tblBorders>
            <w:top w:val="none" w:sz="0" w:space="0" w:color="auto"/>
          </w:tblBorders>
        </w:tblPrEx>
        <w:trPr>
          <w:jc w:val="center"/>
        </w:trPr>
        <w:tc>
          <w:tcPr>
            <w:tcW w:w="1440" w:type="dxa"/>
            <w:tcBorders>
              <w:top w:val="single" w:sz="4" w:space="0" w:color="000000"/>
              <w:left w:val="single" w:sz="12" w:space="0" w:color="000000"/>
              <w:bottom w:val="single" w:sz="4" w:space="0" w:color="000000"/>
              <w:right w:val="single" w:sz="8" w:space="0" w:color="0070C0"/>
            </w:tcBorders>
            <w:shd w:val="clear" w:color="auto" w:fill="auto"/>
            <w:vAlign w:val="center"/>
          </w:tcPr>
          <w:p w14:paraId="4799F665" w14:textId="1A9E0552" w:rsidR="00FB47D7" w:rsidRDefault="00FB47D7" w:rsidP="00887D14">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Texas</w:t>
            </w:r>
          </w:p>
        </w:tc>
        <w:tc>
          <w:tcPr>
            <w:tcW w:w="1267" w:type="dxa"/>
            <w:tcBorders>
              <w:top w:val="single" w:sz="4" w:space="0" w:color="auto"/>
              <w:left w:val="single" w:sz="8" w:space="0" w:color="0070C0"/>
              <w:bottom w:val="single" w:sz="4" w:space="0" w:color="000000"/>
              <w:right w:val="single" w:sz="18" w:space="0" w:color="0070C0"/>
            </w:tcBorders>
            <w:shd w:val="clear" w:color="auto" w:fill="D99594" w:themeFill="accent2" w:themeFillTint="99"/>
            <w:vAlign w:val="center"/>
          </w:tcPr>
          <w:p w14:paraId="788E5402" w14:textId="005FD4C8" w:rsidR="00FB47D7" w:rsidRDefault="00FB47D7"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520</w:t>
            </w:r>
          </w:p>
        </w:tc>
        <w:tc>
          <w:tcPr>
            <w:tcW w:w="1440" w:type="dxa"/>
            <w:tcBorders>
              <w:top w:val="single" w:sz="4" w:space="0" w:color="auto"/>
              <w:left w:val="single" w:sz="18" w:space="0" w:color="0070C0"/>
              <w:bottom w:val="single" w:sz="4" w:space="0" w:color="000000"/>
              <w:right w:val="single" w:sz="8" w:space="0" w:color="0070C0"/>
            </w:tcBorders>
            <w:shd w:val="clear" w:color="auto" w:fill="auto"/>
            <w:vAlign w:val="center"/>
          </w:tcPr>
          <w:p w14:paraId="0739D055" w14:textId="103DB171" w:rsidR="00FB47D7" w:rsidRDefault="00FB47D7"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Kentucky</w:t>
            </w:r>
          </w:p>
        </w:tc>
        <w:tc>
          <w:tcPr>
            <w:tcW w:w="1267" w:type="dxa"/>
            <w:tcBorders>
              <w:top w:val="single" w:sz="4" w:space="0" w:color="auto"/>
              <w:left w:val="single" w:sz="8" w:space="0" w:color="0070C0"/>
              <w:bottom w:val="single" w:sz="4" w:space="0" w:color="000000"/>
              <w:right w:val="single" w:sz="12" w:space="0" w:color="000000"/>
            </w:tcBorders>
            <w:shd w:val="clear" w:color="auto" w:fill="E5B8B7" w:themeFill="accent2" w:themeFillTint="66"/>
            <w:vAlign w:val="center"/>
          </w:tcPr>
          <w:p w14:paraId="4FFA0D3E" w14:textId="6A501A41" w:rsidR="00FB47D7" w:rsidRDefault="00FB47D7"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421</w:t>
            </w:r>
          </w:p>
        </w:tc>
      </w:tr>
      <w:tr w:rsidR="001C5F02" w:rsidRPr="00DB5378" w14:paraId="00C1FB93" w14:textId="77777777" w:rsidTr="001C5F02">
        <w:tblPrEx>
          <w:tblBorders>
            <w:top w:val="none" w:sz="0" w:space="0" w:color="auto"/>
          </w:tblBorders>
        </w:tblPrEx>
        <w:trPr>
          <w:jc w:val="center"/>
        </w:trPr>
        <w:tc>
          <w:tcPr>
            <w:tcW w:w="1440" w:type="dxa"/>
            <w:tcBorders>
              <w:top w:val="single" w:sz="4" w:space="0" w:color="000000"/>
              <w:left w:val="single" w:sz="12" w:space="0" w:color="000000"/>
              <w:bottom w:val="single" w:sz="4" w:space="0" w:color="000000"/>
              <w:right w:val="single" w:sz="8" w:space="0" w:color="0070C0"/>
            </w:tcBorders>
            <w:shd w:val="clear" w:color="auto" w:fill="auto"/>
            <w:vAlign w:val="center"/>
          </w:tcPr>
          <w:p w14:paraId="55962884" w14:textId="7066C3F0" w:rsidR="00FB47D7" w:rsidRDefault="00FB47D7" w:rsidP="00887D14">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California</w:t>
            </w:r>
          </w:p>
        </w:tc>
        <w:tc>
          <w:tcPr>
            <w:tcW w:w="1267" w:type="dxa"/>
            <w:tcBorders>
              <w:top w:val="single" w:sz="4" w:space="0" w:color="auto"/>
              <w:left w:val="single" w:sz="8" w:space="0" w:color="0070C0"/>
              <w:bottom w:val="single" w:sz="4" w:space="0" w:color="000000"/>
              <w:right w:val="single" w:sz="18" w:space="0" w:color="0070C0"/>
            </w:tcBorders>
            <w:shd w:val="clear" w:color="auto" w:fill="D99594" w:themeFill="accent2" w:themeFillTint="99"/>
            <w:vAlign w:val="center"/>
          </w:tcPr>
          <w:p w14:paraId="7C9D3840" w14:textId="1B4EABF3" w:rsidR="00FB47D7" w:rsidRDefault="00FB47D7"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498</w:t>
            </w:r>
          </w:p>
        </w:tc>
        <w:tc>
          <w:tcPr>
            <w:tcW w:w="1440" w:type="dxa"/>
            <w:tcBorders>
              <w:top w:val="single" w:sz="4" w:space="0" w:color="auto"/>
              <w:left w:val="single" w:sz="18" w:space="0" w:color="0070C0"/>
              <w:bottom w:val="single" w:sz="4" w:space="0" w:color="000000"/>
              <w:right w:val="single" w:sz="8" w:space="0" w:color="0070C0"/>
            </w:tcBorders>
            <w:shd w:val="clear" w:color="auto" w:fill="auto"/>
            <w:vAlign w:val="center"/>
          </w:tcPr>
          <w:p w14:paraId="3683E975" w14:textId="22601365" w:rsidR="00FB47D7" w:rsidRDefault="00FB47D7"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Michigan</w:t>
            </w:r>
          </w:p>
        </w:tc>
        <w:tc>
          <w:tcPr>
            <w:tcW w:w="1267" w:type="dxa"/>
            <w:tcBorders>
              <w:top w:val="single" w:sz="4" w:space="0" w:color="auto"/>
              <w:left w:val="single" w:sz="8" w:space="0" w:color="0070C0"/>
              <w:bottom w:val="single" w:sz="4" w:space="0" w:color="000000"/>
              <w:right w:val="single" w:sz="12" w:space="0" w:color="000000"/>
            </w:tcBorders>
            <w:shd w:val="clear" w:color="auto" w:fill="E5B8B7" w:themeFill="accent2" w:themeFillTint="66"/>
            <w:vAlign w:val="center"/>
          </w:tcPr>
          <w:p w14:paraId="7DA0113B" w14:textId="51E8E093" w:rsidR="00FB47D7" w:rsidRDefault="00FB47D7"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380</w:t>
            </w:r>
          </w:p>
        </w:tc>
      </w:tr>
      <w:tr w:rsidR="00FB47D7" w:rsidRPr="00DB5378" w14:paraId="0A508130" w14:textId="77777777" w:rsidTr="001C5F02">
        <w:tblPrEx>
          <w:tblBorders>
            <w:top w:val="none" w:sz="0" w:space="0" w:color="auto"/>
          </w:tblBorders>
        </w:tblPrEx>
        <w:trPr>
          <w:jc w:val="center"/>
        </w:trPr>
        <w:tc>
          <w:tcPr>
            <w:tcW w:w="1440" w:type="dxa"/>
            <w:tcBorders>
              <w:top w:val="single" w:sz="4" w:space="0" w:color="000000"/>
              <w:left w:val="single" w:sz="12" w:space="0" w:color="000000"/>
              <w:bottom w:val="single" w:sz="12" w:space="0" w:color="auto"/>
              <w:right w:val="single" w:sz="8" w:space="0" w:color="0070C0"/>
            </w:tcBorders>
            <w:shd w:val="clear" w:color="auto" w:fill="auto"/>
            <w:vAlign w:val="center"/>
          </w:tcPr>
          <w:p w14:paraId="2CDCE2B0" w14:textId="22D61A72" w:rsidR="00FB47D7" w:rsidRPr="00DB5378" w:rsidRDefault="00FB47D7" w:rsidP="00887D14">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New York</w:t>
            </w:r>
          </w:p>
        </w:tc>
        <w:tc>
          <w:tcPr>
            <w:tcW w:w="1267" w:type="dxa"/>
            <w:tcBorders>
              <w:top w:val="single" w:sz="4" w:space="0" w:color="000000"/>
              <w:left w:val="single" w:sz="8" w:space="0" w:color="0070C0"/>
              <w:bottom w:val="single" w:sz="12" w:space="0" w:color="auto"/>
              <w:right w:val="single" w:sz="18" w:space="0" w:color="0070C0"/>
            </w:tcBorders>
            <w:shd w:val="clear" w:color="auto" w:fill="D99594" w:themeFill="accent2" w:themeFillTint="99"/>
            <w:vAlign w:val="center"/>
          </w:tcPr>
          <w:p w14:paraId="30F13AD4" w14:textId="1CB1202E" w:rsidR="00FB47D7" w:rsidRPr="00DB5378" w:rsidRDefault="00FB47D7"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470</w:t>
            </w:r>
          </w:p>
        </w:tc>
        <w:tc>
          <w:tcPr>
            <w:tcW w:w="1440" w:type="dxa"/>
            <w:tcBorders>
              <w:top w:val="single" w:sz="4" w:space="0" w:color="000000"/>
              <w:left w:val="single" w:sz="18" w:space="0" w:color="0070C0"/>
              <w:bottom w:val="single" w:sz="12" w:space="0" w:color="auto"/>
              <w:right w:val="single" w:sz="8" w:space="0" w:color="0070C0"/>
            </w:tcBorders>
            <w:shd w:val="clear" w:color="auto" w:fill="auto"/>
            <w:vAlign w:val="center"/>
          </w:tcPr>
          <w:p w14:paraId="316AA188" w14:textId="4664B7CF" w:rsidR="00FB47D7" w:rsidRPr="00DB5378" w:rsidRDefault="00FB47D7"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sz w:val="20"/>
                <w:szCs w:val="20"/>
              </w:rPr>
            </w:pPr>
            <w:r>
              <w:rPr>
                <w:rFonts w:ascii="Verdana" w:eastAsia="Times New Roman" w:hAnsi="Verdana"/>
                <w:sz w:val="20"/>
                <w:szCs w:val="20"/>
              </w:rPr>
              <w:t>Vermont</w:t>
            </w:r>
          </w:p>
        </w:tc>
        <w:tc>
          <w:tcPr>
            <w:tcW w:w="1267" w:type="dxa"/>
            <w:tcBorders>
              <w:top w:val="single" w:sz="4" w:space="0" w:color="000000"/>
              <w:left w:val="single" w:sz="8" w:space="0" w:color="0070C0"/>
              <w:bottom w:val="single" w:sz="12" w:space="0" w:color="auto"/>
              <w:right w:val="single" w:sz="12" w:space="0" w:color="000000"/>
            </w:tcBorders>
            <w:shd w:val="clear" w:color="auto" w:fill="F2DBDB" w:themeFill="accent2" w:themeFillTint="33"/>
            <w:vAlign w:val="center"/>
          </w:tcPr>
          <w:p w14:paraId="62C3BDAD" w14:textId="25223A59" w:rsidR="00FB47D7" w:rsidRPr="00DB5378" w:rsidRDefault="00FB47D7"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286</w:t>
            </w:r>
          </w:p>
        </w:tc>
      </w:tr>
    </w:tbl>
    <w:p w14:paraId="63CE473D" w14:textId="740371DE" w:rsidR="00011E22" w:rsidRDefault="00FB47D7" w:rsidP="00FB47D7">
      <w:pPr>
        <w:tabs>
          <w:tab w:val="left" w:pos="1980"/>
        </w:tabs>
        <w:spacing w:after="0" w:line="240" w:lineRule="auto"/>
        <w:contextualSpacing/>
        <w:mirrorIndents/>
        <w:rPr>
          <w:rFonts w:ascii="Verdana" w:hAnsi="Verdana"/>
          <w:sz w:val="20"/>
          <w:szCs w:val="20"/>
        </w:rPr>
      </w:pPr>
      <w:r>
        <w:rPr>
          <w:rFonts w:ascii="Verdana" w:hAnsi="Verdana"/>
          <w:iCs/>
          <w:sz w:val="16"/>
          <w:szCs w:val="16"/>
        </w:rPr>
        <w:tab/>
      </w:r>
      <w:r w:rsidRPr="00FB47D7">
        <w:rPr>
          <w:rFonts w:ascii="Verdana" w:hAnsi="Verdana"/>
          <w:i/>
          <w:sz w:val="16"/>
          <w:szCs w:val="16"/>
        </w:rPr>
        <w:t>Automotive News</w:t>
      </w:r>
      <w:r>
        <w:rPr>
          <w:rFonts w:ascii="Verdana" w:hAnsi="Verdana"/>
          <w:iCs/>
          <w:sz w:val="16"/>
          <w:szCs w:val="16"/>
        </w:rPr>
        <w:t>, June 2022</w:t>
      </w:r>
    </w:p>
    <w:p w14:paraId="583B3E5C" w14:textId="77777777" w:rsidR="00011E22" w:rsidRDefault="00011E22" w:rsidP="0033101A">
      <w:pPr>
        <w:spacing w:after="0" w:line="240" w:lineRule="auto"/>
        <w:contextualSpacing/>
        <w:mirrorIndents/>
        <w:rPr>
          <w:rFonts w:ascii="Verdana" w:hAnsi="Verdana"/>
          <w:sz w:val="20"/>
          <w:szCs w:val="20"/>
        </w:rPr>
      </w:pPr>
    </w:p>
    <w:p w14:paraId="3A45C75C" w14:textId="4A3948CD" w:rsidR="0033101A" w:rsidRPr="001C5F02" w:rsidRDefault="0033101A" w:rsidP="001C5F02">
      <w:pPr>
        <w:spacing w:after="0" w:line="240" w:lineRule="auto"/>
        <w:contextualSpacing/>
        <w:mirrorIndents/>
        <w:jc w:val="center"/>
        <w:rPr>
          <w:rFonts w:ascii="Verdana" w:hAnsi="Verdana"/>
          <w:b/>
          <w:bCs/>
          <w:color w:val="0070C0"/>
          <w:sz w:val="20"/>
          <w:szCs w:val="20"/>
        </w:rPr>
      </w:pPr>
      <w:r w:rsidRPr="001C5F02">
        <w:rPr>
          <w:rFonts w:ascii="Verdana" w:hAnsi="Verdana"/>
          <w:b/>
          <w:bCs/>
          <w:color w:val="0070C0"/>
          <w:sz w:val="20"/>
          <w:szCs w:val="20"/>
        </w:rPr>
        <w:t>Market Trends</w:t>
      </w:r>
    </w:p>
    <w:p w14:paraId="286AC9F6" w14:textId="77777777" w:rsidR="00F94CE8" w:rsidRPr="0033101A" w:rsidRDefault="00F94CE8" w:rsidP="0033101A">
      <w:pPr>
        <w:pStyle w:val="NoSpacing"/>
        <w:contextualSpacing/>
        <w:mirrorIndents/>
        <w:rPr>
          <w:rFonts w:ascii="Verdana" w:hAnsi="Verdana"/>
          <w:sz w:val="20"/>
          <w:szCs w:val="20"/>
        </w:rPr>
      </w:pPr>
    </w:p>
    <w:p w14:paraId="23D2BAA2" w14:textId="54078E88" w:rsidR="00F94CE8" w:rsidRDefault="001C5F02" w:rsidP="0033101A">
      <w:pPr>
        <w:pStyle w:val="NoSpacing"/>
        <w:contextualSpacing/>
        <w:mirrorIndents/>
        <w:rPr>
          <w:rFonts w:ascii="Verdana" w:hAnsi="Verdana"/>
          <w:sz w:val="20"/>
          <w:szCs w:val="20"/>
        </w:rPr>
      </w:pPr>
      <w:r>
        <w:rPr>
          <w:rFonts w:ascii="Verdana" w:hAnsi="Verdana"/>
          <w:sz w:val="20"/>
          <w:szCs w:val="20"/>
        </w:rPr>
        <w:t>Many franchised and used-vehicle dealers are being proactive to increase their supply of used vehicles by utilizing new technologies that allow dealers to buy directly from consumers without being limited to the auction system as well as digitizing the process.</w:t>
      </w:r>
    </w:p>
    <w:p w14:paraId="40F3E34E" w14:textId="6763F064" w:rsidR="001C5F02" w:rsidRDefault="001C5F02" w:rsidP="0033101A">
      <w:pPr>
        <w:pStyle w:val="NoSpacing"/>
        <w:contextualSpacing/>
        <w:mirrorIndents/>
        <w:rPr>
          <w:rFonts w:ascii="Verdana" w:hAnsi="Verdana"/>
          <w:sz w:val="20"/>
          <w:szCs w:val="20"/>
        </w:rPr>
      </w:pPr>
    </w:p>
    <w:p w14:paraId="000A09FE" w14:textId="004FB081" w:rsidR="001C5F02" w:rsidRPr="0033101A" w:rsidRDefault="001C5F02" w:rsidP="0033101A">
      <w:pPr>
        <w:pStyle w:val="NoSpacing"/>
        <w:contextualSpacing/>
        <w:mirrorIndents/>
        <w:rPr>
          <w:rFonts w:ascii="Verdana" w:hAnsi="Verdana"/>
          <w:sz w:val="20"/>
          <w:szCs w:val="20"/>
        </w:rPr>
      </w:pPr>
      <w:r>
        <w:rPr>
          <w:rFonts w:ascii="Verdana" w:hAnsi="Verdana"/>
          <w:sz w:val="20"/>
          <w:szCs w:val="20"/>
        </w:rPr>
        <w:t>During 2021, Mannheim started test</w:t>
      </w:r>
      <w:r w:rsidR="001A192A">
        <w:rPr>
          <w:rFonts w:ascii="Verdana" w:hAnsi="Verdana"/>
          <w:sz w:val="20"/>
          <w:szCs w:val="20"/>
        </w:rPr>
        <w:t>ing</w:t>
      </w:r>
      <w:r>
        <w:rPr>
          <w:rFonts w:ascii="Verdana" w:hAnsi="Verdana"/>
          <w:sz w:val="20"/>
          <w:szCs w:val="20"/>
        </w:rPr>
        <w:t xml:space="preserve"> </w:t>
      </w:r>
      <w:r w:rsidR="00194F1F">
        <w:rPr>
          <w:rFonts w:ascii="Verdana" w:hAnsi="Verdana"/>
          <w:sz w:val="20"/>
          <w:szCs w:val="20"/>
        </w:rPr>
        <w:t>the batteries on used electric</w:t>
      </w:r>
      <w:r w:rsidR="001A192A">
        <w:rPr>
          <w:rFonts w:ascii="Verdana" w:hAnsi="Verdana"/>
          <w:sz w:val="20"/>
          <w:szCs w:val="20"/>
        </w:rPr>
        <w:t xml:space="preserve"> </w:t>
      </w:r>
      <w:r w:rsidR="00194F1F">
        <w:rPr>
          <w:rFonts w:ascii="Verdana" w:hAnsi="Verdana"/>
          <w:sz w:val="20"/>
          <w:szCs w:val="20"/>
        </w:rPr>
        <w:t>vehicles, which consumers and auction companies are reluctant to buy. The tested batteries had a rating of 4.0 to 4.5 on a 5-point scale and retained 90% of their charge capacity after 100,000 miles.</w:t>
      </w:r>
    </w:p>
    <w:p w14:paraId="664EB1A4" w14:textId="0C2F0A9A" w:rsidR="00F94CE8" w:rsidRDefault="00F94CE8" w:rsidP="0033101A">
      <w:pPr>
        <w:pStyle w:val="NoSpacing"/>
        <w:contextualSpacing/>
        <w:mirrorIndents/>
        <w:rPr>
          <w:rFonts w:ascii="Verdana" w:hAnsi="Verdana"/>
          <w:sz w:val="20"/>
          <w:szCs w:val="20"/>
        </w:rPr>
      </w:pPr>
    </w:p>
    <w:p w14:paraId="03B65FD6" w14:textId="5E11E148" w:rsidR="00194F1F" w:rsidRPr="0033101A" w:rsidRDefault="00194F1F" w:rsidP="0033101A">
      <w:pPr>
        <w:pStyle w:val="NoSpacing"/>
        <w:contextualSpacing/>
        <w:mirrorIndents/>
        <w:rPr>
          <w:rFonts w:ascii="Verdana" w:hAnsi="Verdana"/>
          <w:sz w:val="20"/>
          <w:szCs w:val="20"/>
        </w:rPr>
      </w:pPr>
      <w:r>
        <w:rPr>
          <w:rFonts w:ascii="Verdana" w:hAnsi="Verdana"/>
          <w:sz w:val="20"/>
          <w:szCs w:val="20"/>
        </w:rPr>
        <w:t>With the EV revolution gaining momentum, an environmental element is starting to worry some people: significantly increasing the exportation of all the old vehicles with internal-combustion engines to developing countries.</w:t>
      </w:r>
    </w:p>
    <w:p w14:paraId="7401C3C8" w14:textId="77777777" w:rsidR="00F94CE8" w:rsidRPr="0033101A" w:rsidRDefault="00F94CE8" w:rsidP="0033101A">
      <w:pPr>
        <w:pStyle w:val="NoSpacing"/>
        <w:contextualSpacing/>
        <w:mirrorIndents/>
        <w:rPr>
          <w:rFonts w:ascii="Verdana" w:hAnsi="Verdana"/>
          <w:sz w:val="20"/>
          <w:szCs w:val="20"/>
        </w:rPr>
      </w:pPr>
    </w:p>
    <w:p w14:paraId="02C0BC62" w14:textId="77777777" w:rsidR="00F94CE8" w:rsidRPr="0033101A" w:rsidRDefault="00F94CE8" w:rsidP="0033101A">
      <w:pPr>
        <w:pStyle w:val="NoSpacing"/>
        <w:contextualSpacing/>
        <w:mirrorIndents/>
        <w:rPr>
          <w:rFonts w:ascii="Verdana" w:hAnsi="Verdana"/>
          <w:sz w:val="20"/>
          <w:szCs w:val="20"/>
        </w:rPr>
      </w:pPr>
    </w:p>
    <w:p w14:paraId="37079E4B" w14:textId="77777777" w:rsidR="00F94CE8" w:rsidRPr="0033101A" w:rsidRDefault="00F94CE8" w:rsidP="0033101A">
      <w:pPr>
        <w:pStyle w:val="NoSpacing"/>
        <w:contextualSpacing/>
        <w:mirrorIndents/>
        <w:rPr>
          <w:rFonts w:ascii="Verdana" w:hAnsi="Verdana"/>
          <w:sz w:val="20"/>
          <w:szCs w:val="20"/>
        </w:rPr>
      </w:pPr>
    </w:p>
    <w:p w14:paraId="3A5080E9" w14:textId="77777777" w:rsidR="00F94CE8" w:rsidRPr="0033101A" w:rsidRDefault="00F94CE8" w:rsidP="0033101A">
      <w:pPr>
        <w:pStyle w:val="NoSpacing"/>
        <w:contextualSpacing/>
        <w:mirrorIndents/>
        <w:rPr>
          <w:rFonts w:ascii="Verdana" w:hAnsi="Verdana"/>
          <w:sz w:val="20"/>
          <w:szCs w:val="20"/>
        </w:rPr>
      </w:pPr>
    </w:p>
    <w:p w14:paraId="3D6E3712" w14:textId="77777777" w:rsidR="00F94CE8" w:rsidRPr="0033101A" w:rsidRDefault="00F94CE8" w:rsidP="0033101A">
      <w:pPr>
        <w:pStyle w:val="NoSpacing"/>
        <w:contextualSpacing/>
        <w:mirrorIndents/>
        <w:rPr>
          <w:rFonts w:ascii="Verdana" w:hAnsi="Verdana"/>
          <w:sz w:val="20"/>
          <w:szCs w:val="20"/>
        </w:rPr>
      </w:pPr>
    </w:p>
    <w:p w14:paraId="484391DE" w14:textId="77777777" w:rsidR="00F94CE8" w:rsidRPr="0033101A" w:rsidRDefault="00F94CE8" w:rsidP="0033101A">
      <w:pPr>
        <w:pStyle w:val="NoSpacing"/>
        <w:contextualSpacing/>
        <w:mirrorIndents/>
        <w:rPr>
          <w:rFonts w:ascii="Verdana" w:hAnsi="Verdana"/>
          <w:sz w:val="20"/>
          <w:szCs w:val="20"/>
        </w:rPr>
      </w:pPr>
    </w:p>
    <w:p w14:paraId="633FD3CD" w14:textId="77777777" w:rsidR="00F94CE8" w:rsidRPr="0033101A" w:rsidRDefault="00F94CE8" w:rsidP="0033101A">
      <w:pPr>
        <w:pStyle w:val="NoSpacing"/>
        <w:contextualSpacing/>
        <w:mirrorIndents/>
        <w:rPr>
          <w:rFonts w:ascii="Verdana" w:hAnsi="Verdana"/>
          <w:sz w:val="20"/>
          <w:szCs w:val="20"/>
        </w:rPr>
      </w:pPr>
    </w:p>
    <w:p w14:paraId="22AD5DBB" w14:textId="77777777" w:rsidR="00F94CE8" w:rsidRPr="0033101A" w:rsidRDefault="00F94CE8" w:rsidP="0033101A">
      <w:pPr>
        <w:pStyle w:val="NoSpacing"/>
        <w:contextualSpacing/>
        <w:mirrorIndents/>
        <w:rPr>
          <w:rFonts w:ascii="Verdana" w:hAnsi="Verdana"/>
          <w:sz w:val="20"/>
          <w:szCs w:val="20"/>
        </w:rPr>
      </w:pPr>
    </w:p>
    <w:p w14:paraId="6FF184E1" w14:textId="77777777" w:rsidR="00F94CE8" w:rsidRPr="0033101A" w:rsidRDefault="00F94CE8" w:rsidP="0033101A">
      <w:pPr>
        <w:pStyle w:val="NoSpacing"/>
        <w:contextualSpacing/>
        <w:mirrorIndents/>
        <w:rPr>
          <w:rFonts w:ascii="Verdana" w:hAnsi="Verdana"/>
          <w:sz w:val="20"/>
          <w:szCs w:val="20"/>
        </w:rPr>
      </w:pPr>
    </w:p>
    <w:p w14:paraId="1F83A38D" w14:textId="77777777" w:rsidR="00F94CE8" w:rsidRPr="0033101A" w:rsidRDefault="00F94CE8" w:rsidP="0033101A">
      <w:pPr>
        <w:pStyle w:val="NoSpacing"/>
        <w:contextualSpacing/>
        <w:mirrorIndents/>
        <w:rPr>
          <w:rFonts w:ascii="Verdana" w:hAnsi="Verdana"/>
          <w:sz w:val="20"/>
          <w:szCs w:val="20"/>
        </w:rPr>
      </w:pPr>
    </w:p>
    <w:p w14:paraId="18261CC9" w14:textId="77777777" w:rsidR="00F94CE8" w:rsidRPr="0033101A" w:rsidRDefault="00F94CE8" w:rsidP="0033101A">
      <w:pPr>
        <w:pStyle w:val="NoSpacing"/>
        <w:contextualSpacing/>
        <w:mirrorIndents/>
        <w:rPr>
          <w:rFonts w:ascii="Verdana" w:hAnsi="Verdana"/>
          <w:sz w:val="20"/>
          <w:szCs w:val="20"/>
        </w:rPr>
      </w:pPr>
    </w:p>
    <w:p w14:paraId="092B0637" w14:textId="77777777" w:rsidR="00F94CE8" w:rsidRPr="0033101A" w:rsidRDefault="00F94CE8" w:rsidP="0033101A">
      <w:pPr>
        <w:pStyle w:val="NoSpacing"/>
        <w:contextualSpacing/>
        <w:mirrorIndents/>
        <w:rPr>
          <w:rFonts w:ascii="Verdana" w:hAnsi="Verdana"/>
          <w:sz w:val="20"/>
          <w:szCs w:val="20"/>
        </w:rPr>
      </w:pPr>
    </w:p>
    <w:p w14:paraId="529A327D" w14:textId="77777777" w:rsidR="00F94CE8" w:rsidRPr="0033101A" w:rsidRDefault="00F94CE8" w:rsidP="0033101A">
      <w:pPr>
        <w:pStyle w:val="NoSpacing"/>
        <w:contextualSpacing/>
        <w:mirrorIndents/>
        <w:rPr>
          <w:rFonts w:ascii="Verdana" w:hAnsi="Verdana"/>
          <w:sz w:val="20"/>
          <w:szCs w:val="20"/>
        </w:rPr>
      </w:pPr>
    </w:p>
    <w:p w14:paraId="367B0A9A" w14:textId="77777777" w:rsidR="00481D35" w:rsidRDefault="00481D35" w:rsidP="00481D35">
      <w:pPr>
        <w:pStyle w:val="NoSpacing"/>
        <w:contextualSpacing/>
        <w:rPr>
          <w:rFonts w:ascii="Verdana" w:hAnsi="Verdana"/>
          <w:sz w:val="20"/>
          <w:szCs w:val="20"/>
        </w:rPr>
      </w:pPr>
    </w:p>
    <w:p w14:paraId="05B35E5D" w14:textId="3CCD9933" w:rsidR="00F94CE8" w:rsidRPr="00B75062" w:rsidRDefault="00FB418C" w:rsidP="00481D35">
      <w:pPr>
        <w:pStyle w:val="NoSpacing"/>
        <w:contextualSpacing/>
        <w:jc w:val="center"/>
        <w:rPr>
          <w:b/>
          <w:color w:val="0070C0"/>
          <w:sz w:val="20"/>
          <w:szCs w:val="20"/>
        </w:rPr>
      </w:pPr>
      <w:r>
        <w:rPr>
          <w:b/>
          <w:color w:val="0070C0"/>
          <w:sz w:val="20"/>
          <w:szCs w:val="20"/>
        </w:rPr>
        <w:lastRenderedPageBreak/>
        <w:t>More Valuable Insights</w:t>
      </w:r>
    </w:p>
    <w:p w14:paraId="4D37D21A" w14:textId="77777777" w:rsidR="00F94CE8" w:rsidRPr="00C66D00" w:rsidRDefault="00F94CE8" w:rsidP="00F94CE8">
      <w:pPr>
        <w:pStyle w:val="NoSpacing"/>
        <w:contextualSpacing/>
        <w:rPr>
          <w:sz w:val="20"/>
          <w:szCs w:val="20"/>
        </w:rPr>
      </w:pPr>
    </w:p>
    <w:p w14:paraId="6D09B3D9" w14:textId="77777777" w:rsidR="006A4972" w:rsidRDefault="00424789" w:rsidP="00F94CE8">
      <w:pPr>
        <w:pStyle w:val="NoSpacing"/>
        <w:contextualSpacing/>
        <w:rPr>
          <w:sz w:val="20"/>
          <w:szCs w:val="20"/>
        </w:rPr>
      </w:pPr>
      <w:r w:rsidRPr="00424789">
        <w:rPr>
          <w:i/>
          <w:iCs/>
          <w:sz w:val="20"/>
          <w:szCs w:val="20"/>
        </w:rPr>
        <w:t>Automotive News</w:t>
      </w:r>
      <w:r>
        <w:rPr>
          <w:sz w:val="20"/>
          <w:szCs w:val="20"/>
        </w:rPr>
        <w:t xml:space="preserve"> recently published its annual list of the top 100 used-vehicle dealers/retailers. The used vehicle versus new vehicle ratio is an important metric for the industry. The ratio increased again for 2021 to 1.52, compared to 0.97 during 2017. </w:t>
      </w:r>
    </w:p>
    <w:p w14:paraId="0DD535B5" w14:textId="77777777" w:rsidR="006A4972" w:rsidRDefault="006A4972" w:rsidP="00F94CE8">
      <w:pPr>
        <w:pStyle w:val="NoSpacing"/>
        <w:contextualSpacing/>
        <w:rPr>
          <w:sz w:val="20"/>
          <w:szCs w:val="20"/>
        </w:rPr>
      </w:pPr>
    </w:p>
    <w:p w14:paraId="718411C0" w14:textId="19590EF8" w:rsidR="00F94CE8" w:rsidRDefault="00424789" w:rsidP="00F94CE8">
      <w:pPr>
        <w:pStyle w:val="NoSpacing"/>
        <w:contextualSpacing/>
        <w:rPr>
          <w:sz w:val="20"/>
          <w:szCs w:val="20"/>
        </w:rPr>
      </w:pPr>
      <w:r>
        <w:rPr>
          <w:sz w:val="20"/>
          <w:szCs w:val="20"/>
        </w:rPr>
        <w:t>The various large used-car retailers that are at the top of the list or within the top 10 overly influence the ratio</w:t>
      </w:r>
      <w:r w:rsidR="006A4972">
        <w:rPr>
          <w:sz w:val="20"/>
          <w:szCs w:val="20"/>
        </w:rPr>
        <w:t>. L</w:t>
      </w:r>
      <w:r>
        <w:rPr>
          <w:sz w:val="20"/>
          <w:szCs w:val="20"/>
        </w:rPr>
        <w:t>ast year</w:t>
      </w:r>
      <w:r w:rsidR="006A4972">
        <w:rPr>
          <w:sz w:val="20"/>
          <w:szCs w:val="20"/>
        </w:rPr>
        <w:t>, however,</w:t>
      </w:r>
      <w:r>
        <w:rPr>
          <w:sz w:val="20"/>
          <w:szCs w:val="20"/>
        </w:rPr>
        <w:t xml:space="preserve"> is when many consumers had to choose a used vehicle instead of a new one because new-vehicle inventory was starting its steep decline.</w:t>
      </w:r>
      <w:r w:rsidR="006A4972">
        <w:rPr>
          <w:sz w:val="20"/>
          <w:szCs w:val="20"/>
        </w:rPr>
        <w:t xml:space="preserve"> This trend was also a likely unusual factor increasing the ratio.</w:t>
      </w:r>
    </w:p>
    <w:p w14:paraId="4F8EBD81" w14:textId="3208D2FC" w:rsidR="006A4972" w:rsidRDefault="006A4972" w:rsidP="00F94CE8">
      <w:pPr>
        <w:pStyle w:val="NoSpacing"/>
        <w:contextualSpacing/>
        <w:rPr>
          <w:sz w:val="20"/>
          <w:szCs w:val="20"/>
        </w:rPr>
      </w:pPr>
    </w:p>
    <w:p w14:paraId="1792CE36" w14:textId="7D7337B1" w:rsidR="006A4972" w:rsidRDefault="006A4972" w:rsidP="00F94CE8">
      <w:pPr>
        <w:pStyle w:val="NoSpacing"/>
        <w:contextualSpacing/>
        <w:rPr>
          <w:sz w:val="20"/>
          <w:szCs w:val="20"/>
        </w:rPr>
      </w:pPr>
      <w:r>
        <w:rPr>
          <w:sz w:val="20"/>
          <w:szCs w:val="20"/>
        </w:rPr>
        <w:t>NADA analysis indicates the ratio may decline as new-vehicle inventories regain a “normal” pattern, but the ratio isn’t likely to decrease much.</w:t>
      </w:r>
    </w:p>
    <w:p w14:paraId="72A9D893" w14:textId="77777777" w:rsidR="00F94CE8" w:rsidRDefault="00F94CE8" w:rsidP="00F94CE8">
      <w:pPr>
        <w:pStyle w:val="NoSpacing"/>
        <w:contextualSpacing/>
        <w:rPr>
          <w:sz w:val="20"/>
          <w:szCs w:val="20"/>
        </w:rPr>
      </w:pPr>
    </w:p>
    <w:p w14:paraId="026C0613" w14:textId="469720A7" w:rsidR="00CD3FC6" w:rsidRPr="00A65A1A" w:rsidRDefault="006A4972" w:rsidP="00CD3FC6">
      <w:pPr>
        <w:pStyle w:val="Header"/>
        <w:contextualSpacing/>
        <w:jc w:val="center"/>
        <w:rPr>
          <w:rFonts w:ascii="Verdana" w:hAnsi="Verdana"/>
          <w:b/>
          <w:sz w:val="20"/>
          <w:szCs w:val="20"/>
        </w:rPr>
      </w:pPr>
      <w:r>
        <w:rPr>
          <w:rFonts w:ascii="Verdana" w:hAnsi="Verdana"/>
          <w:b/>
          <w:sz w:val="20"/>
          <w:szCs w:val="20"/>
        </w:rPr>
        <w:t>Top 10 Used-</w:t>
      </w:r>
      <w:r w:rsidR="00CD3FC6">
        <w:rPr>
          <w:rFonts w:ascii="Verdana" w:hAnsi="Verdana"/>
          <w:b/>
          <w:sz w:val="20"/>
          <w:szCs w:val="20"/>
        </w:rPr>
        <w:t xml:space="preserve">Vehicle </w:t>
      </w:r>
      <w:r>
        <w:rPr>
          <w:rFonts w:ascii="Verdana" w:hAnsi="Verdana"/>
          <w:b/>
          <w:sz w:val="20"/>
          <w:szCs w:val="20"/>
        </w:rPr>
        <w:t>Dealers/Retailers</w:t>
      </w:r>
      <w:r w:rsidR="00CD3FC6">
        <w:rPr>
          <w:rFonts w:ascii="Verdana" w:hAnsi="Verdana"/>
          <w:b/>
          <w:sz w:val="20"/>
          <w:szCs w:val="20"/>
        </w:rPr>
        <w:t>,</w:t>
      </w:r>
      <w:r>
        <w:rPr>
          <w:rFonts w:ascii="Verdana" w:hAnsi="Verdana"/>
          <w:b/>
          <w:sz w:val="20"/>
          <w:szCs w:val="20"/>
        </w:rPr>
        <w:t xml:space="preserve"> 2021</w:t>
      </w:r>
      <w:r>
        <w:rPr>
          <w:rFonts w:ascii="Verdana" w:hAnsi="Verdana"/>
          <w:b/>
          <w:sz w:val="20"/>
          <w:szCs w:val="20"/>
        </w:rPr>
        <w:t>–</w:t>
      </w:r>
      <w:r w:rsidRPr="00A65A1A">
        <w:rPr>
          <w:rFonts w:ascii="Verdana" w:hAnsi="Verdana"/>
          <w:b/>
          <w:sz w:val="20"/>
          <w:szCs w:val="20"/>
        </w:rPr>
        <w:t>202</w:t>
      </w:r>
      <w:r>
        <w:rPr>
          <w:rFonts w:ascii="Verdana" w:hAnsi="Verdana"/>
          <w:b/>
          <w:sz w:val="20"/>
          <w:szCs w:val="20"/>
        </w:rPr>
        <w:t>2</w:t>
      </w:r>
      <w:r>
        <w:rPr>
          <w:rFonts w:ascii="Verdana" w:hAnsi="Verdana"/>
          <w:b/>
          <w:sz w:val="20"/>
          <w:szCs w:val="20"/>
        </w:rPr>
        <w:t>*</w:t>
      </w:r>
    </w:p>
    <w:tbl>
      <w:tblPr>
        <w:tblW w:w="5223" w:type="dxa"/>
        <w:jc w:val="center"/>
        <w:tblBorders>
          <w:left w:val="single" w:sz="8" w:space="0" w:color="000000"/>
          <w:right w:val="single" w:sz="8" w:space="0" w:color="000000"/>
        </w:tblBorders>
        <w:tblLayout w:type="fixed"/>
        <w:tblLook w:val="0000" w:firstRow="0" w:lastRow="0" w:firstColumn="0" w:lastColumn="0" w:noHBand="0" w:noVBand="0"/>
      </w:tblPr>
      <w:tblGrid>
        <w:gridCol w:w="3855"/>
        <w:gridCol w:w="1368"/>
      </w:tblGrid>
      <w:tr w:rsidR="00CD3FC6" w:rsidRPr="00A65A1A" w14:paraId="455976F3" w14:textId="77777777" w:rsidTr="006A4972">
        <w:trPr>
          <w:jc w:val="center"/>
        </w:trPr>
        <w:tc>
          <w:tcPr>
            <w:tcW w:w="3855" w:type="dxa"/>
            <w:tcBorders>
              <w:top w:val="single" w:sz="12" w:space="0" w:color="auto"/>
              <w:left w:val="single" w:sz="12" w:space="0" w:color="000000"/>
              <w:bottom w:val="single" w:sz="18" w:space="0" w:color="C0504D" w:themeColor="accent2"/>
              <w:right w:val="single" w:sz="18" w:space="0" w:color="0070C0"/>
            </w:tcBorders>
            <w:shd w:val="clear" w:color="auto" w:fill="auto"/>
            <w:vAlign w:val="center"/>
          </w:tcPr>
          <w:p w14:paraId="1DAE4778" w14:textId="0A1BEC6E" w:rsidR="00CD3FC6" w:rsidRPr="00A65A1A" w:rsidRDefault="006A4972" w:rsidP="00887D14">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sz w:val="20"/>
                <w:szCs w:val="20"/>
              </w:rPr>
            </w:pPr>
            <w:r>
              <w:rPr>
                <w:rFonts w:ascii="Verdana" w:eastAsia="Times New Roman" w:hAnsi="Verdana"/>
                <w:sz w:val="20"/>
                <w:szCs w:val="20"/>
              </w:rPr>
              <w:t>Dealer</w:t>
            </w:r>
          </w:p>
        </w:tc>
        <w:tc>
          <w:tcPr>
            <w:tcW w:w="1368" w:type="dxa"/>
            <w:tcBorders>
              <w:top w:val="single" w:sz="12" w:space="0" w:color="auto"/>
              <w:left w:val="single" w:sz="8" w:space="0" w:color="0070C0"/>
              <w:bottom w:val="single" w:sz="18" w:space="0" w:color="C0504D" w:themeColor="accent2"/>
              <w:right w:val="single" w:sz="12" w:space="0" w:color="000000"/>
            </w:tcBorders>
            <w:shd w:val="clear" w:color="auto" w:fill="auto"/>
            <w:vAlign w:val="center"/>
          </w:tcPr>
          <w:p w14:paraId="7593E231" w14:textId="03BF80B2" w:rsidR="00CD3FC6" w:rsidRPr="00A65A1A" w:rsidRDefault="006A4972"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center"/>
              <w:rPr>
                <w:rFonts w:ascii="Verdana" w:eastAsia="Times New Roman" w:hAnsi="Verdana"/>
                <w:sz w:val="20"/>
                <w:szCs w:val="20"/>
              </w:rPr>
            </w:pPr>
            <w:r>
              <w:rPr>
                <w:rFonts w:ascii="Verdana" w:eastAsia="Times New Roman" w:hAnsi="Verdana"/>
                <w:sz w:val="20"/>
                <w:szCs w:val="20"/>
              </w:rPr>
              <w:t>Total Units</w:t>
            </w:r>
          </w:p>
        </w:tc>
      </w:tr>
      <w:tr w:rsidR="00CD3FC6" w:rsidRPr="00A65A1A" w14:paraId="2F8F5320" w14:textId="77777777" w:rsidTr="002147C8">
        <w:trPr>
          <w:jc w:val="center"/>
        </w:trPr>
        <w:tc>
          <w:tcPr>
            <w:tcW w:w="3855"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14351994" w14:textId="71053448" w:rsidR="00CD3FC6" w:rsidRPr="00A65A1A" w:rsidRDefault="00CD3FC6" w:rsidP="00887D14">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#1: CarMax Inc</w:t>
            </w:r>
          </w:p>
        </w:tc>
        <w:tc>
          <w:tcPr>
            <w:tcW w:w="1368" w:type="dxa"/>
            <w:tcBorders>
              <w:top w:val="single" w:sz="18" w:space="0" w:color="C0504D" w:themeColor="accent2"/>
              <w:left w:val="single" w:sz="8" w:space="0" w:color="0070C0"/>
              <w:bottom w:val="single" w:sz="4" w:space="0" w:color="000000"/>
              <w:right w:val="single" w:sz="12" w:space="0" w:color="000000"/>
            </w:tcBorders>
            <w:shd w:val="clear" w:color="auto" w:fill="00B050"/>
            <w:vAlign w:val="center"/>
          </w:tcPr>
          <w:p w14:paraId="4C9C9F12" w14:textId="7A3209E1" w:rsidR="00CD3FC6" w:rsidRPr="00A65A1A" w:rsidRDefault="00CD3FC6"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924,338</w:t>
            </w:r>
          </w:p>
        </w:tc>
      </w:tr>
      <w:tr w:rsidR="00CD3FC6" w:rsidRPr="00A65A1A" w14:paraId="5C3ABF20" w14:textId="77777777" w:rsidTr="002147C8">
        <w:trPr>
          <w:jc w:val="center"/>
        </w:trPr>
        <w:tc>
          <w:tcPr>
            <w:tcW w:w="3855"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874C772" w14:textId="2DE35913" w:rsidR="00CD3FC6" w:rsidRPr="00A65A1A" w:rsidRDefault="00CD3FC6" w:rsidP="00887D14">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 xml:space="preserve">#2: </w:t>
            </w:r>
            <w:r w:rsidR="006A4972">
              <w:rPr>
                <w:rFonts w:ascii="Verdana" w:eastAsia="Times New Roman" w:hAnsi="Verdana"/>
                <w:sz w:val="20"/>
                <w:szCs w:val="20"/>
              </w:rPr>
              <w:t>Carvana</w:t>
            </w:r>
          </w:p>
        </w:tc>
        <w:tc>
          <w:tcPr>
            <w:tcW w:w="1368"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1D4E3457" w14:textId="2D74DA19" w:rsidR="00CD3FC6" w:rsidRPr="00A65A1A" w:rsidRDefault="006A4972"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425,237</w:t>
            </w:r>
          </w:p>
        </w:tc>
      </w:tr>
      <w:tr w:rsidR="00CD3FC6" w:rsidRPr="00A65A1A" w14:paraId="16E698E7" w14:textId="77777777" w:rsidTr="002147C8">
        <w:trPr>
          <w:jc w:val="center"/>
        </w:trPr>
        <w:tc>
          <w:tcPr>
            <w:tcW w:w="3855"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61F13A15" w14:textId="5D00217D" w:rsidR="00CD3FC6" w:rsidRPr="00A65A1A" w:rsidRDefault="006A4972" w:rsidP="00887D14">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#3: AutoNation Inc.</w:t>
            </w:r>
          </w:p>
        </w:tc>
        <w:tc>
          <w:tcPr>
            <w:tcW w:w="1368"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7E4E24CC" w14:textId="7C5A7773" w:rsidR="00CD3FC6" w:rsidRPr="00A65A1A" w:rsidRDefault="006A4972"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304,364</w:t>
            </w:r>
          </w:p>
        </w:tc>
      </w:tr>
      <w:tr w:rsidR="00CD3FC6" w:rsidRPr="00A65A1A" w14:paraId="2DE5E4D1" w14:textId="77777777" w:rsidTr="002147C8">
        <w:trPr>
          <w:jc w:val="center"/>
        </w:trPr>
        <w:tc>
          <w:tcPr>
            <w:tcW w:w="3855"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0030E6DF" w14:textId="74385EA2" w:rsidR="00CD3FC6" w:rsidRPr="00A65A1A" w:rsidRDefault="006A4972" w:rsidP="00887D14">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#4: Lithia Motors Inc.</w:t>
            </w:r>
          </w:p>
        </w:tc>
        <w:tc>
          <w:tcPr>
            <w:tcW w:w="1368"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6F15AEF5" w14:textId="69FD3374" w:rsidR="00CD3FC6" w:rsidRPr="00A65A1A" w:rsidRDefault="006A4972"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275,495</w:t>
            </w:r>
          </w:p>
        </w:tc>
      </w:tr>
      <w:tr w:rsidR="00CD3FC6" w:rsidRPr="00A65A1A" w14:paraId="36F693C4" w14:textId="77777777" w:rsidTr="002147C8">
        <w:trPr>
          <w:jc w:val="center"/>
        </w:trPr>
        <w:tc>
          <w:tcPr>
            <w:tcW w:w="3855"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0D5E03D4" w14:textId="6D02583C" w:rsidR="00CD3FC6" w:rsidRPr="00A65A1A" w:rsidRDefault="006A4972" w:rsidP="00887D14">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#5: Penske Automotive Group Inc.</w:t>
            </w:r>
          </w:p>
        </w:tc>
        <w:tc>
          <w:tcPr>
            <w:tcW w:w="1368"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6AC587C5" w14:textId="53C19613" w:rsidR="00CD3FC6" w:rsidRPr="00A65A1A" w:rsidRDefault="006A4972"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264,520</w:t>
            </w:r>
          </w:p>
        </w:tc>
      </w:tr>
      <w:tr w:rsidR="00CD3FC6" w:rsidRPr="00A65A1A" w14:paraId="1371F303" w14:textId="77777777" w:rsidTr="002147C8">
        <w:trPr>
          <w:jc w:val="center"/>
        </w:trPr>
        <w:tc>
          <w:tcPr>
            <w:tcW w:w="3855"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0AA9E974" w14:textId="7FCD80AF" w:rsidR="00CD3FC6" w:rsidRPr="00A65A1A" w:rsidRDefault="006A4972" w:rsidP="00887D14">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#6: Sonic Automotive Inc.</w:t>
            </w:r>
          </w:p>
        </w:tc>
        <w:tc>
          <w:tcPr>
            <w:tcW w:w="1368"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336DB97E" w14:textId="201D314B" w:rsidR="00CD3FC6" w:rsidRPr="00A65A1A" w:rsidRDefault="006A4972"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183,282</w:t>
            </w:r>
          </w:p>
        </w:tc>
      </w:tr>
      <w:tr w:rsidR="00CD3FC6" w:rsidRPr="00A65A1A" w14:paraId="7F095F5B" w14:textId="77777777" w:rsidTr="002147C8">
        <w:trPr>
          <w:jc w:val="center"/>
        </w:trPr>
        <w:tc>
          <w:tcPr>
            <w:tcW w:w="3855"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52529D27" w14:textId="1A145655" w:rsidR="00CD3FC6" w:rsidRPr="00A65A1A" w:rsidRDefault="006A4972" w:rsidP="00887D14">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#7: Group 1 Automotive Inc.</w:t>
            </w:r>
          </w:p>
        </w:tc>
        <w:tc>
          <w:tcPr>
            <w:tcW w:w="1368"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4663D5AE" w14:textId="19474E95" w:rsidR="00CD3FC6" w:rsidRPr="00A65A1A" w:rsidRDefault="006A4972"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161,857</w:t>
            </w:r>
          </w:p>
        </w:tc>
      </w:tr>
      <w:tr w:rsidR="00CD3FC6" w:rsidRPr="00A65A1A" w14:paraId="07634EEF" w14:textId="77777777" w:rsidTr="002147C8">
        <w:trPr>
          <w:jc w:val="center"/>
        </w:trPr>
        <w:tc>
          <w:tcPr>
            <w:tcW w:w="3855"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54C32071" w14:textId="63D72648" w:rsidR="00CD3FC6" w:rsidRPr="00A65A1A" w:rsidRDefault="006A4972" w:rsidP="00887D14">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#8: Asbury Automotive Group Inc.</w:t>
            </w:r>
          </w:p>
        </w:tc>
        <w:tc>
          <w:tcPr>
            <w:tcW w:w="1368" w:type="dxa"/>
            <w:tcBorders>
              <w:top w:val="single" w:sz="4" w:space="0" w:color="auto"/>
              <w:left w:val="single" w:sz="8" w:space="0" w:color="0070C0"/>
              <w:bottom w:val="single" w:sz="4" w:space="0" w:color="000000"/>
              <w:right w:val="single" w:sz="12" w:space="0" w:color="000000"/>
            </w:tcBorders>
            <w:shd w:val="clear" w:color="auto" w:fill="EAF1DD" w:themeFill="accent3" w:themeFillTint="33"/>
            <w:vAlign w:val="center"/>
          </w:tcPr>
          <w:p w14:paraId="0A129ED0" w14:textId="7A79029D" w:rsidR="00CD3FC6" w:rsidRPr="00A65A1A" w:rsidRDefault="006A4972"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105,206</w:t>
            </w:r>
          </w:p>
        </w:tc>
      </w:tr>
      <w:tr w:rsidR="00CD3FC6" w:rsidRPr="00A65A1A" w14:paraId="667CB6E9" w14:textId="77777777" w:rsidTr="002147C8">
        <w:trPr>
          <w:jc w:val="center"/>
        </w:trPr>
        <w:tc>
          <w:tcPr>
            <w:tcW w:w="3855" w:type="dxa"/>
            <w:tcBorders>
              <w:top w:val="single" w:sz="4" w:space="0" w:color="000000"/>
              <w:left w:val="single" w:sz="12" w:space="0" w:color="000000"/>
              <w:bottom w:val="single" w:sz="4" w:space="0" w:color="auto"/>
              <w:right w:val="single" w:sz="18" w:space="0" w:color="0070C0"/>
            </w:tcBorders>
            <w:shd w:val="clear" w:color="auto" w:fill="auto"/>
            <w:vAlign w:val="center"/>
          </w:tcPr>
          <w:p w14:paraId="07D7D13D" w14:textId="0E09877F" w:rsidR="00CD3FC6" w:rsidRPr="00A65A1A" w:rsidRDefault="006A4972" w:rsidP="00887D14">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#9: Hendrick Automotive Group</w:t>
            </w:r>
          </w:p>
        </w:tc>
        <w:tc>
          <w:tcPr>
            <w:tcW w:w="1368" w:type="dxa"/>
            <w:tcBorders>
              <w:top w:val="single" w:sz="4" w:space="0" w:color="000000"/>
              <w:left w:val="single" w:sz="8" w:space="0" w:color="0070C0"/>
              <w:bottom w:val="single" w:sz="4" w:space="0" w:color="auto"/>
              <w:right w:val="single" w:sz="12" w:space="0" w:color="000000"/>
            </w:tcBorders>
            <w:shd w:val="clear" w:color="auto" w:fill="EAF1DD" w:themeFill="accent3" w:themeFillTint="33"/>
            <w:vAlign w:val="center"/>
          </w:tcPr>
          <w:p w14:paraId="1A55BE92" w14:textId="06F553BE" w:rsidR="00CD3FC6" w:rsidRPr="008C1BE9" w:rsidRDefault="006A4972"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100,100</w:t>
            </w:r>
          </w:p>
        </w:tc>
      </w:tr>
      <w:tr w:rsidR="00CD3FC6" w:rsidRPr="00A65A1A" w14:paraId="794CFEBF" w14:textId="77777777" w:rsidTr="002147C8">
        <w:trPr>
          <w:jc w:val="center"/>
        </w:trPr>
        <w:tc>
          <w:tcPr>
            <w:tcW w:w="3855" w:type="dxa"/>
            <w:tcBorders>
              <w:top w:val="single" w:sz="4" w:space="0" w:color="auto"/>
              <w:left w:val="single" w:sz="12" w:space="0" w:color="000000"/>
              <w:bottom w:val="single" w:sz="12" w:space="0" w:color="000000"/>
              <w:right w:val="single" w:sz="18" w:space="0" w:color="0070C0"/>
            </w:tcBorders>
            <w:shd w:val="clear" w:color="auto" w:fill="auto"/>
            <w:vAlign w:val="center"/>
          </w:tcPr>
          <w:p w14:paraId="5981FA9C" w14:textId="3C654C72" w:rsidR="00CD3FC6" w:rsidRDefault="006A4972" w:rsidP="00887D14">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sz w:val="20"/>
                <w:szCs w:val="20"/>
              </w:rPr>
            </w:pPr>
            <w:r>
              <w:rPr>
                <w:rFonts w:ascii="Verdana" w:eastAsia="Times New Roman" w:hAnsi="Verdana"/>
                <w:sz w:val="20"/>
                <w:szCs w:val="20"/>
              </w:rPr>
              <w:t>#10: Vroom</w:t>
            </w:r>
          </w:p>
        </w:tc>
        <w:tc>
          <w:tcPr>
            <w:tcW w:w="1368" w:type="dxa"/>
            <w:tcBorders>
              <w:top w:val="single" w:sz="4" w:space="0" w:color="auto"/>
              <w:left w:val="single" w:sz="8" w:space="0" w:color="0070C0"/>
              <w:bottom w:val="single" w:sz="12" w:space="0" w:color="000000"/>
              <w:right w:val="single" w:sz="12" w:space="0" w:color="000000"/>
            </w:tcBorders>
            <w:shd w:val="clear" w:color="auto" w:fill="EAF1DD" w:themeFill="accent3" w:themeFillTint="33"/>
            <w:vAlign w:val="center"/>
          </w:tcPr>
          <w:p w14:paraId="30D86950" w14:textId="371C16C1" w:rsidR="00CD3FC6" w:rsidRPr="008C1BE9" w:rsidRDefault="002147C8" w:rsidP="00887D1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sz w:val="20"/>
                <w:szCs w:val="20"/>
              </w:rPr>
            </w:pPr>
            <w:r>
              <w:rPr>
                <w:rFonts w:ascii="Verdana" w:eastAsia="Times New Roman" w:hAnsi="Verdana"/>
                <w:sz w:val="20"/>
                <w:szCs w:val="20"/>
              </w:rPr>
              <w:t>80,910</w:t>
            </w:r>
          </w:p>
        </w:tc>
      </w:tr>
    </w:tbl>
    <w:p w14:paraId="78E679E8" w14:textId="6EBC064B" w:rsidR="00F94CE8" w:rsidRDefault="002147C8" w:rsidP="002147C8">
      <w:pPr>
        <w:pStyle w:val="NoSpacing"/>
        <w:tabs>
          <w:tab w:val="left" w:pos="2070"/>
        </w:tabs>
        <w:contextualSpacing/>
        <w:rPr>
          <w:sz w:val="20"/>
          <w:szCs w:val="20"/>
        </w:rPr>
      </w:pPr>
      <w:r>
        <w:rPr>
          <w:i/>
          <w:iCs/>
          <w:sz w:val="16"/>
          <w:szCs w:val="16"/>
        </w:rPr>
        <w:tab/>
      </w:r>
      <w:r w:rsidRPr="002147C8">
        <w:rPr>
          <w:i/>
          <w:iCs/>
          <w:sz w:val="16"/>
          <w:szCs w:val="16"/>
        </w:rPr>
        <w:t>Automotive News</w:t>
      </w:r>
      <w:r w:rsidR="00CD3FC6">
        <w:rPr>
          <w:sz w:val="16"/>
          <w:szCs w:val="16"/>
        </w:rPr>
        <w:t>,</w:t>
      </w:r>
      <w:r>
        <w:rPr>
          <w:sz w:val="16"/>
          <w:szCs w:val="16"/>
        </w:rPr>
        <w:t xml:space="preserve"> April</w:t>
      </w:r>
      <w:r w:rsidR="00CD3FC6">
        <w:rPr>
          <w:sz w:val="16"/>
          <w:szCs w:val="16"/>
        </w:rPr>
        <w:t xml:space="preserve"> 2022</w:t>
      </w:r>
      <w:r w:rsidR="00552A5E">
        <w:rPr>
          <w:sz w:val="16"/>
          <w:szCs w:val="16"/>
        </w:rPr>
        <w:tab/>
        <w:t>3/1/21</w:t>
      </w:r>
      <w:r w:rsidR="00552A5E">
        <w:rPr>
          <w:rFonts w:ascii="Verdana" w:hAnsi="Verdana"/>
          <w:sz w:val="16"/>
          <w:szCs w:val="16"/>
        </w:rPr>
        <w:t>–</w:t>
      </w:r>
      <w:r w:rsidR="00552A5E">
        <w:rPr>
          <w:sz w:val="16"/>
          <w:szCs w:val="16"/>
        </w:rPr>
        <w:t>2/28/22</w:t>
      </w:r>
    </w:p>
    <w:p w14:paraId="3CDFB8E2" w14:textId="77777777" w:rsidR="00F94CE8" w:rsidRDefault="00F94CE8" w:rsidP="00F94CE8">
      <w:pPr>
        <w:pStyle w:val="NoSpacing"/>
        <w:contextualSpacing/>
        <w:rPr>
          <w:sz w:val="20"/>
          <w:szCs w:val="20"/>
        </w:rPr>
      </w:pPr>
    </w:p>
    <w:p w14:paraId="6DC49CD3" w14:textId="77777777" w:rsidR="00F94CE8" w:rsidRDefault="00F94CE8" w:rsidP="00F94CE8">
      <w:pPr>
        <w:pStyle w:val="NoSpacing"/>
        <w:contextualSpacing/>
        <w:rPr>
          <w:sz w:val="20"/>
          <w:szCs w:val="20"/>
        </w:rPr>
      </w:pPr>
    </w:p>
    <w:p w14:paraId="2AC14BFB" w14:textId="77777777" w:rsidR="00F94CE8" w:rsidRDefault="00F94CE8" w:rsidP="00F94CE8">
      <w:pPr>
        <w:pStyle w:val="NoSpacing"/>
        <w:contextualSpacing/>
        <w:rPr>
          <w:sz w:val="20"/>
          <w:szCs w:val="20"/>
        </w:rPr>
      </w:pPr>
    </w:p>
    <w:p w14:paraId="548CA371" w14:textId="77777777" w:rsidR="00F94CE8" w:rsidRDefault="00F94CE8" w:rsidP="00F94CE8">
      <w:pPr>
        <w:pStyle w:val="NoSpacing"/>
        <w:contextualSpacing/>
        <w:rPr>
          <w:sz w:val="20"/>
          <w:szCs w:val="20"/>
        </w:rPr>
      </w:pPr>
    </w:p>
    <w:p w14:paraId="03F3FFB5" w14:textId="1EBFA3DA" w:rsidR="00E634B3" w:rsidRDefault="00E634B3" w:rsidP="00F94CE8">
      <w:pPr>
        <w:pStyle w:val="NoSpacing"/>
        <w:contextualSpacing/>
        <w:rPr>
          <w:sz w:val="20"/>
          <w:szCs w:val="20"/>
        </w:rPr>
      </w:pPr>
    </w:p>
    <w:p w14:paraId="692B4E0C" w14:textId="77777777" w:rsidR="002147C8" w:rsidRDefault="002147C8" w:rsidP="00F94CE8">
      <w:pPr>
        <w:pStyle w:val="NoSpacing"/>
        <w:contextualSpacing/>
        <w:rPr>
          <w:sz w:val="20"/>
          <w:szCs w:val="20"/>
        </w:rPr>
      </w:pPr>
    </w:p>
    <w:p w14:paraId="5E3483F2" w14:textId="1FB6B295" w:rsidR="00E634B3" w:rsidRDefault="00E634B3" w:rsidP="00F94CE8">
      <w:pPr>
        <w:pStyle w:val="NoSpacing"/>
        <w:contextualSpacing/>
        <w:rPr>
          <w:sz w:val="20"/>
          <w:szCs w:val="20"/>
        </w:rPr>
      </w:pPr>
    </w:p>
    <w:p w14:paraId="5B24170E" w14:textId="1295599E" w:rsidR="00523F7A" w:rsidRDefault="00523F7A" w:rsidP="00F94CE8">
      <w:pPr>
        <w:pStyle w:val="NoSpacing"/>
        <w:contextualSpacing/>
        <w:rPr>
          <w:sz w:val="20"/>
          <w:szCs w:val="20"/>
        </w:rPr>
      </w:pPr>
    </w:p>
    <w:p w14:paraId="069BBA99" w14:textId="1F523BE7" w:rsidR="00523F7A" w:rsidRDefault="00523F7A" w:rsidP="00F94CE8">
      <w:pPr>
        <w:pStyle w:val="NoSpacing"/>
        <w:contextualSpacing/>
        <w:rPr>
          <w:sz w:val="20"/>
          <w:szCs w:val="20"/>
        </w:rPr>
      </w:pPr>
    </w:p>
    <w:p w14:paraId="30D0C8DD" w14:textId="54B685C0" w:rsidR="00523F7A" w:rsidRDefault="00523F7A" w:rsidP="00F94CE8">
      <w:pPr>
        <w:pStyle w:val="NoSpacing"/>
        <w:contextualSpacing/>
        <w:rPr>
          <w:sz w:val="20"/>
          <w:szCs w:val="20"/>
        </w:rPr>
      </w:pPr>
    </w:p>
    <w:p w14:paraId="7935EAD1" w14:textId="247E4C7D" w:rsidR="00523F7A" w:rsidRDefault="00523F7A" w:rsidP="00F94CE8">
      <w:pPr>
        <w:pStyle w:val="NoSpacing"/>
        <w:contextualSpacing/>
        <w:rPr>
          <w:sz w:val="20"/>
          <w:szCs w:val="20"/>
        </w:rPr>
      </w:pPr>
    </w:p>
    <w:p w14:paraId="1C4914EE" w14:textId="3AB4A6CF" w:rsidR="00523F7A" w:rsidRDefault="00523F7A" w:rsidP="00F94CE8">
      <w:pPr>
        <w:pStyle w:val="NoSpacing"/>
        <w:contextualSpacing/>
        <w:rPr>
          <w:sz w:val="20"/>
          <w:szCs w:val="20"/>
        </w:rPr>
      </w:pPr>
    </w:p>
    <w:p w14:paraId="3F701D74" w14:textId="77777777" w:rsidR="00523F7A" w:rsidRDefault="00523F7A" w:rsidP="00F94CE8">
      <w:pPr>
        <w:pStyle w:val="NoSpacing"/>
        <w:contextualSpacing/>
        <w:rPr>
          <w:sz w:val="20"/>
          <w:szCs w:val="20"/>
        </w:rPr>
      </w:pPr>
    </w:p>
    <w:p w14:paraId="72BAAFC7" w14:textId="52E5F0B3" w:rsidR="00F94CE8" w:rsidRPr="00E634B3" w:rsidRDefault="00F94CE8" w:rsidP="00F94CE8">
      <w:pPr>
        <w:spacing w:after="0" w:line="240" w:lineRule="auto"/>
        <w:rPr>
          <w:rFonts w:ascii="Verdana" w:hAnsi="Verdana"/>
          <w:sz w:val="16"/>
          <w:szCs w:val="16"/>
        </w:rPr>
      </w:pPr>
      <w:r w:rsidRPr="00E634B3">
        <w:rPr>
          <w:rFonts w:ascii="Verdana" w:hAnsi="Verdana"/>
          <w:i/>
          <w:sz w:val="16"/>
          <w:szCs w:val="16"/>
        </w:rPr>
        <w:t>Sources:</w:t>
      </w:r>
      <w:r w:rsidRPr="00E634B3">
        <w:rPr>
          <w:rFonts w:ascii="Verdana" w:hAnsi="Verdana"/>
          <w:sz w:val="16"/>
          <w:szCs w:val="16"/>
        </w:rPr>
        <w:t xml:space="preserve"> </w:t>
      </w:r>
      <w:r w:rsidR="00481D35" w:rsidRPr="00E634B3">
        <w:rPr>
          <w:sz w:val="16"/>
          <w:szCs w:val="16"/>
        </w:rPr>
        <w:t xml:space="preserve">Cox Automotive </w:t>
      </w:r>
      <w:r w:rsidRPr="00E634B3">
        <w:rPr>
          <w:rFonts w:ascii="Verdana" w:hAnsi="Verdana"/>
          <w:sz w:val="16"/>
          <w:szCs w:val="16"/>
        </w:rPr>
        <w:t xml:space="preserve">Website, </w:t>
      </w:r>
      <w:r w:rsidR="009D070C" w:rsidRPr="00E634B3">
        <w:rPr>
          <w:rFonts w:ascii="Verdana" w:hAnsi="Verdana"/>
          <w:sz w:val="16"/>
          <w:szCs w:val="16"/>
        </w:rPr>
        <w:t>6</w:t>
      </w:r>
      <w:r w:rsidR="00306D88" w:rsidRPr="00E634B3">
        <w:rPr>
          <w:rFonts w:ascii="Verdana" w:hAnsi="Verdana"/>
          <w:sz w:val="16"/>
          <w:szCs w:val="16"/>
        </w:rPr>
        <w:t>/</w:t>
      </w:r>
      <w:r w:rsidR="00AE6B2A" w:rsidRPr="00E634B3">
        <w:rPr>
          <w:rFonts w:ascii="Verdana" w:hAnsi="Verdana"/>
          <w:sz w:val="16"/>
          <w:szCs w:val="16"/>
        </w:rPr>
        <w:t>2</w:t>
      </w:r>
      <w:r w:rsidR="00C8473A" w:rsidRPr="00E634B3">
        <w:rPr>
          <w:rFonts w:ascii="Verdana" w:hAnsi="Verdana"/>
          <w:sz w:val="16"/>
          <w:szCs w:val="16"/>
        </w:rPr>
        <w:t>2</w:t>
      </w:r>
      <w:r w:rsidRPr="00E634B3">
        <w:rPr>
          <w:rFonts w:ascii="Verdana" w:hAnsi="Verdana"/>
          <w:sz w:val="16"/>
          <w:szCs w:val="16"/>
        </w:rPr>
        <w:t xml:space="preserve">; </w:t>
      </w:r>
      <w:r w:rsidR="00481D35" w:rsidRPr="00E634B3">
        <w:rPr>
          <w:sz w:val="16"/>
          <w:szCs w:val="16"/>
        </w:rPr>
        <w:t xml:space="preserve">US Census Bureau </w:t>
      </w:r>
      <w:r w:rsidRPr="00E634B3">
        <w:rPr>
          <w:rFonts w:ascii="Verdana" w:hAnsi="Verdana"/>
          <w:sz w:val="16"/>
          <w:szCs w:val="16"/>
        </w:rPr>
        <w:t xml:space="preserve">Website, </w:t>
      </w:r>
      <w:r w:rsidR="009D070C" w:rsidRPr="00E634B3">
        <w:rPr>
          <w:rFonts w:ascii="Verdana" w:hAnsi="Verdana"/>
          <w:sz w:val="16"/>
          <w:szCs w:val="16"/>
        </w:rPr>
        <w:t>6</w:t>
      </w:r>
      <w:r w:rsidR="004E421A" w:rsidRPr="00E634B3">
        <w:rPr>
          <w:rFonts w:ascii="Verdana" w:hAnsi="Verdana"/>
          <w:sz w:val="16"/>
          <w:szCs w:val="16"/>
        </w:rPr>
        <w:t>/</w:t>
      </w:r>
      <w:r w:rsidR="00AE6B2A" w:rsidRPr="00E634B3">
        <w:rPr>
          <w:rFonts w:ascii="Verdana" w:hAnsi="Verdana"/>
          <w:sz w:val="16"/>
          <w:szCs w:val="16"/>
        </w:rPr>
        <w:t>2</w:t>
      </w:r>
      <w:r w:rsidR="00C8473A" w:rsidRPr="00E634B3">
        <w:rPr>
          <w:rFonts w:ascii="Verdana" w:hAnsi="Verdana"/>
          <w:sz w:val="16"/>
          <w:szCs w:val="16"/>
        </w:rPr>
        <w:t>2</w:t>
      </w:r>
      <w:r w:rsidRPr="00E634B3">
        <w:rPr>
          <w:rFonts w:ascii="Verdana" w:hAnsi="Verdana"/>
          <w:sz w:val="16"/>
          <w:szCs w:val="16"/>
        </w:rPr>
        <w:t xml:space="preserve">; </w:t>
      </w:r>
      <w:r w:rsidR="00481D35" w:rsidRPr="00E634B3">
        <w:rPr>
          <w:sz w:val="16"/>
          <w:szCs w:val="16"/>
        </w:rPr>
        <w:t xml:space="preserve">U.S. News &amp; World Report </w:t>
      </w:r>
      <w:r w:rsidRPr="00E634B3">
        <w:rPr>
          <w:rFonts w:ascii="Verdana" w:hAnsi="Verdana"/>
          <w:sz w:val="16"/>
          <w:szCs w:val="16"/>
        </w:rPr>
        <w:t>Website</w:t>
      </w:r>
      <w:r w:rsidR="00A00453" w:rsidRPr="00E634B3">
        <w:rPr>
          <w:rFonts w:ascii="Verdana" w:hAnsi="Verdana"/>
          <w:sz w:val="16"/>
          <w:szCs w:val="16"/>
        </w:rPr>
        <w:t xml:space="preserve">, </w:t>
      </w:r>
      <w:r w:rsidR="009D070C" w:rsidRPr="00E634B3">
        <w:rPr>
          <w:rFonts w:ascii="Verdana" w:hAnsi="Verdana"/>
          <w:sz w:val="16"/>
          <w:szCs w:val="16"/>
        </w:rPr>
        <w:t>6</w:t>
      </w:r>
      <w:r w:rsidR="00306D88" w:rsidRPr="00E634B3">
        <w:rPr>
          <w:rFonts w:ascii="Verdana" w:hAnsi="Verdana"/>
          <w:sz w:val="16"/>
          <w:szCs w:val="16"/>
        </w:rPr>
        <w:t>/</w:t>
      </w:r>
      <w:r w:rsidR="00AE6B2A" w:rsidRPr="00E634B3">
        <w:rPr>
          <w:rFonts w:ascii="Verdana" w:hAnsi="Verdana"/>
          <w:sz w:val="16"/>
          <w:szCs w:val="16"/>
        </w:rPr>
        <w:t>2</w:t>
      </w:r>
      <w:r w:rsidR="00C8473A" w:rsidRPr="00E634B3">
        <w:rPr>
          <w:rFonts w:ascii="Verdana" w:hAnsi="Verdana"/>
          <w:sz w:val="16"/>
          <w:szCs w:val="16"/>
        </w:rPr>
        <w:t>2</w:t>
      </w:r>
      <w:r w:rsidR="00E634B3">
        <w:rPr>
          <w:rFonts w:ascii="Verdana" w:hAnsi="Verdana"/>
          <w:sz w:val="16"/>
          <w:szCs w:val="16"/>
        </w:rPr>
        <w:t>;</w:t>
      </w:r>
      <w:r w:rsidR="00481D35" w:rsidRPr="00E634B3">
        <w:rPr>
          <w:rFonts w:ascii="Verdana" w:hAnsi="Verdana"/>
          <w:sz w:val="16"/>
          <w:szCs w:val="16"/>
        </w:rPr>
        <w:t xml:space="preserve"> </w:t>
      </w:r>
      <w:r w:rsidR="00481D35" w:rsidRPr="00E634B3">
        <w:rPr>
          <w:sz w:val="16"/>
          <w:szCs w:val="16"/>
        </w:rPr>
        <w:t>CarGurus Website</w:t>
      </w:r>
      <w:r w:rsidR="00E634B3" w:rsidRPr="00E634B3">
        <w:rPr>
          <w:rFonts w:ascii="Verdana" w:hAnsi="Verdana"/>
          <w:sz w:val="16"/>
          <w:szCs w:val="16"/>
        </w:rPr>
        <w:t>, 6/22;</w:t>
      </w:r>
      <w:r w:rsidR="00E634B3" w:rsidRPr="00E634B3">
        <w:rPr>
          <w:sz w:val="16"/>
          <w:szCs w:val="16"/>
        </w:rPr>
        <w:t xml:space="preserve"> </w:t>
      </w:r>
      <w:r w:rsidR="00E634B3" w:rsidRPr="00E634B3">
        <w:rPr>
          <w:i/>
          <w:iCs/>
          <w:sz w:val="16"/>
          <w:szCs w:val="16"/>
        </w:rPr>
        <w:t>Automotive News</w:t>
      </w:r>
      <w:r w:rsidR="00E634B3" w:rsidRPr="00E634B3">
        <w:rPr>
          <w:sz w:val="16"/>
          <w:szCs w:val="16"/>
        </w:rPr>
        <w:t xml:space="preserve"> Website</w:t>
      </w:r>
      <w:r w:rsidR="00E634B3" w:rsidRPr="00E634B3">
        <w:rPr>
          <w:rFonts w:ascii="Verdana" w:hAnsi="Verdana"/>
          <w:sz w:val="16"/>
          <w:szCs w:val="16"/>
        </w:rPr>
        <w:t>, 6/22;</w:t>
      </w:r>
      <w:r w:rsidR="00E634B3" w:rsidRPr="00E634B3">
        <w:rPr>
          <w:sz w:val="16"/>
          <w:szCs w:val="16"/>
        </w:rPr>
        <w:t xml:space="preserve"> Wards Auto Website</w:t>
      </w:r>
      <w:r w:rsidR="00E634B3" w:rsidRPr="00E634B3">
        <w:rPr>
          <w:rFonts w:ascii="Verdana" w:hAnsi="Verdana"/>
          <w:sz w:val="16"/>
          <w:szCs w:val="16"/>
        </w:rPr>
        <w:t>, 6/22;</w:t>
      </w:r>
      <w:r w:rsidR="00E634B3" w:rsidRPr="00E634B3">
        <w:rPr>
          <w:sz w:val="16"/>
          <w:szCs w:val="16"/>
        </w:rPr>
        <w:t xml:space="preserve"> Protocol Website</w:t>
      </w:r>
      <w:r w:rsidR="00E634B3" w:rsidRPr="00E634B3">
        <w:rPr>
          <w:rFonts w:ascii="Verdana" w:hAnsi="Verdana"/>
          <w:sz w:val="16"/>
          <w:szCs w:val="16"/>
        </w:rPr>
        <w:t>, 6/22</w:t>
      </w:r>
      <w:r w:rsidR="00E634B3">
        <w:rPr>
          <w:rFonts w:ascii="Verdana" w:hAnsi="Verdana"/>
          <w:sz w:val="16"/>
          <w:szCs w:val="16"/>
        </w:rPr>
        <w:t>.</w:t>
      </w:r>
    </w:p>
    <w:p w14:paraId="7EF64BA4" w14:textId="77777777" w:rsidR="00F94CE8" w:rsidRPr="00690E6A" w:rsidRDefault="00F94CE8" w:rsidP="00F94CE8">
      <w:pPr>
        <w:spacing w:after="0" w:line="240" w:lineRule="auto"/>
        <w:rPr>
          <w:rFonts w:ascii="Verdana" w:hAnsi="Verdana"/>
          <w:sz w:val="16"/>
        </w:rPr>
      </w:pPr>
    </w:p>
    <w:p w14:paraId="49C0D793" w14:textId="09F4FB13" w:rsidR="00F94CE8" w:rsidRPr="00690E6A" w:rsidRDefault="00F94CE8" w:rsidP="00F94CE8">
      <w:pPr>
        <w:spacing w:after="0" w:line="240" w:lineRule="auto"/>
        <w:rPr>
          <w:rFonts w:ascii="Verdana" w:hAnsi="Verdana"/>
          <w:strike/>
          <w:sz w:val="16"/>
        </w:rPr>
      </w:pPr>
      <w:r w:rsidRPr="00690E6A">
        <w:rPr>
          <w:rFonts w:ascii="Verdana" w:hAnsi="Verdana"/>
          <w:i/>
          <w:sz w:val="16"/>
        </w:rPr>
        <w:t>Updated</w:t>
      </w:r>
      <w:r w:rsidR="003F0FE1">
        <w:rPr>
          <w:rFonts w:ascii="Verdana" w:hAnsi="Verdana"/>
          <w:sz w:val="16"/>
        </w:rPr>
        <w:t xml:space="preserve">: </w:t>
      </w:r>
      <w:r w:rsidR="009D070C">
        <w:rPr>
          <w:rFonts w:ascii="Verdana" w:hAnsi="Verdana"/>
          <w:sz w:val="16"/>
        </w:rPr>
        <w:t>June</w:t>
      </w:r>
      <w:r w:rsidR="00C8473A">
        <w:rPr>
          <w:rFonts w:ascii="Verdana" w:hAnsi="Verdana"/>
          <w:sz w:val="16"/>
        </w:rPr>
        <w:t xml:space="preserve"> 2022</w:t>
      </w:r>
    </w:p>
    <w:p w14:paraId="061B0C21" w14:textId="77777777" w:rsidR="00F94CE8" w:rsidRDefault="00F94CE8" w:rsidP="00F94CE8">
      <w:pPr>
        <w:pStyle w:val="NoSpacing"/>
        <w:contextualSpacing/>
        <w:rPr>
          <w:sz w:val="20"/>
          <w:szCs w:val="20"/>
        </w:rPr>
      </w:pPr>
    </w:p>
    <w:p w14:paraId="56AD0CC7" w14:textId="00868E95" w:rsidR="00F94CE8" w:rsidRPr="00FF1EBA" w:rsidRDefault="00F94CE8" w:rsidP="00F94CE8">
      <w:pPr>
        <w:pStyle w:val="NoSpacing"/>
        <w:contextualSpacing/>
        <w:rPr>
          <w:sz w:val="16"/>
          <w:szCs w:val="16"/>
        </w:rPr>
      </w:pPr>
      <w:r w:rsidRPr="00FF1EBA">
        <w:rPr>
          <w:rFonts w:ascii="Verdana" w:hAnsi="Verdana"/>
          <w:sz w:val="16"/>
          <w:szCs w:val="16"/>
        </w:rPr>
        <w:t>©</w:t>
      </w:r>
      <w:r w:rsidR="00306D88">
        <w:rPr>
          <w:sz w:val="16"/>
          <w:szCs w:val="16"/>
        </w:rPr>
        <w:t xml:space="preserve"> 20</w:t>
      </w:r>
      <w:r w:rsidR="00AE6B2A">
        <w:rPr>
          <w:sz w:val="16"/>
          <w:szCs w:val="16"/>
        </w:rPr>
        <w:t>2</w:t>
      </w:r>
      <w:r w:rsidR="00C8473A">
        <w:rPr>
          <w:sz w:val="16"/>
          <w:szCs w:val="16"/>
        </w:rPr>
        <w:t>2</w:t>
      </w:r>
      <w:r>
        <w:rPr>
          <w:sz w:val="16"/>
          <w:szCs w:val="16"/>
        </w:rPr>
        <w:t xml:space="preserve"> Media Group Online, Inc</w:t>
      </w:r>
      <w:r w:rsidRPr="00FF1EBA">
        <w:rPr>
          <w:sz w:val="16"/>
          <w:szCs w:val="16"/>
        </w:rPr>
        <w:t>. All rights reserved.</w:t>
      </w:r>
    </w:p>
    <w:p w14:paraId="47D01060" w14:textId="64A6C5D5" w:rsidR="00F94CE8" w:rsidRDefault="00F94CE8" w:rsidP="00260DE9">
      <w:pPr>
        <w:pStyle w:val="NoSpacing"/>
        <w:rPr>
          <w:sz w:val="20"/>
          <w:szCs w:val="20"/>
        </w:rPr>
      </w:pPr>
    </w:p>
    <w:p w14:paraId="6D0066ED" w14:textId="4379772D" w:rsidR="00AE1F72" w:rsidRDefault="00AE1F72" w:rsidP="00260DE9">
      <w:pPr>
        <w:pStyle w:val="NoSpacing"/>
        <w:rPr>
          <w:sz w:val="20"/>
          <w:szCs w:val="20"/>
        </w:rPr>
      </w:pPr>
    </w:p>
    <w:p w14:paraId="25DDD48A" w14:textId="4A2F67C8" w:rsidR="00AE1F72" w:rsidRDefault="00AE1F72">
      <w:pPr>
        <w:rPr>
          <w:sz w:val="20"/>
          <w:szCs w:val="20"/>
        </w:rPr>
      </w:pPr>
      <w:r>
        <w:rPr>
          <w:sz w:val="20"/>
          <w:szCs w:val="20"/>
        </w:rPr>
        <w:br w:type="page"/>
      </w:r>
    </w:p>
    <w:p w14:paraId="392FDD45" w14:textId="1FFC3855" w:rsidR="00AE1F72" w:rsidRPr="00720E0B" w:rsidRDefault="00AE1F72" w:rsidP="00AE1F72">
      <w:pPr>
        <w:pStyle w:val="NoSpacing"/>
        <w:jc w:val="center"/>
        <w:rPr>
          <w:b/>
          <w:color w:val="0070C0"/>
          <w:sz w:val="20"/>
          <w:szCs w:val="20"/>
        </w:rPr>
      </w:pPr>
      <w:r w:rsidRPr="00720E0B">
        <w:rPr>
          <w:b/>
          <w:color w:val="0070C0"/>
          <w:sz w:val="20"/>
          <w:szCs w:val="20"/>
        </w:rPr>
        <w:lastRenderedPageBreak/>
        <w:t xml:space="preserve">Local </w:t>
      </w:r>
      <w:r w:rsidR="0050254D">
        <w:rPr>
          <w:b/>
          <w:color w:val="0070C0"/>
          <w:sz w:val="20"/>
          <w:szCs w:val="20"/>
        </w:rPr>
        <w:t xml:space="preserve">Market </w:t>
      </w:r>
      <w:r w:rsidRPr="00720E0B">
        <w:rPr>
          <w:b/>
          <w:color w:val="0070C0"/>
          <w:sz w:val="20"/>
          <w:szCs w:val="20"/>
        </w:rPr>
        <w:t>and Station Information</w:t>
      </w:r>
    </w:p>
    <w:p w14:paraId="17AD3F99" w14:textId="77777777" w:rsidR="00AE1F72" w:rsidRPr="00260DE9" w:rsidRDefault="00AE1F72" w:rsidP="00260DE9">
      <w:pPr>
        <w:pStyle w:val="NoSpacing"/>
        <w:rPr>
          <w:sz w:val="20"/>
          <w:szCs w:val="20"/>
        </w:rPr>
      </w:pPr>
    </w:p>
    <w:sectPr w:rsidR="00AE1F72" w:rsidRPr="00260DE9" w:rsidSect="00260DE9">
      <w:headerReference w:type="default" r:id="rId8"/>
      <w:footerReference w:type="default" r:id="rId9"/>
      <w:pgSz w:w="12240" w:h="15840" w:code="1"/>
      <w:pgMar w:top="2160" w:right="1440" w:bottom="1440" w:left="1440" w:header="144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1A18F" w14:textId="77777777" w:rsidR="00803251" w:rsidRDefault="00803251" w:rsidP="00260DE9">
      <w:pPr>
        <w:spacing w:after="0" w:line="240" w:lineRule="auto"/>
      </w:pPr>
      <w:r>
        <w:separator/>
      </w:r>
    </w:p>
  </w:endnote>
  <w:endnote w:type="continuationSeparator" w:id="0">
    <w:p w14:paraId="09818702" w14:textId="77777777" w:rsidR="00803251" w:rsidRDefault="00803251" w:rsidP="0026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63B7" w14:textId="77777777" w:rsidR="003E2E9B" w:rsidRDefault="003E2E9B" w:rsidP="003E2E9B">
    <w:pPr>
      <w:pStyle w:val="Footer"/>
      <w:jc w:val="center"/>
      <w:rPr>
        <w:rFonts w:ascii="Arial" w:hAnsi="Arial" w:cs="Arial"/>
        <w:sz w:val="16"/>
        <w:szCs w:val="16"/>
      </w:rPr>
    </w:pPr>
    <w:r>
      <w:rPr>
        <w:rFonts w:ascii="Arial" w:hAnsi="Arial" w:cs="Arial"/>
        <w:noProof/>
        <w:sz w:val="16"/>
        <w:szCs w:val="16"/>
      </w:rPr>
      <w:drawing>
        <wp:inline distT="0" distB="0" distL="0" distR="0" wp14:anchorId="4724D9F8" wp14:editId="6BCACCF1">
          <wp:extent cx="300990" cy="300990"/>
          <wp:effectExtent l="19050" t="0" r="3810" b="0"/>
          <wp:docPr id="4" name="Picture 3" descr="MGOlogoBlac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OlogoBlackC.png"/>
                  <pic:cNvPicPr/>
                </pic:nvPicPr>
                <pic:blipFill>
                  <a:blip r:embed="rId1"/>
                  <a:stretch>
                    <a:fillRect/>
                  </a:stretch>
                </pic:blipFill>
                <pic:spPr>
                  <a:xfrm>
                    <a:off x="0" y="0"/>
                    <a:ext cx="300942" cy="300942"/>
                  </a:xfrm>
                  <a:prstGeom prst="rect">
                    <a:avLst/>
                  </a:prstGeom>
                </pic:spPr>
              </pic:pic>
            </a:graphicData>
          </a:graphic>
        </wp:inline>
      </w:drawing>
    </w:r>
  </w:p>
  <w:p w14:paraId="688D5080" w14:textId="77777777" w:rsidR="00260DE9" w:rsidRPr="0097480E" w:rsidRDefault="00EF6AB9" w:rsidP="00EF6AB9">
    <w:pPr>
      <w:pStyle w:val="Footer"/>
      <w:jc w:val="center"/>
      <w:rPr>
        <w:rFonts w:ascii="Arial" w:hAnsi="Arial" w:cs="Arial"/>
        <w:sz w:val="16"/>
        <w:szCs w:val="16"/>
      </w:rPr>
    </w:pPr>
    <w:r w:rsidRPr="0097480E">
      <w:rPr>
        <w:rFonts w:ascii="Arial" w:hAnsi="Arial" w:cs="Arial"/>
        <w:sz w:val="16"/>
        <w:szCs w:val="16"/>
        <w:shd w:val="clear" w:color="auto" w:fill="FFFFFF"/>
      </w:rPr>
      <w:t>Media Group Online, Inc.</w:t>
    </w:r>
    <w:r w:rsidRPr="0097480E">
      <w:rPr>
        <w:rFonts w:ascii="Arial" w:hAnsi="Arial" w:cs="Arial"/>
        <w:sz w:val="16"/>
        <w:szCs w:val="16"/>
      </w:rPr>
      <w:t xml:space="preserve">• </w:t>
    </w:r>
    <w:r w:rsidRPr="0097480E">
      <w:rPr>
        <w:rFonts w:ascii="Arial" w:hAnsi="Arial" w:cs="Arial"/>
        <w:sz w:val="16"/>
        <w:szCs w:val="16"/>
        <w:shd w:val="clear" w:color="auto" w:fill="FFFFFF"/>
      </w:rPr>
      <w:t>103 Sterling Mine Rd.</w:t>
    </w:r>
    <w:r w:rsidRPr="0097480E">
      <w:rPr>
        <w:rFonts w:ascii="Arial" w:hAnsi="Arial" w:cs="Arial"/>
        <w:sz w:val="16"/>
        <w:szCs w:val="16"/>
      </w:rPr>
      <w:t xml:space="preserve">• </w:t>
    </w:r>
    <w:r w:rsidRPr="0097480E">
      <w:rPr>
        <w:rFonts w:ascii="Arial" w:hAnsi="Arial" w:cs="Arial"/>
        <w:sz w:val="16"/>
        <w:szCs w:val="16"/>
        <w:shd w:val="clear" w:color="auto" w:fill="FFFFFF"/>
      </w:rPr>
      <w:t xml:space="preserve">Sloatsburg, NY </w:t>
    </w:r>
    <w:r w:rsidR="0097480E" w:rsidRPr="0097480E">
      <w:rPr>
        <w:rFonts w:ascii="Arial" w:hAnsi="Arial" w:cs="Arial"/>
        <w:sz w:val="16"/>
        <w:szCs w:val="16"/>
        <w:shd w:val="clear" w:color="auto" w:fill="FFFFFF"/>
      </w:rPr>
      <w:t>10974</w:t>
    </w:r>
    <w:r w:rsidRPr="0097480E">
      <w:rPr>
        <w:rFonts w:ascii="Arial" w:hAnsi="Arial" w:cs="Arial"/>
        <w:sz w:val="16"/>
        <w:szCs w:val="16"/>
        <w:shd w:val="clear" w:color="auto" w:fill="FFFFFF"/>
      </w:rPr>
      <w:t xml:space="preserve"> </w:t>
    </w:r>
    <w:r w:rsidRPr="0097480E">
      <w:rPr>
        <w:rFonts w:ascii="Arial" w:hAnsi="Arial" w:cs="Arial"/>
        <w:sz w:val="16"/>
        <w:szCs w:val="16"/>
      </w:rPr>
      <w:t>• Tel 866-921-1026 • Fax 845-712-5168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E0FB3" w14:textId="77777777" w:rsidR="00803251" w:rsidRDefault="00803251" w:rsidP="00260DE9">
      <w:pPr>
        <w:spacing w:after="0" w:line="240" w:lineRule="auto"/>
      </w:pPr>
      <w:r>
        <w:separator/>
      </w:r>
    </w:p>
  </w:footnote>
  <w:footnote w:type="continuationSeparator" w:id="0">
    <w:p w14:paraId="121EDDEC" w14:textId="77777777" w:rsidR="00803251" w:rsidRDefault="00803251" w:rsidP="0026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DC73" w14:textId="77777777" w:rsidR="00260DE9" w:rsidRDefault="00635FF3">
    <w:pPr>
      <w:pStyle w:val="Header"/>
    </w:pPr>
    <w:r>
      <w:rPr>
        <w:noProof/>
      </w:rPr>
      <w:drawing>
        <wp:anchor distT="0" distB="0" distL="114300" distR="114300" simplePos="0" relativeHeight="251658240" behindDoc="1" locked="0" layoutInCell="1" allowOverlap="1" wp14:anchorId="67BDB21C" wp14:editId="7366BB1A">
          <wp:simplePos x="0" y="0"/>
          <wp:positionH relativeFrom="column">
            <wp:posOffset>-638175</wp:posOffset>
          </wp:positionH>
          <wp:positionV relativeFrom="paragraph">
            <wp:posOffset>-771525</wp:posOffset>
          </wp:positionV>
          <wp:extent cx="5943600" cy="1192530"/>
          <wp:effectExtent l="0" t="0" r="0" b="0"/>
          <wp:wrapTight wrapText="bothSides">
            <wp:wrapPolygon edited="0">
              <wp:start x="1454" y="0"/>
              <wp:lineTo x="1038" y="690"/>
              <wp:lineTo x="69" y="4486"/>
              <wp:lineTo x="0" y="7936"/>
              <wp:lineTo x="0" y="13802"/>
              <wp:lineTo x="138" y="17252"/>
              <wp:lineTo x="1177" y="21393"/>
              <wp:lineTo x="1385" y="21393"/>
              <wp:lineTo x="2838" y="21393"/>
              <wp:lineTo x="8931" y="16907"/>
              <wp:lineTo x="21531" y="15872"/>
              <wp:lineTo x="21531" y="6901"/>
              <wp:lineTo x="19938" y="4831"/>
              <wp:lineTo x="2838" y="0"/>
              <wp:lineTo x="14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OProfilerHeaderSmal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925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30787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E9"/>
    <w:rsid w:val="00004575"/>
    <w:rsid w:val="000052A8"/>
    <w:rsid w:val="00006EB7"/>
    <w:rsid w:val="00011E22"/>
    <w:rsid w:val="00030B4A"/>
    <w:rsid w:val="000332BE"/>
    <w:rsid w:val="0003466E"/>
    <w:rsid w:val="00052024"/>
    <w:rsid w:val="0005633E"/>
    <w:rsid w:val="000577D6"/>
    <w:rsid w:val="0007198D"/>
    <w:rsid w:val="0008164E"/>
    <w:rsid w:val="000830D7"/>
    <w:rsid w:val="000C4B96"/>
    <w:rsid w:val="000C7821"/>
    <w:rsid w:val="000D2F3A"/>
    <w:rsid w:val="000D7C07"/>
    <w:rsid w:val="00112A85"/>
    <w:rsid w:val="00115907"/>
    <w:rsid w:val="001170C1"/>
    <w:rsid w:val="0012010F"/>
    <w:rsid w:val="00142DEE"/>
    <w:rsid w:val="001531C2"/>
    <w:rsid w:val="00154344"/>
    <w:rsid w:val="00160474"/>
    <w:rsid w:val="00161442"/>
    <w:rsid w:val="0016492E"/>
    <w:rsid w:val="00177D0F"/>
    <w:rsid w:val="00194802"/>
    <w:rsid w:val="00194F1F"/>
    <w:rsid w:val="001A05E7"/>
    <w:rsid w:val="001A192A"/>
    <w:rsid w:val="001B64B0"/>
    <w:rsid w:val="001C2831"/>
    <w:rsid w:val="001C5F02"/>
    <w:rsid w:val="001D53A3"/>
    <w:rsid w:val="001F5DFA"/>
    <w:rsid w:val="00204A2A"/>
    <w:rsid w:val="002147C8"/>
    <w:rsid w:val="002151DD"/>
    <w:rsid w:val="00260DE9"/>
    <w:rsid w:val="00294474"/>
    <w:rsid w:val="002A4A73"/>
    <w:rsid w:val="002A6286"/>
    <w:rsid w:val="002B0BCF"/>
    <w:rsid w:val="002B3E1A"/>
    <w:rsid w:val="002B428E"/>
    <w:rsid w:val="002D69CD"/>
    <w:rsid w:val="002E1F38"/>
    <w:rsid w:val="00306D88"/>
    <w:rsid w:val="00327C87"/>
    <w:rsid w:val="0033101A"/>
    <w:rsid w:val="00340B5D"/>
    <w:rsid w:val="003630CD"/>
    <w:rsid w:val="0038459A"/>
    <w:rsid w:val="00391422"/>
    <w:rsid w:val="00391A78"/>
    <w:rsid w:val="003B417B"/>
    <w:rsid w:val="003C15ED"/>
    <w:rsid w:val="003D6958"/>
    <w:rsid w:val="003E2E9B"/>
    <w:rsid w:val="003F0FE1"/>
    <w:rsid w:val="00400606"/>
    <w:rsid w:val="00412473"/>
    <w:rsid w:val="00421EC2"/>
    <w:rsid w:val="00422A36"/>
    <w:rsid w:val="00424789"/>
    <w:rsid w:val="00424E79"/>
    <w:rsid w:val="00432903"/>
    <w:rsid w:val="00441C53"/>
    <w:rsid w:val="004456EC"/>
    <w:rsid w:val="0045212B"/>
    <w:rsid w:val="0045797F"/>
    <w:rsid w:val="0046193A"/>
    <w:rsid w:val="00481D35"/>
    <w:rsid w:val="0048482F"/>
    <w:rsid w:val="00493426"/>
    <w:rsid w:val="00494CA5"/>
    <w:rsid w:val="004C3280"/>
    <w:rsid w:val="004D4671"/>
    <w:rsid w:val="004D4829"/>
    <w:rsid w:val="004E421A"/>
    <w:rsid w:val="004F7F58"/>
    <w:rsid w:val="0050254D"/>
    <w:rsid w:val="005065A2"/>
    <w:rsid w:val="00512455"/>
    <w:rsid w:val="00520014"/>
    <w:rsid w:val="00523F7A"/>
    <w:rsid w:val="00552A5E"/>
    <w:rsid w:val="005610BD"/>
    <w:rsid w:val="0056258A"/>
    <w:rsid w:val="005667B7"/>
    <w:rsid w:val="0057012D"/>
    <w:rsid w:val="00571D6A"/>
    <w:rsid w:val="00592462"/>
    <w:rsid w:val="00596832"/>
    <w:rsid w:val="005C3BA5"/>
    <w:rsid w:val="005F19E9"/>
    <w:rsid w:val="00600CFD"/>
    <w:rsid w:val="00601F2D"/>
    <w:rsid w:val="00635FF3"/>
    <w:rsid w:val="00637CB9"/>
    <w:rsid w:val="0064670B"/>
    <w:rsid w:val="00646E46"/>
    <w:rsid w:val="006557DC"/>
    <w:rsid w:val="00657B52"/>
    <w:rsid w:val="0067102D"/>
    <w:rsid w:val="0068770F"/>
    <w:rsid w:val="0069436D"/>
    <w:rsid w:val="006A4972"/>
    <w:rsid w:val="006B3A10"/>
    <w:rsid w:val="006D1053"/>
    <w:rsid w:val="006E11E5"/>
    <w:rsid w:val="006E6275"/>
    <w:rsid w:val="00707104"/>
    <w:rsid w:val="007139CE"/>
    <w:rsid w:val="007257B5"/>
    <w:rsid w:val="007651A4"/>
    <w:rsid w:val="007862CF"/>
    <w:rsid w:val="00793BD0"/>
    <w:rsid w:val="007B6E29"/>
    <w:rsid w:val="007D2370"/>
    <w:rsid w:val="007D3185"/>
    <w:rsid w:val="00803251"/>
    <w:rsid w:val="008058FD"/>
    <w:rsid w:val="0082749D"/>
    <w:rsid w:val="00847800"/>
    <w:rsid w:val="00857E38"/>
    <w:rsid w:val="00864059"/>
    <w:rsid w:val="00875007"/>
    <w:rsid w:val="0088350D"/>
    <w:rsid w:val="0088505B"/>
    <w:rsid w:val="0089324F"/>
    <w:rsid w:val="009229BB"/>
    <w:rsid w:val="00923C8D"/>
    <w:rsid w:val="009255F4"/>
    <w:rsid w:val="00931A86"/>
    <w:rsid w:val="009419F0"/>
    <w:rsid w:val="0097289D"/>
    <w:rsid w:val="0097480E"/>
    <w:rsid w:val="00984DF0"/>
    <w:rsid w:val="0099377F"/>
    <w:rsid w:val="009A3728"/>
    <w:rsid w:val="009A3EBE"/>
    <w:rsid w:val="009A4526"/>
    <w:rsid w:val="009A6479"/>
    <w:rsid w:val="009C6A17"/>
    <w:rsid w:val="009D070C"/>
    <w:rsid w:val="009F3C8C"/>
    <w:rsid w:val="00A00453"/>
    <w:rsid w:val="00A031C1"/>
    <w:rsid w:val="00A12BB9"/>
    <w:rsid w:val="00A30B01"/>
    <w:rsid w:val="00A55AAE"/>
    <w:rsid w:val="00A55AB4"/>
    <w:rsid w:val="00A61F9B"/>
    <w:rsid w:val="00A71026"/>
    <w:rsid w:val="00A820F9"/>
    <w:rsid w:val="00AB01D8"/>
    <w:rsid w:val="00AE087E"/>
    <w:rsid w:val="00AE1F72"/>
    <w:rsid w:val="00AE6B2A"/>
    <w:rsid w:val="00AE71B7"/>
    <w:rsid w:val="00B12A59"/>
    <w:rsid w:val="00B14875"/>
    <w:rsid w:val="00B33B46"/>
    <w:rsid w:val="00B36421"/>
    <w:rsid w:val="00B4203D"/>
    <w:rsid w:val="00B540DC"/>
    <w:rsid w:val="00B6421F"/>
    <w:rsid w:val="00BC0DB8"/>
    <w:rsid w:val="00BC2144"/>
    <w:rsid w:val="00BE4BEC"/>
    <w:rsid w:val="00BE6652"/>
    <w:rsid w:val="00BF70FF"/>
    <w:rsid w:val="00C11931"/>
    <w:rsid w:val="00C147E3"/>
    <w:rsid w:val="00C20878"/>
    <w:rsid w:val="00C21D13"/>
    <w:rsid w:val="00C412D4"/>
    <w:rsid w:val="00C54007"/>
    <w:rsid w:val="00C65128"/>
    <w:rsid w:val="00C77B54"/>
    <w:rsid w:val="00C8473A"/>
    <w:rsid w:val="00CA1AAC"/>
    <w:rsid w:val="00CD3FC6"/>
    <w:rsid w:val="00CE3B31"/>
    <w:rsid w:val="00CE7889"/>
    <w:rsid w:val="00D16971"/>
    <w:rsid w:val="00D17DB0"/>
    <w:rsid w:val="00D22E81"/>
    <w:rsid w:val="00D26223"/>
    <w:rsid w:val="00D37649"/>
    <w:rsid w:val="00D45614"/>
    <w:rsid w:val="00D8342E"/>
    <w:rsid w:val="00D93E11"/>
    <w:rsid w:val="00DA1474"/>
    <w:rsid w:val="00DC4F7C"/>
    <w:rsid w:val="00DD5A41"/>
    <w:rsid w:val="00DE0FDD"/>
    <w:rsid w:val="00E13B28"/>
    <w:rsid w:val="00E20F93"/>
    <w:rsid w:val="00E21202"/>
    <w:rsid w:val="00E31C88"/>
    <w:rsid w:val="00E35234"/>
    <w:rsid w:val="00E45F8D"/>
    <w:rsid w:val="00E634B3"/>
    <w:rsid w:val="00E64C4D"/>
    <w:rsid w:val="00E80C14"/>
    <w:rsid w:val="00E926A9"/>
    <w:rsid w:val="00ED42A4"/>
    <w:rsid w:val="00EE32D0"/>
    <w:rsid w:val="00EE6624"/>
    <w:rsid w:val="00EF6801"/>
    <w:rsid w:val="00EF6AB9"/>
    <w:rsid w:val="00F056FA"/>
    <w:rsid w:val="00F2704A"/>
    <w:rsid w:val="00F53AFD"/>
    <w:rsid w:val="00F66EA8"/>
    <w:rsid w:val="00F70E29"/>
    <w:rsid w:val="00F94CE8"/>
    <w:rsid w:val="00FA495C"/>
    <w:rsid w:val="00FB418C"/>
    <w:rsid w:val="00FB47D7"/>
    <w:rsid w:val="00FC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0252B"/>
  <w15:docId w15:val="{00033884-83A0-4105-8CD5-C8A13830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5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DE9"/>
  </w:style>
  <w:style w:type="paragraph" w:styleId="Footer">
    <w:name w:val="footer"/>
    <w:basedOn w:val="Normal"/>
    <w:link w:val="FooterChar"/>
    <w:uiPriority w:val="99"/>
    <w:unhideWhenUsed/>
    <w:rsid w:val="0026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E9"/>
  </w:style>
  <w:style w:type="paragraph" w:styleId="NoSpacing">
    <w:name w:val="No Spacing"/>
    <w:uiPriority w:val="1"/>
    <w:qFormat/>
    <w:rsid w:val="00260DE9"/>
    <w:pPr>
      <w:spacing w:after="0" w:line="240" w:lineRule="auto"/>
    </w:pPr>
  </w:style>
  <w:style w:type="paragraph" w:styleId="BalloonText">
    <w:name w:val="Balloon Text"/>
    <w:basedOn w:val="Normal"/>
    <w:link w:val="BalloonTextChar"/>
    <w:uiPriority w:val="99"/>
    <w:semiHidden/>
    <w:unhideWhenUsed/>
    <w:rsid w:val="003E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ABECD-D5BF-8A47-B41B-5E66C68C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1173</Words>
  <Characters>6728</Characters>
  <Application>Microsoft Office Word</Application>
  <DocSecurity>0</DocSecurity>
  <Lines>672</Lines>
  <Paragraphs>658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Whelan</dc:creator>
  <cp:lastModifiedBy>Bob Sillick</cp:lastModifiedBy>
  <cp:revision>2</cp:revision>
  <dcterms:created xsi:type="dcterms:W3CDTF">2022-06-20T16:42:00Z</dcterms:created>
  <dcterms:modified xsi:type="dcterms:W3CDTF">2022-06-20T16:42:00Z</dcterms:modified>
</cp:coreProperties>
</file>