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2FD9F833" w:rsidR="00F94CE8" w:rsidRPr="005F19E9" w:rsidRDefault="00180BF8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Automotive Service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Market 2022</w:t>
      </w:r>
    </w:p>
    <w:p w14:paraId="11DB62D2" w14:textId="77777777" w:rsidR="00F94CE8" w:rsidRPr="00235E14" w:rsidRDefault="00F94CE8" w:rsidP="00235E14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FA36AB" w14:textId="77777777" w:rsidR="00235E14" w:rsidRPr="00235E14" w:rsidRDefault="00235E14" w:rsidP="00235E14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35E14">
        <w:rPr>
          <w:rFonts w:ascii="Verdana" w:hAnsi="Verdana"/>
          <w:b/>
          <w:bCs/>
          <w:color w:val="0070C0"/>
          <w:sz w:val="20"/>
          <w:szCs w:val="20"/>
        </w:rPr>
        <w:t>Record Vehicle Prices Driving Service Work</w:t>
      </w:r>
    </w:p>
    <w:p w14:paraId="6B0FFB56" w14:textId="77777777" w:rsidR="00235E14" w:rsidRPr="00235E14" w:rsidRDefault="00235E14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17BF467" w14:textId="54032CCF" w:rsidR="00235E14" w:rsidRDefault="00235E14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new and used vehicles in very limited supply</w:t>
      </w:r>
      <w:r w:rsidR="004319C6">
        <w:rPr>
          <w:rFonts w:ascii="Verdana" w:hAnsi="Verdana"/>
          <w:sz w:val="20"/>
          <w:szCs w:val="20"/>
        </w:rPr>
        <w:t xml:space="preserve"> and at record-setting prices, it’s unsurprising the average age of vehicles on American roads continues to increase and causes owners to schedule service work to keep those vehicles operating.</w:t>
      </w:r>
    </w:p>
    <w:p w14:paraId="18DAD68C" w14:textId="1E656811" w:rsidR="004319C6" w:rsidRDefault="004319C6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3561849" w14:textId="1A7E1106" w:rsidR="004319C6" w:rsidRDefault="004319C6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2022 data from S&amp;P Global Mobility, the average age for all light vehicles </w:t>
      </w:r>
      <w:r w:rsidR="003F16E4">
        <w:rPr>
          <w:rFonts w:ascii="Verdana" w:hAnsi="Verdana"/>
          <w:sz w:val="20"/>
          <w:szCs w:val="20"/>
        </w:rPr>
        <w:t>wa</w:t>
      </w:r>
      <w:r>
        <w:rPr>
          <w:rFonts w:ascii="Verdana" w:hAnsi="Verdana"/>
          <w:sz w:val="20"/>
          <w:szCs w:val="20"/>
        </w:rPr>
        <w:t xml:space="preserve">s 12.2 years and almost two months older than 2021. </w:t>
      </w:r>
      <w:r w:rsidR="003F16E4">
        <w:rPr>
          <w:rFonts w:ascii="Verdana" w:hAnsi="Verdana"/>
          <w:sz w:val="20"/>
          <w:szCs w:val="20"/>
        </w:rPr>
        <w:t>Passenger c</w:t>
      </w:r>
      <w:r>
        <w:rPr>
          <w:rFonts w:ascii="Verdana" w:hAnsi="Verdana"/>
          <w:sz w:val="20"/>
          <w:szCs w:val="20"/>
        </w:rPr>
        <w:t>ars had the oldest average age at 13.1 years and light trucks at 11.6 years.</w:t>
      </w:r>
    </w:p>
    <w:p w14:paraId="53085382" w14:textId="77777777" w:rsidR="00235E14" w:rsidRDefault="00235E14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A2D5C75" w14:textId="34DE65F3" w:rsidR="00235E14" w:rsidRDefault="004319C6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from franchised dealerships using Cox Automotive’s Xtime service software, revealed its May 2022 Repair Order Volume Index decreased 1.6% YOY to 86.9; however, the </w:t>
      </w:r>
      <w:r w:rsidR="00A64385">
        <w:rPr>
          <w:rFonts w:ascii="Verdana" w:hAnsi="Verdana"/>
          <w:sz w:val="20"/>
          <w:szCs w:val="20"/>
        </w:rPr>
        <w:t>Repair Order Revenue Index increased to 126.8, indicating more revenue from fewer orders.</w:t>
      </w:r>
    </w:p>
    <w:p w14:paraId="1219F29C" w14:textId="77777777" w:rsidR="00235E14" w:rsidRDefault="00235E14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ED6DDFC" w14:textId="040ECB1E" w:rsidR="00194387" w:rsidRPr="00E75E32" w:rsidRDefault="00194387" w:rsidP="00194387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Average Franchised Dealer’</w:t>
      </w:r>
      <w:r w:rsidR="00D069C6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Service and Parts Operation Profile</w:t>
      </w:r>
      <w:r w:rsidR="00D069C6">
        <w:rPr>
          <w:rFonts w:ascii="Verdana" w:hAnsi="Verdana"/>
          <w:b/>
          <w:sz w:val="20"/>
          <w:szCs w:val="20"/>
        </w:rPr>
        <w:t>,</w:t>
      </w:r>
      <w:r w:rsidR="00D069C6" w:rsidRPr="00E75E32">
        <w:rPr>
          <w:rFonts w:ascii="Verdana" w:hAnsi="Verdana"/>
          <w:b/>
          <w:sz w:val="20"/>
          <w:szCs w:val="20"/>
        </w:rPr>
        <w:t xml:space="preserve"> </w:t>
      </w:r>
      <w:r w:rsidR="00D069C6">
        <w:rPr>
          <w:rFonts w:ascii="Verdana" w:hAnsi="Verdana"/>
          <w:b/>
          <w:sz w:val="20"/>
          <w:szCs w:val="20"/>
        </w:rPr>
        <w:t>2021</w:t>
      </w:r>
    </w:p>
    <w:tbl>
      <w:tblPr>
        <w:tblW w:w="11520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1267"/>
        <w:gridCol w:w="4395"/>
        <w:gridCol w:w="1260"/>
      </w:tblGrid>
      <w:tr w:rsidR="00D069C6" w:rsidRPr="00E75E32" w14:paraId="58176CAB" w14:textId="77777777" w:rsidTr="003F16E4">
        <w:trPr>
          <w:jc w:val="center"/>
        </w:trPr>
        <w:tc>
          <w:tcPr>
            <w:tcW w:w="459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7471E8A" w14:textId="7E8AF782" w:rsidR="00D069C6" w:rsidRPr="00E75E32" w:rsidRDefault="00194387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Metric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E6B6356" w14:textId="48BD57DA" w:rsidR="00D069C6" w:rsidRPr="00E75E32" w:rsidRDefault="00194387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Data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8CE8D7F" w14:textId="0918BAAF" w:rsidR="00D069C6" w:rsidRPr="00E75E32" w:rsidRDefault="00194387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Metric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4716FDE7" w14:textId="1F711216" w:rsidR="00D069C6" w:rsidRPr="00E75E32" w:rsidRDefault="00194387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Data</w:t>
            </w:r>
          </w:p>
        </w:tc>
      </w:tr>
      <w:tr w:rsidR="00D069C6" w:rsidRPr="00E75E32" w14:paraId="136E8EBC" w14:textId="77777777" w:rsidTr="00425317">
        <w:trPr>
          <w:jc w:val="center"/>
        </w:trPr>
        <w:tc>
          <w:tcPr>
            <w:tcW w:w="459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5B0CF97" w14:textId="47F3B9A3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service and parts sales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3B1883CF" w14:textId="4E1939B4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$7.53 M</w:t>
            </w:r>
          </w:p>
        </w:tc>
        <w:tc>
          <w:tcPr>
            <w:tcW w:w="439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6857FA1" w14:textId="765304D4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Parts sales/service labor sale</w:t>
            </w:r>
          </w:p>
        </w:tc>
        <w:tc>
          <w:tcPr>
            <w:tcW w:w="126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A7E1EC0" w14:textId="2F6694A8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$1.59</w:t>
            </w:r>
          </w:p>
        </w:tc>
      </w:tr>
      <w:tr w:rsidR="00D069C6" w:rsidRPr="00E75E32" w14:paraId="1BB46A53" w14:textId="77777777" w:rsidTr="00425317">
        <w:trPr>
          <w:jc w:val="center"/>
        </w:trPr>
        <w:tc>
          <w:tcPr>
            <w:tcW w:w="4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89A27F4" w14:textId="77E319F6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repair orders written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7CFBB745" w14:textId="4FD22A00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16,257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FB2C707" w14:textId="71CF57FB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Number of technicians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8A4636" w14:textId="535AF32F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</w:t>
            </w:r>
          </w:p>
        </w:tc>
      </w:tr>
      <w:tr w:rsidR="00D069C6" w:rsidRPr="00E75E32" w14:paraId="6E70F989" w14:textId="77777777" w:rsidTr="00425317">
        <w:trPr>
          <w:jc w:val="center"/>
        </w:trPr>
        <w:tc>
          <w:tcPr>
            <w:tcW w:w="4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35FAA6C" w14:textId="06686177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service and parts sales/customer repair order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3819DAE2" w14:textId="69645259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$394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2EEEE6F" w14:textId="773CB506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parts inventory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33E0C77" w14:textId="7A3D7690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$458,443</w:t>
            </w:r>
          </w:p>
        </w:tc>
      </w:tr>
      <w:tr w:rsidR="00D069C6" w:rsidRPr="00E75E32" w14:paraId="792DAE73" w14:textId="77777777" w:rsidTr="00425317">
        <w:trPr>
          <w:jc w:val="center"/>
        </w:trPr>
        <w:tc>
          <w:tcPr>
            <w:tcW w:w="4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F21E178" w14:textId="74FC7811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Total services and parts sales/warranty repair order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51D3BD97" w14:textId="56630CAD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31D3394" w14:textId="180EA514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Average customer mechanical labor rate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25099EB" w14:textId="0D0025B0" w:rsidR="00D069C6" w:rsidRPr="00E75E32" w:rsidRDefault="00194387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$139</w:t>
            </w:r>
          </w:p>
        </w:tc>
      </w:tr>
    </w:tbl>
    <w:p w14:paraId="23B73C43" w14:textId="487ADE3A" w:rsidR="00995DAA" w:rsidRDefault="00995DAA" w:rsidP="00995DAA">
      <w:pPr>
        <w:tabs>
          <w:tab w:val="left" w:pos="3240"/>
        </w:tabs>
        <w:spacing w:after="0" w:line="240" w:lineRule="auto"/>
        <w:ind w:hanging="108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National Automobile Dealers Association</w:t>
      </w:r>
      <w:r w:rsidRPr="00D0761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January 2022</w:t>
      </w:r>
      <w:r w:rsidR="00425317">
        <w:rPr>
          <w:rFonts w:ascii="Verdana" w:hAnsi="Verdana"/>
          <w:sz w:val="16"/>
          <w:szCs w:val="16"/>
        </w:rPr>
        <w:tab/>
        <w:t>(color represents an increase, decrease or unchanged from 2020</w:t>
      </w:r>
    </w:p>
    <w:p w14:paraId="3CFF871F" w14:textId="38AB6E67" w:rsidR="00235E14" w:rsidRDefault="00D069C6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E75E32">
        <w:rPr>
          <w:rFonts w:ascii="Verdana" w:hAnsi="Verdana"/>
          <w:sz w:val="16"/>
          <w:szCs w:val="16"/>
        </w:rPr>
        <w:tab/>
      </w:r>
    </w:p>
    <w:p w14:paraId="5F29FB71" w14:textId="087CF63F" w:rsidR="00235E14" w:rsidRPr="00995DAA" w:rsidRDefault="00235E14" w:rsidP="00995DAA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995DAA">
        <w:rPr>
          <w:rFonts w:ascii="Verdana" w:hAnsi="Verdana"/>
          <w:b/>
          <w:bCs/>
          <w:color w:val="0070C0"/>
          <w:sz w:val="20"/>
          <w:szCs w:val="20"/>
        </w:rPr>
        <w:t>On the Road Again</w:t>
      </w:r>
    </w:p>
    <w:p w14:paraId="689FF8C9" w14:textId="77777777" w:rsidR="00235E14" w:rsidRPr="00235E14" w:rsidRDefault="00235E14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380DAD2" w14:textId="5FA06A7B" w:rsidR="00995DAA" w:rsidRDefault="00513C4F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more Americans have returned to their “normal” activities, they are driving more. According to a March 2022 survey from Morning Consult, 31% of vehicle owners had taken a road trip of 300 or more miles during the past month.</w:t>
      </w:r>
    </w:p>
    <w:p w14:paraId="4629CF83" w14:textId="77777777" w:rsidR="00995DAA" w:rsidRDefault="00995DAA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F1A34E4" w14:textId="3D1678CC" w:rsidR="00995DAA" w:rsidRDefault="00513C4F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Interestingly, Gen Xers and Baby Boomers were the generations taking the most road trips of 300 or more miles at 39% and 43%, respectively</w:t>
      </w:r>
      <w:r w:rsidR="00425317">
        <w:rPr>
          <w:rFonts w:ascii="Verdana" w:hAnsi="Verdana"/>
          <w:sz w:val="20"/>
          <w:szCs w:val="20"/>
        </w:rPr>
        <w:t>, compared to 25% of Gen Zers and 25% of Millennials.</w:t>
      </w:r>
    </w:p>
    <w:p w14:paraId="2224F4E4" w14:textId="7ED38CF1" w:rsidR="00425317" w:rsidRDefault="00425317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4D2E9A5" w14:textId="3822F66B" w:rsidR="00425317" w:rsidRDefault="00425317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Millennials may not have taken more road trips of 300 miles or more, but 13% took three or more road trips during the past month, compared to 6% of Gen Zers, 4% of Gen Xers and 3% of Baby Boomers. </w:t>
      </w:r>
    </w:p>
    <w:p w14:paraId="0FA9C485" w14:textId="2D563E65" w:rsidR="00513C4F" w:rsidRDefault="00513C4F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E003D52" w14:textId="77777777" w:rsidR="00F750AB" w:rsidRDefault="00F750AB" w:rsidP="00F750AB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Total Vehicle Miles Traveled on US Highways </w:t>
      </w:r>
    </w:p>
    <w:p w14:paraId="2BA9DBD2" w14:textId="2E62D3CB" w:rsidR="00F750AB" w:rsidRPr="00F750AB" w:rsidRDefault="00F750AB" w:rsidP="00F750AB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and Roads,</w:t>
      </w:r>
      <w:r w:rsidRPr="00E75E3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September 2021–February 2022</w:t>
      </w:r>
    </w:p>
    <w:tbl>
      <w:tblPr>
        <w:tblW w:w="11460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267"/>
        <w:gridCol w:w="1267"/>
        <w:gridCol w:w="1267"/>
        <w:gridCol w:w="1930"/>
        <w:gridCol w:w="1267"/>
        <w:gridCol w:w="1267"/>
        <w:gridCol w:w="1267"/>
      </w:tblGrid>
      <w:tr w:rsidR="00F750AB" w:rsidRPr="00E75E32" w14:paraId="6832BBA8" w14:textId="77777777" w:rsidTr="00F750AB">
        <w:trPr>
          <w:jc w:val="center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72FD0DE9" w14:textId="7A8E1735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Month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8814AAC" w14:textId="4314617B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9DA7E9F" w14:textId="63205091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10B8A5E" w14:textId="0A048895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2YOY Change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62C8398C" w14:textId="2A769CAF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Month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5FD15A0" w14:textId="2365B7B3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F1908C7" w14:textId="10450481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3654A460" w14:textId="42CA7E5D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2YOY Change</w:t>
            </w:r>
          </w:p>
        </w:tc>
      </w:tr>
      <w:tr w:rsidR="00F750AB" w:rsidRPr="00E75E32" w14:paraId="00D021B8" w14:textId="77777777" w:rsidTr="003F16E4">
        <w:trPr>
          <w:jc w:val="center"/>
        </w:trPr>
        <w:tc>
          <w:tcPr>
            <w:tcW w:w="192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7D56127D" w14:textId="291AB0B2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September 2021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8" w:space="0" w:color="0070C0"/>
            </w:tcBorders>
            <w:vAlign w:val="center"/>
          </w:tcPr>
          <w:p w14:paraId="166910FB" w14:textId="0DA368A2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278 B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5A978C7" w14:textId="7DBBE876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+7.8%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6A104C47" w14:textId="0FE67BE8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+3.3%</w:t>
            </w:r>
          </w:p>
        </w:tc>
        <w:tc>
          <w:tcPr>
            <w:tcW w:w="193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0E4B3E33" w14:textId="5F388289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December 2021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76F84F71" w14:textId="1F0320EA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268 B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10D9B74" w14:textId="2AD438C6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+11.2%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79DEE69" w14:textId="3257D193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-1.5%</w:t>
            </w:r>
          </w:p>
        </w:tc>
      </w:tr>
      <w:tr w:rsidR="00F750AB" w:rsidRPr="00E75E32" w14:paraId="5E1F0B0E" w14:textId="77777777" w:rsidTr="003F16E4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0250D295" w14:textId="721DD07C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October 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0E66DBE3" w14:textId="1C90FF7C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286 B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1805A8D" w14:textId="6B1F18ED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+7.1%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71AB4876" w14:textId="1F545AEA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+1.1%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5307C8C2" w14:textId="1D579BAF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January 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11189C31" w14:textId="3B24D9D2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241 B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BB92F8B" w14:textId="17B09016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+4.3%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CADAEFD" w14:textId="76FAA6E3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-7.7%</w:t>
            </w:r>
          </w:p>
        </w:tc>
      </w:tr>
      <w:tr w:rsidR="00F750AB" w:rsidRPr="00E75E32" w14:paraId="217A39E2" w14:textId="77777777" w:rsidTr="003F16E4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67F80EB2" w14:textId="65734C46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November 2021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vAlign w:val="center"/>
          </w:tcPr>
          <w:p w14:paraId="0FD8254D" w14:textId="1ECBA7C9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268 B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3A9411D" w14:textId="1B502BAE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+12.6%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3258B11C" w14:textId="7E130E09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+2.3%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0F8F4EF9" w14:textId="1CC942B0" w:rsidR="00F750AB" w:rsidRPr="00E75E32" w:rsidRDefault="00F750AB" w:rsidP="00F750A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February 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vAlign w:val="center"/>
          </w:tcPr>
          <w:p w14:paraId="6615953F" w14:textId="7657B384" w:rsidR="00F750AB" w:rsidRPr="00E75E32" w:rsidRDefault="00F750AB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236 B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784410C" w14:textId="43CB5615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+10.8%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7D56B18" w14:textId="7EF58128" w:rsidR="00F750AB" w:rsidRPr="00E75E32" w:rsidRDefault="00B342D2" w:rsidP="003F16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-2.9%</w:t>
            </w:r>
          </w:p>
        </w:tc>
      </w:tr>
    </w:tbl>
    <w:p w14:paraId="22887A81" w14:textId="6DFD2F3E" w:rsidR="00425317" w:rsidRDefault="00B342D2" w:rsidP="00B342D2">
      <w:pPr>
        <w:spacing w:after="0" w:line="240" w:lineRule="auto"/>
        <w:ind w:hanging="99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US Department of Transportation</w:t>
      </w:r>
      <w:r w:rsidR="00425317" w:rsidRPr="00D0761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April</w:t>
      </w:r>
      <w:r w:rsidR="00425317">
        <w:rPr>
          <w:rFonts w:ascii="Verdana" w:hAnsi="Verdana"/>
          <w:sz w:val="16"/>
          <w:szCs w:val="16"/>
        </w:rPr>
        <w:t xml:space="preserve"> 2022</w:t>
      </w:r>
    </w:p>
    <w:p w14:paraId="2B71E3DA" w14:textId="4B3EE8DA" w:rsidR="00513C4F" w:rsidRDefault="00513C4F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C1835F2" w14:textId="4D0AB6F8" w:rsidR="00235E14" w:rsidRPr="0079766E" w:rsidRDefault="00235E14" w:rsidP="0079766E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9766E">
        <w:rPr>
          <w:rFonts w:ascii="Verdana" w:hAnsi="Verdana"/>
          <w:b/>
          <w:bCs/>
          <w:color w:val="0070C0"/>
          <w:sz w:val="20"/>
          <w:szCs w:val="20"/>
        </w:rPr>
        <w:lastRenderedPageBreak/>
        <w:t>Adaptable Independent Repair Shops Succeed</w:t>
      </w:r>
    </w:p>
    <w:p w14:paraId="27DA7994" w14:textId="77777777" w:rsidR="00235E14" w:rsidRPr="00235E14" w:rsidRDefault="00235E14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B1EA2E2" w14:textId="7EB8B404" w:rsidR="0079766E" w:rsidRDefault="0079766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Independent repair shops</w:t>
      </w:r>
      <w:r w:rsidR="00385683">
        <w:rPr>
          <w:rFonts w:ascii="Verdana" w:hAnsi="Verdana"/>
          <w:sz w:val="20"/>
          <w:szCs w:val="20"/>
        </w:rPr>
        <w:t xml:space="preserve"> have had to face new challenges each year from the start of the pandemic.</w:t>
      </w:r>
      <w:r>
        <w:rPr>
          <w:rFonts w:ascii="Verdana" w:hAnsi="Verdana"/>
          <w:sz w:val="20"/>
          <w:szCs w:val="20"/>
        </w:rPr>
        <w:t xml:space="preserve"> </w:t>
      </w:r>
      <w:r w:rsidR="00385683">
        <w:rPr>
          <w:rFonts w:ascii="Verdana" w:hAnsi="Verdana"/>
          <w:sz w:val="20"/>
          <w:szCs w:val="20"/>
        </w:rPr>
        <w:t>First, during 2020, they had to keep their staff and customers safe and then labor shortages and during 2022, supply-chain issues caus</w:t>
      </w:r>
      <w:r w:rsidR="0080095C">
        <w:rPr>
          <w:rFonts w:ascii="Verdana" w:hAnsi="Verdana"/>
          <w:sz w:val="20"/>
          <w:szCs w:val="20"/>
        </w:rPr>
        <w:t>ed</w:t>
      </w:r>
      <w:r w:rsidR="00385683">
        <w:rPr>
          <w:rFonts w:ascii="Verdana" w:hAnsi="Verdana"/>
          <w:sz w:val="20"/>
          <w:szCs w:val="20"/>
        </w:rPr>
        <w:t xml:space="preserve"> parts shortages.</w:t>
      </w:r>
    </w:p>
    <w:p w14:paraId="73FB3547" w14:textId="0737D03E" w:rsidR="00385683" w:rsidRDefault="00385683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0BB683B" w14:textId="77777777" w:rsidR="00385683" w:rsidRDefault="00385683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a February 2022 survey of 500 independent repair shops from IMR, 35.8% were experiencing parts shortages, 31.8% attracting previous customers and providing incentives, 29.4% finding affordable parts and 27.0% receiving parts on time.</w:t>
      </w:r>
    </w:p>
    <w:p w14:paraId="3D3D315E" w14:textId="77777777" w:rsidR="00385683" w:rsidRDefault="00385683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33CA049" w14:textId="0EDEE887" w:rsidR="00385683" w:rsidRDefault="00385683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was generally the larger shops (4–7 bays and 8+ bays) that had the most problems with parts shortages</w:t>
      </w:r>
      <w:r w:rsidR="00A318B6">
        <w:rPr>
          <w:rFonts w:ascii="Verdana" w:hAnsi="Verdana"/>
          <w:sz w:val="20"/>
          <w:szCs w:val="20"/>
        </w:rPr>
        <w:t xml:space="preserve"> at 41.9% and 50.0%, respectively, compared to just 8.8% of shops with 1–3 bays. Their biggest challenge was finding qualified technicians at 29.4%.</w:t>
      </w:r>
    </w:p>
    <w:p w14:paraId="13985E18" w14:textId="3CA75CD2" w:rsidR="0079766E" w:rsidRDefault="0079766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BD0087B" w14:textId="77777777" w:rsidR="00A318B6" w:rsidRDefault="00A318B6" w:rsidP="00A318B6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Top Five Long-Term Industry Trends Independent </w:t>
      </w:r>
    </w:p>
    <w:p w14:paraId="35347C24" w14:textId="1D100D04" w:rsidR="00A318B6" w:rsidRPr="00C67FEB" w:rsidRDefault="00A318B6" w:rsidP="00A318B6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Repair Shops Think Will Affect Them, February 2022</w:t>
      </w:r>
    </w:p>
    <w:tbl>
      <w:tblPr>
        <w:tblW w:w="6943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9"/>
        <w:gridCol w:w="1224"/>
      </w:tblGrid>
      <w:tr w:rsidR="00A318B6" w:rsidRPr="00C67FEB" w14:paraId="2577ED58" w14:textId="77777777" w:rsidTr="00A318B6">
        <w:trPr>
          <w:jc w:val="center"/>
        </w:trPr>
        <w:tc>
          <w:tcPr>
            <w:tcW w:w="5719" w:type="dxa"/>
            <w:tcBorders>
              <w:top w:val="single" w:sz="12" w:space="0" w:color="000000"/>
              <w:left w:val="single" w:sz="12" w:space="0" w:color="auto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98B497F" w14:textId="6B2771CA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Trend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321098C" w14:textId="3DEA896A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A318B6" w:rsidRPr="00C67FEB" w14:paraId="3A53E592" w14:textId="77777777" w:rsidTr="00A318B6">
        <w:trPr>
          <w:jc w:val="center"/>
        </w:trPr>
        <w:tc>
          <w:tcPr>
            <w:tcW w:w="5719" w:type="dxa"/>
            <w:tcBorders>
              <w:top w:val="single" w:sz="18" w:space="0" w:color="C0504D" w:themeColor="accent2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4D90644" w14:textId="7F2D7049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Increasing HEV/EV VIO*</w:t>
            </w:r>
          </w:p>
        </w:tc>
        <w:tc>
          <w:tcPr>
            <w:tcW w:w="122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31EA95B" w14:textId="5CF00645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48.6%</w:t>
            </w:r>
          </w:p>
        </w:tc>
      </w:tr>
      <w:tr w:rsidR="00A318B6" w:rsidRPr="00C67FEB" w14:paraId="3905BF47" w14:textId="77777777" w:rsidTr="00A318B6">
        <w:trPr>
          <w:jc w:val="center"/>
        </w:trPr>
        <w:tc>
          <w:tcPr>
            <w:tcW w:w="57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F9ADFE4" w14:textId="012B954A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Higher/Increasing parts and tool costs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2CFCD5A" w14:textId="46843E2D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31.8%</w:t>
            </w:r>
          </w:p>
        </w:tc>
      </w:tr>
      <w:tr w:rsidR="00A318B6" w:rsidRPr="00C67FEB" w14:paraId="0325587A" w14:textId="77777777" w:rsidTr="00A318B6">
        <w:trPr>
          <w:jc w:val="center"/>
        </w:trPr>
        <w:tc>
          <w:tcPr>
            <w:tcW w:w="57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826F629" w14:textId="5A2D047C" w:rsidR="00A318B6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Finding and retaining qualified/responsible technicians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2E5561D" w14:textId="228B1CCF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13.4%</w:t>
            </w:r>
          </w:p>
        </w:tc>
      </w:tr>
      <w:tr w:rsidR="00A318B6" w:rsidRPr="00C67FEB" w14:paraId="5D51BE99" w14:textId="77777777" w:rsidTr="00A318B6">
        <w:trPr>
          <w:jc w:val="center"/>
        </w:trPr>
        <w:tc>
          <w:tcPr>
            <w:tcW w:w="57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ABFEDCD" w14:textId="3DD0623A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Able to compete with larger shops/dealerships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DCF1B29" w14:textId="5BF86139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12.8%</w:t>
            </w:r>
          </w:p>
        </w:tc>
      </w:tr>
      <w:tr w:rsidR="00A318B6" w:rsidRPr="00C67FEB" w14:paraId="54454067" w14:textId="77777777" w:rsidTr="00A318B6">
        <w:trPr>
          <w:jc w:val="center"/>
        </w:trPr>
        <w:tc>
          <w:tcPr>
            <w:tcW w:w="571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409D118" w14:textId="0333D713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OEMs withholding diagnostic information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644B0F3" w14:textId="7901A019" w:rsidR="00A318B6" w:rsidRPr="00C67FEB" w:rsidRDefault="00A318B6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12.4%</w:t>
            </w:r>
          </w:p>
        </w:tc>
      </w:tr>
    </w:tbl>
    <w:p w14:paraId="7FC49F5B" w14:textId="08D0AB64" w:rsidR="00A318B6" w:rsidRPr="002F07A0" w:rsidRDefault="00A318B6" w:rsidP="00A318B6">
      <w:pPr>
        <w:tabs>
          <w:tab w:val="left" w:pos="126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IMR/AutomotiveResearch.com</w:t>
      </w:r>
      <w:r>
        <w:rPr>
          <w:rFonts w:ascii="Verdana" w:hAnsi="Verdana"/>
          <w:sz w:val="16"/>
          <w:szCs w:val="16"/>
        </w:rPr>
        <w:tab/>
        <w:t>*hybrid</w:t>
      </w:r>
      <w:r w:rsidR="005B4393">
        <w:rPr>
          <w:rFonts w:ascii="Verdana" w:hAnsi="Verdana"/>
          <w:sz w:val="16"/>
          <w:szCs w:val="16"/>
        </w:rPr>
        <w:t xml:space="preserve"> and electric vehicles</w:t>
      </w:r>
    </w:p>
    <w:p w14:paraId="7BA0B9EE" w14:textId="6009D0E7" w:rsidR="00A318B6" w:rsidRDefault="00A318B6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376F57E" w14:textId="615BA366" w:rsidR="00235E14" w:rsidRPr="00256AFE" w:rsidRDefault="00235E14" w:rsidP="00256AFE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56AFE">
        <w:rPr>
          <w:rFonts w:ascii="Verdana" w:hAnsi="Verdana"/>
          <w:b/>
          <w:bCs/>
          <w:color w:val="0070C0"/>
          <w:sz w:val="20"/>
          <w:szCs w:val="20"/>
        </w:rPr>
        <w:t>Understanding the Service Customer</w:t>
      </w:r>
    </w:p>
    <w:p w14:paraId="05B48445" w14:textId="77777777" w:rsidR="00235E14" w:rsidRPr="00235E14" w:rsidRDefault="00235E14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FBFEC7A" w14:textId="1DCD55DD" w:rsidR="00256AFE" w:rsidRDefault="00256AF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Morning Consult survey cited on page 2 showed 43% of adult vehicle owners said they chose to have their vehicle serviced at a dealership because of its “certified mechanics and technicians</w:t>
      </w:r>
      <w:r w:rsidR="003F16E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” A close second was “familiarity/comfort with the dealership” at 42%.</w:t>
      </w:r>
    </w:p>
    <w:p w14:paraId="43F6839F" w14:textId="77777777" w:rsidR="00256AFE" w:rsidRDefault="00256AF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3E0FD2B" w14:textId="659A14A2" w:rsidR="00256AFE" w:rsidRDefault="00256AF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Cox Automotive’s 2021 Service Industry Study generated similar results: </w:t>
      </w:r>
      <w:r w:rsidR="00B204D0">
        <w:rPr>
          <w:rFonts w:ascii="Verdana" w:hAnsi="Verdana"/>
          <w:sz w:val="20"/>
          <w:szCs w:val="20"/>
        </w:rPr>
        <w:t>“They know my vehicle</w:t>
      </w:r>
      <w:r w:rsidR="00D52B40">
        <w:rPr>
          <w:rFonts w:ascii="Verdana" w:hAnsi="Verdana"/>
          <w:sz w:val="20"/>
          <w:szCs w:val="20"/>
        </w:rPr>
        <w:t>”</w:t>
      </w:r>
      <w:r w:rsidR="00B204D0">
        <w:rPr>
          <w:rFonts w:ascii="Verdana" w:hAnsi="Verdana"/>
          <w:sz w:val="20"/>
          <w:szCs w:val="20"/>
        </w:rPr>
        <w:t xml:space="preserve"> at 55%, “prior experience” at 46%, “location” at 41% and “they know me” at 33%.</w:t>
      </w:r>
    </w:p>
    <w:p w14:paraId="4F42CC56" w14:textId="50A5CF31" w:rsidR="00B204D0" w:rsidRDefault="00B204D0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40A5D60" w14:textId="2984E514" w:rsidR="00B204D0" w:rsidRDefault="00B204D0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the Morning Consult survey, </w:t>
      </w:r>
      <w:r w:rsidR="0080095C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price</w:t>
      </w:r>
      <w:r w:rsidR="0080095C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at 67% was the overwhelming reason adults didn’t have their vehicle serviced at a dealership. “Trusted others more” was second at 27%, followed by “location” at 24% and “turnaround time” at 16%.</w:t>
      </w:r>
    </w:p>
    <w:p w14:paraId="1C490590" w14:textId="77777777" w:rsidR="00256AFE" w:rsidRDefault="00256AF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8780BD6" w14:textId="506ACAF6" w:rsidR="00B204D0" w:rsidRPr="00E75E32" w:rsidRDefault="00B204D0" w:rsidP="00B204D0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Share of Where Vehicle Owners Had Their Vehicles Serviced,</w:t>
      </w:r>
      <w:r w:rsidRPr="00E75E3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2021</w:t>
      </w:r>
    </w:p>
    <w:tbl>
      <w:tblPr>
        <w:tblW w:w="995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267"/>
        <w:gridCol w:w="3715"/>
        <w:gridCol w:w="1260"/>
      </w:tblGrid>
      <w:tr w:rsidR="00B204D0" w:rsidRPr="00E75E32" w14:paraId="2E54616E" w14:textId="77777777" w:rsidTr="00B204D0">
        <w:trPr>
          <w:jc w:val="center"/>
        </w:trPr>
        <w:tc>
          <w:tcPr>
            <w:tcW w:w="371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89F3881" w14:textId="7D0BAA41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Type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5F4758FF" w14:textId="334088F8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F2E07F3" w14:textId="711373B0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33F3E2E6" w14:textId="5BD566EF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B204D0" w:rsidRPr="00E75E32" w14:paraId="46E6CAF4" w14:textId="77777777" w:rsidTr="00B204D0">
        <w:trPr>
          <w:jc w:val="center"/>
        </w:trPr>
        <w:tc>
          <w:tcPr>
            <w:tcW w:w="371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762A8490" w14:textId="146924F1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Dealerships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582C6CB7" w14:textId="6614CECE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  <w:tc>
          <w:tcPr>
            <w:tcW w:w="371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B53919B" w14:textId="2E4FF5F7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Specialist</w:t>
            </w:r>
          </w:p>
        </w:tc>
        <w:tc>
          <w:tcPr>
            <w:tcW w:w="126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005BB15" w14:textId="12771B8F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</w:tr>
      <w:tr w:rsidR="00B204D0" w:rsidRPr="00E75E32" w14:paraId="187EF873" w14:textId="77777777" w:rsidTr="00B204D0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F04C092" w14:textId="653D5199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General repair/service station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45C50EC" w14:textId="14EB3545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26%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49923D5" w14:textId="09ED848F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Body shop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20081C3" w14:textId="2C1CE875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</w:tr>
      <w:tr w:rsidR="00B204D0" w:rsidRPr="00E75E32" w14:paraId="3789BDB7" w14:textId="77777777" w:rsidTr="00B204D0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F20EDD1" w14:textId="6CBED838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Quick lube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D5048A9" w14:textId="6A93A3B9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C005E27" w14:textId="6B2AA41A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Mobile service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528C13A" w14:textId="6B1566CF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</w:tr>
      <w:tr w:rsidR="00B204D0" w:rsidRPr="00E75E32" w14:paraId="6FE43524" w14:textId="77777777" w:rsidTr="00B204D0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A0E08C0" w14:textId="287E238F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Tire store/repair chain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77297B2" w14:textId="515161FA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23281B9" w14:textId="33240876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Other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6A76BED" w14:textId="37177C20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2%</w:t>
            </w:r>
          </w:p>
        </w:tc>
      </w:tr>
      <w:tr w:rsidR="00B204D0" w:rsidRPr="00E75E32" w14:paraId="08961168" w14:textId="77777777" w:rsidTr="00B204D0">
        <w:trPr>
          <w:jc w:val="center"/>
        </w:trPr>
        <w:tc>
          <w:tcPr>
            <w:tcW w:w="37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0D7A250" w14:textId="746013E0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Retail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0B7A90D6" w14:textId="5B46A2C3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781316F0" w14:textId="1AF7A9C2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63F40B" w14:textId="389DDB6D" w:rsidR="00B204D0" w:rsidRPr="00E75E32" w:rsidRDefault="00B204D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679BDEA1" w14:textId="00267A3B" w:rsidR="00256AFE" w:rsidRDefault="00B204D0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National Automobile Dealers Association</w:t>
      </w:r>
      <w:r w:rsidRPr="00D0761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January 2022</w:t>
      </w:r>
    </w:p>
    <w:p w14:paraId="04E8514D" w14:textId="77777777" w:rsidR="00256AFE" w:rsidRDefault="00256AF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953F964" w14:textId="77777777" w:rsidR="00B14CB2" w:rsidRDefault="00B14CB2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00ABE7F" w14:textId="77777777" w:rsidR="00B14CB2" w:rsidRDefault="00B14CB2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A7A8CA3" w14:textId="77777777" w:rsidR="00B14CB2" w:rsidRDefault="00B14CB2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94305F5" w14:textId="173AEBF3" w:rsidR="00235E14" w:rsidRPr="00B14CB2" w:rsidRDefault="00235E14" w:rsidP="00B14CB2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B14CB2">
        <w:rPr>
          <w:rFonts w:ascii="Verdana" w:hAnsi="Verdana"/>
          <w:b/>
          <w:bCs/>
          <w:color w:val="0070C0"/>
          <w:sz w:val="20"/>
          <w:szCs w:val="20"/>
        </w:rPr>
        <w:lastRenderedPageBreak/>
        <w:t>In Search of Service</w:t>
      </w:r>
    </w:p>
    <w:p w14:paraId="1B487F5E" w14:textId="77777777" w:rsidR="00235E14" w:rsidRPr="00235E14" w:rsidRDefault="00235E14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969AE3A" w14:textId="00A2D560" w:rsidR="00B14CB2" w:rsidRDefault="00B14CB2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Digital Air Strike’s 2021 Automotive Customer Experience Trends Study, two-thirds (67%) of respondents said they only used online searches to choose a dealership for service on their vehicles, compared to 46% in the 2020 survey.</w:t>
      </w:r>
    </w:p>
    <w:p w14:paraId="4458297E" w14:textId="77777777" w:rsidR="00B14CB2" w:rsidRDefault="00B14CB2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09A27D8" w14:textId="34527DD4" w:rsidR="00B14CB2" w:rsidRDefault="00B14CB2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Unsurprisingly, Google is where these vehicle-service customers searched the most at 60%, followed by Kelley Blue Book</w:t>
      </w:r>
      <w:r w:rsidR="00082CAE">
        <w:rPr>
          <w:rFonts w:ascii="Verdana" w:hAnsi="Verdana"/>
          <w:sz w:val="20"/>
          <w:szCs w:val="20"/>
        </w:rPr>
        <w:t>, Cars.com and CarGurus</w:t>
      </w:r>
      <w:r>
        <w:rPr>
          <w:rFonts w:ascii="Verdana" w:hAnsi="Verdana"/>
          <w:sz w:val="20"/>
          <w:szCs w:val="20"/>
        </w:rPr>
        <w:t xml:space="preserve"> at 17%</w:t>
      </w:r>
      <w:r w:rsidR="00082CAE">
        <w:rPr>
          <w:rFonts w:ascii="Verdana" w:hAnsi="Verdana"/>
          <w:sz w:val="20"/>
          <w:szCs w:val="20"/>
        </w:rPr>
        <w:t xml:space="preserve"> each, Autotrader at 13%, Facebook and Edmunds at 6% each and Yelp at 4%.</w:t>
      </w:r>
    </w:p>
    <w:p w14:paraId="5BB2108C" w14:textId="59319F3A" w:rsidR="00082CAE" w:rsidRDefault="00082CA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FB66223" w14:textId="1C9E03C1" w:rsidR="00082CAE" w:rsidRDefault="00082CA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Dealerships aren’t doing a very good </w:t>
      </w:r>
      <w:r w:rsidR="0080095C">
        <w:rPr>
          <w:rFonts w:ascii="Verdana" w:hAnsi="Verdana"/>
          <w:sz w:val="20"/>
          <w:szCs w:val="20"/>
        </w:rPr>
        <w:t xml:space="preserve">job </w:t>
      </w:r>
      <w:r>
        <w:rPr>
          <w:rFonts w:ascii="Verdana" w:hAnsi="Verdana"/>
          <w:sz w:val="20"/>
          <w:szCs w:val="20"/>
        </w:rPr>
        <w:t>at taking advantage of online reviews. A majority (71%) of survey respondents said the dealership where their vehicle was serviced did not ask them to write a review, but 58% said review sites were helpful.</w:t>
      </w:r>
    </w:p>
    <w:p w14:paraId="54EE2078" w14:textId="4E606E50" w:rsidR="00082CAE" w:rsidRDefault="00082CA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CA2713B" w14:textId="77777777" w:rsidR="00BC4D11" w:rsidRDefault="00BC4D11" w:rsidP="00BC4D11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Adults 18+ Who Are High-Mileage Drivers and Their Heavy </w:t>
      </w:r>
    </w:p>
    <w:p w14:paraId="7CF05670" w14:textId="2B3112CE" w:rsidR="006A6701" w:rsidRPr="00C67FEB" w:rsidRDefault="00BC4D11" w:rsidP="006A6701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Exposure to Major Media, by Generation and Indices, 2021</w:t>
      </w:r>
    </w:p>
    <w:tbl>
      <w:tblPr>
        <w:tblW w:w="8454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354"/>
        <w:gridCol w:w="1354"/>
        <w:gridCol w:w="1354"/>
        <w:gridCol w:w="1354"/>
        <w:gridCol w:w="1354"/>
      </w:tblGrid>
      <w:tr w:rsidR="00BC4D11" w:rsidRPr="00C67FEB" w14:paraId="0718B108" w14:textId="77777777" w:rsidTr="006A6701">
        <w:trPr>
          <w:jc w:val="center"/>
        </w:trPr>
        <w:tc>
          <w:tcPr>
            <w:tcW w:w="1684" w:type="dxa"/>
            <w:tcBorders>
              <w:top w:val="single" w:sz="12" w:space="0" w:color="000000"/>
              <w:left w:val="single" w:sz="12" w:space="0" w:color="auto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18C0064" w14:textId="373B0F3F" w:rsidR="00BC4D11" w:rsidRPr="00C67FEB" w:rsidRDefault="00BC4D11" w:rsidP="00BC4D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2F7BC9D" w14:textId="090E84DD" w:rsidR="00BC4D11" w:rsidRDefault="00BC4D11" w:rsidP="00BC4D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CBACF80" w14:textId="6D78247D" w:rsidR="00BC4D11" w:rsidRPr="00C67FEB" w:rsidRDefault="00BC4D11" w:rsidP="00BC4D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50BCD65" w14:textId="0ECECF42" w:rsidR="00BC4D11" w:rsidRPr="00C67FEB" w:rsidRDefault="00BC4D11" w:rsidP="00BC4D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0D37288" w14:textId="3E57C3C0" w:rsidR="00BC4D11" w:rsidRPr="00C67FEB" w:rsidRDefault="00BC4D11" w:rsidP="00BC4D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5ADDB940" w14:textId="2A4D3C8E" w:rsidR="00BC4D11" w:rsidRPr="00C67FEB" w:rsidRDefault="00BC4D11" w:rsidP="00BC4D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Silent Generation</w:t>
            </w:r>
          </w:p>
        </w:tc>
      </w:tr>
      <w:tr w:rsidR="00BC4D11" w:rsidRPr="00C67FEB" w14:paraId="33F6870B" w14:textId="77777777" w:rsidTr="00D52B40">
        <w:trPr>
          <w:jc w:val="center"/>
        </w:trPr>
        <w:tc>
          <w:tcPr>
            <w:tcW w:w="1684" w:type="dxa"/>
            <w:tcBorders>
              <w:top w:val="single" w:sz="18" w:space="0" w:color="C0504D" w:themeColor="accent2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4C3F25" w14:textId="7098C4A8" w:rsidR="00BC4D11" w:rsidRPr="00C67FEB" w:rsidRDefault="00BC4D1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Radio</w:t>
            </w:r>
          </w:p>
        </w:tc>
        <w:tc>
          <w:tcPr>
            <w:tcW w:w="1354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D1F53F8" w14:textId="3421DF23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  <w:tc>
          <w:tcPr>
            <w:tcW w:w="135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793837C" w14:textId="72844C59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35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5E52FA8" w14:textId="6192452D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35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461FC5A" w14:textId="71347DF2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  <w:tc>
          <w:tcPr>
            <w:tcW w:w="135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E1AC4A4" w14:textId="31602BB7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</w:t>
            </w:r>
          </w:p>
        </w:tc>
      </w:tr>
      <w:tr w:rsidR="00BC4D11" w:rsidRPr="00C67FEB" w14:paraId="061E8554" w14:textId="77777777" w:rsidTr="00D52B40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3A78512" w14:textId="4BBB73D5" w:rsidR="00BC4D11" w:rsidRPr="00C67FEB" w:rsidRDefault="00BC4D1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TV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CA8AF60" w14:textId="398C90B0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374754F" w14:textId="2D4EAE57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E5CB352" w14:textId="46A4D9E3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558022B" w14:textId="7087400A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C57F9FE" w14:textId="6698CD52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145</w:t>
            </w:r>
          </w:p>
        </w:tc>
      </w:tr>
      <w:tr w:rsidR="00BC4D11" w:rsidRPr="00C67FEB" w14:paraId="73E5B37F" w14:textId="77777777" w:rsidTr="00D52B40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BEDAB53" w14:textId="70D70921" w:rsidR="00BC4D11" w:rsidRPr="00C67FEB" w:rsidRDefault="00BC4D1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Newspaper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7D277C1" w14:textId="288EB902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53BD8A5" w14:textId="4C2A3B4E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048F077" w14:textId="15F7B31E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93DFEC4" w14:textId="2D6B1B61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A6370A9" w14:textId="46B41CCE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</w:tr>
      <w:tr w:rsidR="00BC4D11" w:rsidRPr="00C67FEB" w14:paraId="3BAD2471" w14:textId="77777777" w:rsidTr="00D52B40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E240081" w14:textId="2B4CBC20" w:rsidR="00BC4D11" w:rsidRDefault="00BC4D1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Outdoor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563427F5" w14:textId="0B092F44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406ACE8F" w14:textId="2697F7D7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29EDCCB4" w14:textId="338E83E9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22D2E20B" w14:textId="2A89A792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F3692DF" w14:textId="67D75956" w:rsidR="00BC4D11" w:rsidRPr="00C67FEB" w:rsidRDefault="00BC4D1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</w:tr>
      <w:tr w:rsidR="00BC4D11" w:rsidRPr="00C67FEB" w14:paraId="50C4BE34" w14:textId="77777777" w:rsidTr="00D52B40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C5BDC10" w14:textId="58263BFC" w:rsidR="00BC4D11" w:rsidRPr="00C67FEB" w:rsidRDefault="00BC4D1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Direct mail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6B1649EC" w14:textId="4A5D769B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BAD907B" w14:textId="3EA50C2D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11EC32B" w14:textId="3169F8DD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43219C5" w14:textId="5C64FE5E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113698B" w14:textId="19FC4C1E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</w:tr>
      <w:tr w:rsidR="006A6701" w:rsidRPr="00C67FEB" w14:paraId="24D3BEC9" w14:textId="77777777" w:rsidTr="00D52B40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0607177" w14:textId="5DB63365" w:rsidR="006A6701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Internet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EEDC01D" w14:textId="369C6937" w:rsidR="006A6701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1F0093B" w14:textId="676BEB86" w:rsidR="006A6701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09ED71A" w14:textId="06786117" w:rsidR="006A6701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8AEE2E8" w14:textId="28787940" w:rsidR="006A6701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8439C67" w14:textId="44D83E50" w:rsidR="006A6701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47</w:t>
            </w:r>
          </w:p>
        </w:tc>
      </w:tr>
      <w:tr w:rsidR="00BC4D11" w:rsidRPr="00C67FEB" w14:paraId="1620B3DF" w14:textId="77777777" w:rsidTr="00D52B40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6C1C063" w14:textId="4A22EB5D" w:rsidR="00BC4D11" w:rsidRPr="00C67FEB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Social media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71FE543A" w14:textId="17B67447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6A4D6CB" w14:textId="5CFE22EB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4F2331A" w14:textId="1EE1C639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1A9F3401" w14:textId="42FE86E6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89ACFBF" w14:textId="7F090C7F" w:rsidR="00BC4D11" w:rsidRPr="00C67FEB" w:rsidRDefault="006A6701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</w:t>
            </w:r>
          </w:p>
        </w:tc>
      </w:tr>
    </w:tbl>
    <w:p w14:paraId="72113A42" w14:textId="77777777" w:rsidR="006A6701" w:rsidRDefault="006A6701" w:rsidP="006A6701">
      <w:pPr>
        <w:tabs>
          <w:tab w:val="left" w:pos="450"/>
        </w:tabs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BC4D11">
        <w:rPr>
          <w:rFonts w:ascii="Verdana" w:hAnsi="Verdana"/>
          <w:sz w:val="16"/>
          <w:szCs w:val="16"/>
        </w:rPr>
        <w:t xml:space="preserve">Based on The Media Audit’s </w:t>
      </w:r>
      <w:r>
        <w:rPr>
          <w:rFonts w:ascii="Verdana" w:hAnsi="Verdana"/>
          <w:sz w:val="16"/>
          <w:szCs w:val="16"/>
        </w:rPr>
        <w:t>49</w:t>
      </w:r>
      <w:r w:rsidR="00BC4D11">
        <w:rPr>
          <w:rFonts w:ascii="Verdana" w:hAnsi="Verdana"/>
          <w:sz w:val="16"/>
          <w:szCs w:val="16"/>
        </w:rPr>
        <w:t>-Market 2020</w:t>
      </w:r>
      <w:r>
        <w:rPr>
          <w:rFonts w:ascii="Verdana" w:hAnsi="Verdana"/>
          <w:sz w:val="16"/>
          <w:szCs w:val="16"/>
        </w:rPr>
        <w:t>1</w:t>
      </w:r>
      <w:r w:rsidR="00BC4D11">
        <w:rPr>
          <w:rFonts w:ascii="Verdana" w:hAnsi="Verdana"/>
          <w:sz w:val="16"/>
          <w:szCs w:val="16"/>
        </w:rPr>
        <w:t>Aggregate Survey</w:t>
      </w:r>
      <w:r>
        <w:rPr>
          <w:rFonts w:ascii="Verdana" w:hAnsi="Verdana"/>
          <w:sz w:val="16"/>
          <w:szCs w:val="16"/>
        </w:rPr>
        <w:t xml:space="preserve"> </w:t>
      </w:r>
    </w:p>
    <w:p w14:paraId="7FA1318C" w14:textId="637B8C91" w:rsidR="00BC4D11" w:rsidRPr="002F07A0" w:rsidRDefault="006A6701" w:rsidP="006A6701">
      <w:pPr>
        <w:tabs>
          <w:tab w:val="left" w:pos="45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(See page 4 for heavy exposure to media times)</w:t>
      </w:r>
    </w:p>
    <w:p w14:paraId="6474E148" w14:textId="72F36869" w:rsidR="00082CAE" w:rsidRDefault="00082CAE" w:rsidP="00235E14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74AFA43" w14:textId="34F72BF0" w:rsidR="00235E14" w:rsidRPr="00C96F52" w:rsidRDefault="00235E14" w:rsidP="00C96F52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C96F52">
        <w:rPr>
          <w:rFonts w:ascii="Verdana" w:hAnsi="Verdana"/>
          <w:b/>
          <w:bCs/>
          <w:color w:val="0070C0"/>
          <w:sz w:val="20"/>
          <w:szCs w:val="20"/>
        </w:rPr>
        <w:t>Challenges for Body Shops</w:t>
      </w:r>
    </w:p>
    <w:p w14:paraId="286AC9F6" w14:textId="77777777" w:rsidR="00F94CE8" w:rsidRPr="00235E14" w:rsidRDefault="00F94CE8" w:rsidP="00235E14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2170915A" w:rsidR="00F94CE8" w:rsidRDefault="00A874C0" w:rsidP="00235E14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Dealerships with body shops would like them to generate more revenue, but according to </w:t>
      </w:r>
      <w:r w:rsidR="00D52B40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NADA, total 2021 body shop sales at franchised dealerships decreased 4.3% from 2020 and fewer dealerships had body shops at 35.7%, compared to 37.3% during 2020.</w:t>
      </w:r>
    </w:p>
    <w:p w14:paraId="791C256A" w14:textId="47D451D6" w:rsidR="00A077F8" w:rsidRDefault="00A077F8" w:rsidP="00235E14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54622C" w14:textId="5AFB3AA4" w:rsidR="00A077F8" w:rsidRPr="00235E14" w:rsidRDefault="00A077F8" w:rsidP="00235E14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Truck dealerships’ body shops performed better as a revenue stream. The average body shop sale was $329.39 during 2021, a negligible decrease from $329.63 for 2020.</w:t>
      </w:r>
    </w:p>
    <w:p w14:paraId="664EB1A4" w14:textId="77777777" w:rsidR="00F94CE8" w:rsidRPr="00235E14" w:rsidRDefault="00F94CE8" w:rsidP="00235E14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401C3C8" w14:textId="3CE29DE7" w:rsidR="00F94CE8" w:rsidRPr="00235E14" w:rsidRDefault="00A874C0" w:rsidP="00235E14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April/May 2022 DealerRater survey reveals the reason dealerships aren’t generating as much revenue from their body shops. The survey found most customers </w:t>
      </w:r>
      <w:r w:rsidR="0080095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16%</w:t>
      </w:r>
      <w:r w:rsidR="0080095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chose a body shop based on their insurance company’s recommendation.</w:t>
      </w:r>
    </w:p>
    <w:p w14:paraId="02C0BC62" w14:textId="77777777" w:rsidR="00F94CE8" w:rsidRPr="00235E14" w:rsidRDefault="00F94CE8" w:rsidP="00235E14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2CF11FC" w14:textId="3CF1EA9B" w:rsidR="005F60B0" w:rsidRPr="00C67FEB" w:rsidRDefault="00A077F8" w:rsidP="005F60B0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How Customers Decided on a Body Shop, April/May 2022</w:t>
      </w:r>
    </w:p>
    <w:tbl>
      <w:tblPr>
        <w:tblW w:w="8673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1541"/>
        <w:gridCol w:w="1537"/>
        <w:gridCol w:w="1541"/>
      </w:tblGrid>
      <w:tr w:rsidR="00A077F8" w:rsidRPr="00C67FEB" w14:paraId="08367B0C" w14:textId="77777777" w:rsidTr="005F60B0">
        <w:trPr>
          <w:jc w:val="center"/>
        </w:trPr>
        <w:tc>
          <w:tcPr>
            <w:tcW w:w="4054" w:type="dxa"/>
            <w:tcBorders>
              <w:top w:val="single" w:sz="12" w:space="0" w:color="000000"/>
              <w:left w:val="single" w:sz="12" w:space="0" w:color="auto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46A03D0C" w14:textId="6099C977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Source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C52D426" w14:textId="03E14445" w:rsidR="00A077F8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Overall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A60CCFA" w14:textId="0921B396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Mass-Market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7EA482AF" w14:textId="5FB6F8E6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Luxury</w:t>
            </w:r>
          </w:p>
        </w:tc>
      </w:tr>
      <w:tr w:rsidR="00A077F8" w:rsidRPr="00C67FEB" w14:paraId="07929B46" w14:textId="77777777" w:rsidTr="005F60B0">
        <w:trPr>
          <w:jc w:val="center"/>
        </w:trPr>
        <w:tc>
          <w:tcPr>
            <w:tcW w:w="4054" w:type="dxa"/>
            <w:tcBorders>
              <w:top w:val="single" w:sz="18" w:space="0" w:color="C0504D" w:themeColor="accent2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D1B3E6C" w14:textId="17D4331D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Dealership where vehicle purchased</w:t>
            </w:r>
          </w:p>
        </w:tc>
        <w:tc>
          <w:tcPr>
            <w:tcW w:w="154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9367E85" w14:textId="533A724E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20%</w:t>
            </w:r>
          </w:p>
        </w:tc>
        <w:tc>
          <w:tcPr>
            <w:tcW w:w="153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BCCA22A" w14:textId="485E4D7A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20%</w:t>
            </w:r>
          </w:p>
        </w:tc>
        <w:tc>
          <w:tcPr>
            <w:tcW w:w="154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475D5AA" w14:textId="53055156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</w:tr>
      <w:tr w:rsidR="00A077F8" w:rsidRPr="00C67FEB" w14:paraId="6FB50F1F" w14:textId="77777777" w:rsidTr="005F60B0">
        <w:trPr>
          <w:jc w:val="center"/>
        </w:trPr>
        <w:tc>
          <w:tcPr>
            <w:tcW w:w="4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5C6B78E" w14:textId="52F38ADE" w:rsidR="00A077F8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Insurance company recommendation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37C990D" w14:textId="331701BC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73E589B" w14:textId="15264611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DDA0315" w14:textId="60D9A59D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13%</w:t>
            </w:r>
          </w:p>
        </w:tc>
      </w:tr>
      <w:tr w:rsidR="00A077F8" w:rsidRPr="00C67FEB" w14:paraId="1DB9DACA" w14:textId="77777777" w:rsidTr="005F60B0">
        <w:trPr>
          <w:jc w:val="center"/>
        </w:trPr>
        <w:tc>
          <w:tcPr>
            <w:tcW w:w="4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01217F1" w14:textId="2D41CE73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Word-of-mouth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12D3FCF" w14:textId="3B4465D5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AEC4544" w14:textId="7E997984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52A2AD3" w14:textId="504F6FF7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</w:tr>
      <w:tr w:rsidR="00A077F8" w:rsidRPr="00C67FEB" w14:paraId="671D7D99" w14:textId="77777777" w:rsidTr="005F60B0">
        <w:trPr>
          <w:jc w:val="center"/>
        </w:trPr>
        <w:tc>
          <w:tcPr>
            <w:tcW w:w="40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E0B2DB4" w14:textId="46E627F7" w:rsidR="00A077F8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Internet search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DE546AF" w14:textId="12BE4D01" w:rsidR="00A077F8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B10C854" w14:textId="03C6ABF3" w:rsidR="00A077F8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DE2211E" w14:textId="7DFAD03F" w:rsidR="00A077F8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5%</w:t>
            </w:r>
          </w:p>
        </w:tc>
      </w:tr>
      <w:tr w:rsidR="00A077F8" w:rsidRPr="00C67FEB" w14:paraId="053752E6" w14:textId="77777777" w:rsidTr="005F60B0">
        <w:trPr>
          <w:jc w:val="center"/>
        </w:trPr>
        <w:tc>
          <w:tcPr>
            <w:tcW w:w="405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168409A" w14:textId="14608F93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478354F9" w14:textId="52C3674C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79A1D65A" w14:textId="734C57DF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50A92D2F" w14:textId="5EE02292" w:rsidR="00A077F8" w:rsidRPr="00C67FEB" w:rsidRDefault="005F60B0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52%</w:t>
            </w:r>
          </w:p>
        </w:tc>
      </w:tr>
    </w:tbl>
    <w:p w14:paraId="72DA9EB4" w14:textId="3A191903" w:rsidR="00F94CE8" w:rsidRPr="004F552F" w:rsidRDefault="00A077F8" w:rsidP="004F552F">
      <w:pPr>
        <w:tabs>
          <w:tab w:val="left" w:pos="360"/>
        </w:tabs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5F60B0" w:rsidRPr="005F60B0">
        <w:rPr>
          <w:rFonts w:ascii="Verdana" w:hAnsi="Verdana"/>
          <w:i/>
          <w:iCs/>
          <w:sz w:val="16"/>
          <w:szCs w:val="16"/>
        </w:rPr>
        <w:t>Automotive News</w:t>
      </w:r>
      <w:r w:rsidR="005F60B0">
        <w:rPr>
          <w:rFonts w:ascii="Verdana" w:hAnsi="Verdana"/>
          <w:sz w:val="16"/>
          <w:szCs w:val="16"/>
        </w:rPr>
        <w:t xml:space="preserve"> (DealerRater), June 2022</w:t>
      </w:r>
      <w:r>
        <w:rPr>
          <w:rFonts w:ascii="Verdana" w:hAnsi="Verdana"/>
          <w:sz w:val="16"/>
          <w:szCs w:val="16"/>
        </w:rPr>
        <w:t xml:space="preserve"> </w:t>
      </w: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04286244" w:rsidR="00F94CE8" w:rsidRDefault="0069629A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The J.D. Power 2022 U.S. Customer Service Index Study</w:t>
      </w:r>
      <w:r w:rsidR="006130FD" w:rsidRPr="006130FD">
        <w:rPr>
          <w:sz w:val="16"/>
          <w:szCs w:val="16"/>
          <w:vertAlign w:val="superscript"/>
        </w:rPr>
        <w:t>SM</w:t>
      </w:r>
      <w:r>
        <w:rPr>
          <w:sz w:val="20"/>
          <w:szCs w:val="20"/>
        </w:rPr>
        <w:t xml:space="preserve"> </w:t>
      </w:r>
      <w:r w:rsidR="006130FD">
        <w:rPr>
          <w:sz w:val="20"/>
          <w:szCs w:val="20"/>
        </w:rPr>
        <w:t>(conducted July</w:t>
      </w:r>
      <w:r w:rsidR="006130FD">
        <w:rPr>
          <w:rFonts w:ascii="Verdana" w:hAnsi="Verdana"/>
          <w:sz w:val="20"/>
          <w:szCs w:val="20"/>
        </w:rPr>
        <w:t>–</w:t>
      </w:r>
      <w:r w:rsidR="006130FD">
        <w:rPr>
          <w:sz w:val="20"/>
          <w:szCs w:val="20"/>
        </w:rPr>
        <w:t xml:space="preserve">December 2021) </w:t>
      </w:r>
      <w:r>
        <w:rPr>
          <w:sz w:val="20"/>
          <w:szCs w:val="20"/>
        </w:rPr>
        <w:t xml:space="preserve">reveals several interesting trends in the customer-dealership relationship when having a vehicle serviced. </w:t>
      </w:r>
    </w:p>
    <w:p w14:paraId="1322A494" w14:textId="33106E46" w:rsidR="0069629A" w:rsidRDefault="0069629A" w:rsidP="00F94CE8">
      <w:pPr>
        <w:pStyle w:val="NoSpacing"/>
        <w:contextualSpacing/>
        <w:rPr>
          <w:sz w:val="20"/>
          <w:szCs w:val="20"/>
        </w:rPr>
      </w:pPr>
    </w:p>
    <w:p w14:paraId="1863493A" w14:textId="1713CD60" w:rsidR="0069629A" w:rsidRDefault="0069629A" w:rsidP="0069629A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Supply-chain issues for parts and lack of qualified technicians</w:t>
      </w:r>
      <w:r w:rsidR="006130FD">
        <w:rPr>
          <w:sz w:val="20"/>
          <w:szCs w:val="20"/>
        </w:rPr>
        <w:t xml:space="preserve"> and more consumers wanting to keep their vehicles on the road because of the high prices for new and used vehicles ha</w:t>
      </w:r>
      <w:r w:rsidR="0080095C">
        <w:rPr>
          <w:sz w:val="20"/>
          <w:szCs w:val="20"/>
        </w:rPr>
        <w:t>ve</w:t>
      </w:r>
      <w:r w:rsidR="006130FD">
        <w:rPr>
          <w:sz w:val="20"/>
          <w:szCs w:val="20"/>
        </w:rPr>
        <w:t xml:space="preserve"> increased the time customers must wait for a service appointment. For owners of premium and mass-market vehicles, the wait times were 4.5 and 4.3 days, respectively, which are almost 24 hours more than</w:t>
      </w:r>
      <w:r w:rsidR="00D52B40">
        <w:rPr>
          <w:sz w:val="20"/>
          <w:szCs w:val="20"/>
        </w:rPr>
        <w:t xml:space="preserve"> reported</w:t>
      </w:r>
      <w:r w:rsidR="006130FD">
        <w:rPr>
          <w:sz w:val="20"/>
          <w:szCs w:val="20"/>
        </w:rPr>
        <w:t xml:space="preserve"> in the 2021 study.</w:t>
      </w:r>
    </w:p>
    <w:p w14:paraId="354F6D09" w14:textId="4316B9D4" w:rsidR="006130FD" w:rsidRDefault="006130FD" w:rsidP="006130FD">
      <w:pPr>
        <w:pStyle w:val="NoSpacing"/>
        <w:contextualSpacing/>
        <w:rPr>
          <w:sz w:val="20"/>
          <w:szCs w:val="20"/>
        </w:rPr>
      </w:pPr>
    </w:p>
    <w:p w14:paraId="59E3BF66" w14:textId="04C0C321" w:rsidR="006130FD" w:rsidRDefault="006130FD" w:rsidP="006130FD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Communication with the service department via various digital devices and channels </w:t>
      </w:r>
      <w:r w:rsidR="00D52B40">
        <w:rPr>
          <w:sz w:val="20"/>
          <w:szCs w:val="20"/>
        </w:rPr>
        <w:t>is</w:t>
      </w:r>
      <w:r>
        <w:rPr>
          <w:sz w:val="20"/>
          <w:szCs w:val="20"/>
        </w:rPr>
        <w:t xml:space="preserve"> increasing in popularity. 42% of survey respondents prefer text messages, 27% scheduling appointments online and 7% via a mobile app.</w:t>
      </w:r>
    </w:p>
    <w:p w14:paraId="6EB1958B" w14:textId="277052C8" w:rsidR="00881E7E" w:rsidRDefault="00881E7E" w:rsidP="00881E7E">
      <w:pPr>
        <w:pStyle w:val="NoSpacing"/>
        <w:contextualSpacing/>
        <w:rPr>
          <w:sz w:val="20"/>
          <w:szCs w:val="20"/>
        </w:rPr>
      </w:pPr>
    </w:p>
    <w:p w14:paraId="1B248B57" w14:textId="720A786A" w:rsidR="00881E7E" w:rsidRDefault="00881E7E" w:rsidP="00881E7E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Valet and mobile service appointments received a higher customer satisfaction score than taking the vehicle to a dealership</w:t>
      </w:r>
      <w:r w:rsidR="00D52B40">
        <w:rPr>
          <w:sz w:val="20"/>
          <w:szCs w:val="20"/>
        </w:rPr>
        <w:t>,</w:t>
      </w:r>
      <w:r>
        <w:rPr>
          <w:sz w:val="20"/>
          <w:szCs w:val="20"/>
        </w:rPr>
        <w:t xml:space="preserve"> at 866 and 847, respectively.</w:t>
      </w: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2518C7" w14:textId="77777777" w:rsidR="00881E7E" w:rsidRDefault="00881E7E" w:rsidP="00881E7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Top 10 Brands by Their Customer Service </w:t>
      </w:r>
    </w:p>
    <w:p w14:paraId="4AD187B3" w14:textId="2AEBC659" w:rsidR="00881E7E" w:rsidRPr="00E75E32" w:rsidRDefault="00881E7E" w:rsidP="00881E7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Satisfaction Index Score,</w:t>
      </w:r>
      <w:r w:rsidRPr="00E75E3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July–December 2021</w:t>
      </w:r>
    </w:p>
    <w:tbl>
      <w:tblPr>
        <w:tblW w:w="7423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67"/>
        <w:gridCol w:w="2448"/>
        <w:gridCol w:w="1260"/>
      </w:tblGrid>
      <w:tr w:rsidR="00881E7E" w:rsidRPr="00E75E32" w14:paraId="6CA1FE3E" w14:textId="77777777" w:rsidTr="00D52B40">
        <w:trPr>
          <w:jc w:val="center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34FBD69" w14:textId="216F80AC" w:rsidR="00881E7E" w:rsidRPr="00E75E32" w:rsidRDefault="00881E7E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Premium Brands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52247C1" w14:textId="65C95A88" w:rsidR="00881E7E" w:rsidRPr="00E75E32" w:rsidRDefault="00881E7E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</w:t>
            </w:r>
          </w:p>
        </w:tc>
        <w:tc>
          <w:tcPr>
            <w:tcW w:w="244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F276C17" w14:textId="7BA683B7" w:rsidR="00881E7E" w:rsidRPr="00E75E32" w:rsidRDefault="00881E7E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Mass-Market Brands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766A71F0" w14:textId="6C5C35E5" w:rsidR="00881E7E" w:rsidRPr="00E75E32" w:rsidRDefault="00881E7E" w:rsidP="00D52B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</w:t>
            </w:r>
          </w:p>
        </w:tc>
      </w:tr>
      <w:tr w:rsidR="00881E7E" w:rsidRPr="00E75E32" w14:paraId="23B72ED4" w14:textId="77777777" w:rsidTr="006B0C5C">
        <w:trPr>
          <w:jc w:val="center"/>
        </w:trPr>
        <w:tc>
          <w:tcPr>
            <w:tcW w:w="244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DA38CAF" w14:textId="3E9C9282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Lexus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2658C84D" w14:textId="295C4C3F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897</w:t>
            </w:r>
          </w:p>
        </w:tc>
        <w:tc>
          <w:tcPr>
            <w:tcW w:w="244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7090AB0" w14:textId="46EB8A6C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MINI</w:t>
            </w:r>
          </w:p>
        </w:tc>
        <w:tc>
          <w:tcPr>
            <w:tcW w:w="126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70EBDE2C" w14:textId="49C05D99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873</w:t>
            </w:r>
          </w:p>
        </w:tc>
      </w:tr>
      <w:tr w:rsidR="00881E7E" w:rsidRPr="00E75E32" w14:paraId="07A9E25D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58C43C5" w14:textId="6AC7B4B5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Cadillac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110C4B8" w14:textId="0F5590C8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B578CC0" w14:textId="6C2601CF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Buick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18BF8DA6" w14:textId="749E77E0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872</w:t>
            </w:r>
          </w:p>
        </w:tc>
      </w:tr>
      <w:tr w:rsidR="00881E7E" w:rsidRPr="00E75E32" w14:paraId="12ECAF39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B5DC116" w14:textId="7E5574C2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Porsche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6C51E6A" w14:textId="7F7A4F0B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32CB5E8" w14:textId="4F292B93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Mazda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54B403F" w14:textId="67BD6434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856</w:t>
            </w:r>
          </w:p>
        </w:tc>
      </w:tr>
      <w:tr w:rsidR="00881E7E" w:rsidRPr="00E75E32" w14:paraId="4A1088EB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D0ACB44" w14:textId="102545EF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Acura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4224B3F7" w14:textId="5F1654D6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518D06B" w14:textId="26C00F8A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Mitsubishi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400497F" w14:textId="7EEC47E5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854</w:t>
            </w:r>
          </w:p>
        </w:tc>
      </w:tr>
      <w:tr w:rsidR="00881E7E" w:rsidRPr="00E75E32" w14:paraId="45D59A38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15F1817" w14:textId="4E53C8BF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BMW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82C2B3B" w14:textId="64DCE091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1836076" w14:textId="7CB77748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GMC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818432B" w14:textId="488D0011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853</w:t>
            </w:r>
          </w:p>
        </w:tc>
      </w:tr>
      <w:tr w:rsidR="00881E7E" w:rsidRPr="00E75E32" w14:paraId="0730CF82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14:paraId="65803F93" w14:textId="19BF8C5D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Segment average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6D9F1" w:themeFill="text2" w:themeFillTint="33"/>
            <w:vAlign w:val="center"/>
          </w:tcPr>
          <w:p w14:paraId="0413E73D" w14:textId="19C8021B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A9AB3CE" w14:textId="26F75584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Chevrolet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BF0927E" w14:textId="77E259F6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852</w:t>
            </w:r>
          </w:p>
        </w:tc>
      </w:tr>
      <w:tr w:rsidR="00881E7E" w:rsidRPr="00E75E32" w14:paraId="67E08DEF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C405E4E" w14:textId="4AA91DC7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Audi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0C6E9C06" w14:textId="4721B5C8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A6442D0" w14:textId="70945C3B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Subaru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4363D49E" w14:textId="40E6FC52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852</w:t>
            </w:r>
          </w:p>
        </w:tc>
      </w:tr>
      <w:tr w:rsidR="00881E7E" w:rsidRPr="00E75E32" w14:paraId="00904739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0C0EC1E" w14:textId="591E90E1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Infiniti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242F0D52" w14:textId="3EBE89FD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C1ED523" w14:textId="0EA7C488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Nissan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5E36B19" w14:textId="17729254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849</w:t>
            </w:r>
          </w:p>
        </w:tc>
      </w:tr>
      <w:tr w:rsidR="00881E7E" w:rsidRPr="00E75E32" w14:paraId="494EEAFB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D55111C" w14:textId="6995C119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Jaguar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037E36EB" w14:textId="7A5A1A9E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C0D7D63" w14:textId="1BF2EDD9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#9: </w:t>
            </w:r>
            <w:r w:rsidR="006B0C5C">
              <w:rPr>
                <w:rFonts w:ascii="Verdana" w:eastAsia="Times New Roman" w:hAnsi="Verdana"/>
                <w:sz w:val="20"/>
                <w:szCs w:val="20"/>
              </w:rPr>
              <w:t>Toyota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C8FF24A" w14:textId="3E6376D5" w:rsidR="00881E7E" w:rsidRDefault="006B0C5C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848</w:t>
            </w:r>
          </w:p>
        </w:tc>
      </w:tr>
      <w:tr w:rsidR="00881E7E" w:rsidRPr="00E75E32" w14:paraId="4C1C44C7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1F5D8C2" w14:textId="0B18EF09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Lincoln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4F89363C" w14:textId="4036BBA4" w:rsidR="00881E7E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6D9F1" w:themeFill="text2" w:themeFillTint="33"/>
            <w:vAlign w:val="center"/>
          </w:tcPr>
          <w:p w14:paraId="5DF278A2" w14:textId="7B6E5F39" w:rsidR="00881E7E" w:rsidRDefault="006B0C5C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Segment average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A0AD1B8" w14:textId="6154B170" w:rsidR="00881E7E" w:rsidRDefault="006B0C5C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844</w:t>
            </w:r>
          </w:p>
        </w:tc>
      </w:tr>
      <w:tr w:rsidR="00881E7E" w:rsidRPr="00E75E32" w14:paraId="6B9AFAB8" w14:textId="77777777" w:rsidTr="006B0C5C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7617BE8" w14:textId="03D7117A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Volvo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71DB59A1" w14:textId="5C0AB382" w:rsidR="00881E7E" w:rsidRPr="00E75E32" w:rsidRDefault="00881E7E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70A7A7D" w14:textId="2358BFDF" w:rsidR="00881E7E" w:rsidRPr="00E75E32" w:rsidRDefault="006B0C5C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Dodge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809D0C6" w14:textId="4887754F" w:rsidR="00881E7E" w:rsidRPr="00E75E32" w:rsidRDefault="006B0C5C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840</w:t>
            </w:r>
          </w:p>
        </w:tc>
      </w:tr>
    </w:tbl>
    <w:p w14:paraId="339146ED" w14:textId="79BEC9AC" w:rsidR="00881E7E" w:rsidRDefault="006B0C5C" w:rsidP="006B0C5C">
      <w:pPr>
        <w:tabs>
          <w:tab w:val="left" w:pos="99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J.D. Power</w:t>
      </w:r>
      <w:r w:rsidR="00881E7E" w:rsidRPr="00D07612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March</w:t>
      </w:r>
      <w:r w:rsidR="00881E7E">
        <w:rPr>
          <w:rFonts w:ascii="Verdana" w:hAnsi="Verdana"/>
          <w:sz w:val="16"/>
          <w:szCs w:val="16"/>
        </w:rPr>
        <w:t xml:space="preserve"> 2022</w:t>
      </w:r>
    </w:p>
    <w:p w14:paraId="3266F5ED" w14:textId="73876453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20C2C8" w14:textId="77777777" w:rsidR="00881E7E" w:rsidRDefault="00881E7E" w:rsidP="00F94CE8">
      <w:pPr>
        <w:pStyle w:val="NoSpacing"/>
        <w:contextualSpacing/>
        <w:rPr>
          <w:sz w:val="20"/>
          <w:szCs w:val="20"/>
        </w:rPr>
      </w:pPr>
    </w:p>
    <w:p w14:paraId="4D5539E0" w14:textId="77777777" w:rsidR="006A6701" w:rsidRPr="007F1120" w:rsidRDefault="006A6701" w:rsidP="006A6701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Media Audit: Heavy Exposure to Media</w:t>
      </w:r>
      <w:r w:rsidRPr="007F1120">
        <w:rPr>
          <w:rFonts w:ascii="Verdana" w:hAnsi="Verdana"/>
          <w:b/>
          <w:sz w:val="20"/>
          <w:szCs w:val="20"/>
        </w:rPr>
        <w:t>,</w:t>
      </w:r>
      <w:r w:rsidRPr="007F11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</w:p>
    <w:tbl>
      <w:tblPr>
        <w:tblW w:w="49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300"/>
      </w:tblGrid>
      <w:tr w:rsidR="006A6701" w:rsidRPr="007F1120" w14:paraId="58A2E642" w14:textId="77777777" w:rsidTr="00A61483">
        <w:trPr>
          <w:jc w:val="center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99A1F63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Media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08B31114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Time</w:t>
            </w:r>
          </w:p>
        </w:tc>
      </w:tr>
      <w:tr w:rsidR="006A6701" w:rsidRPr="007F1120" w14:paraId="40B14BF4" w14:textId="77777777" w:rsidTr="00A61483">
        <w:trPr>
          <w:trHeight w:val="243"/>
          <w:jc w:val="center"/>
        </w:trPr>
        <w:tc>
          <w:tcPr>
            <w:tcW w:w="16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C686271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Radio</w:t>
            </w:r>
          </w:p>
        </w:tc>
        <w:tc>
          <w:tcPr>
            <w:tcW w:w="33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57B8A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6A6701" w:rsidRPr="007F1120" w14:paraId="23488F51" w14:textId="77777777" w:rsidTr="00A6148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CBB9BEA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595CC3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300+ minutes during an average day</w:t>
            </w:r>
          </w:p>
        </w:tc>
      </w:tr>
      <w:tr w:rsidR="006A6701" w:rsidRPr="007F1120" w14:paraId="056D9BE8" w14:textId="77777777" w:rsidTr="00A6148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1AECE40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Newspaper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2B2D17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60+ minutes during an average day</w:t>
            </w:r>
          </w:p>
        </w:tc>
      </w:tr>
      <w:tr w:rsidR="006A6701" w:rsidRPr="007F1120" w14:paraId="019FAC70" w14:textId="77777777" w:rsidTr="00A6148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02D0DF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Outdoor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13E0B0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200+ miles during an average week</w:t>
            </w:r>
          </w:p>
        </w:tc>
      </w:tr>
      <w:tr w:rsidR="006A6701" w:rsidRPr="007F1120" w14:paraId="56ADC270" w14:textId="77777777" w:rsidTr="00A6148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5A6F8C3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Direct mail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A233E5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75+ read weekly</w:t>
            </w:r>
          </w:p>
        </w:tc>
      </w:tr>
      <w:tr w:rsidR="006A6701" w:rsidRPr="007F1120" w14:paraId="2988922A" w14:textId="77777777" w:rsidTr="00A61483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3093241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Internet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D9D335" w14:textId="77777777" w:rsidR="006A6701" w:rsidRPr="00294183" w:rsidRDefault="006A6701" w:rsidP="00A61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6A6701" w:rsidRPr="007F1120" w14:paraId="41BC49C5" w14:textId="77777777" w:rsidTr="00A61483">
        <w:trPr>
          <w:trHeight w:val="243"/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3FAD3A2" w14:textId="15EC98E6" w:rsidR="006A6701" w:rsidRPr="00294183" w:rsidRDefault="006A6701" w:rsidP="006A67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Social media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95B137" w14:textId="456BA8A4" w:rsidR="006A6701" w:rsidRPr="00294183" w:rsidRDefault="006A6701" w:rsidP="006A670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</w:tbl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A8658B8" w14:textId="783C4227" w:rsidR="00EB5D8C" w:rsidRPr="00EB5D8C" w:rsidRDefault="00F94CE8" w:rsidP="00EB5D8C">
      <w:pPr>
        <w:spacing w:after="0" w:line="240" w:lineRule="auto"/>
        <w:contextualSpacing/>
        <w:mirrorIndents/>
        <w:rPr>
          <w:sz w:val="16"/>
          <w:szCs w:val="16"/>
        </w:rPr>
      </w:pPr>
      <w:r w:rsidRPr="00EB5D8C">
        <w:rPr>
          <w:rFonts w:ascii="Verdana" w:hAnsi="Verdana"/>
          <w:i/>
          <w:sz w:val="16"/>
          <w:szCs w:val="16"/>
        </w:rPr>
        <w:t>Sources:</w:t>
      </w:r>
      <w:r w:rsidRPr="00EB5D8C">
        <w:rPr>
          <w:rFonts w:ascii="Verdana" w:hAnsi="Verdana"/>
          <w:sz w:val="16"/>
          <w:szCs w:val="16"/>
        </w:rPr>
        <w:t xml:space="preserve"> </w:t>
      </w:r>
      <w:r w:rsidR="00C7412A" w:rsidRPr="00EB5D8C">
        <w:rPr>
          <w:sz w:val="16"/>
          <w:szCs w:val="16"/>
        </w:rPr>
        <w:t>BusinessWir</w:t>
      </w:r>
      <w:r w:rsidR="00EB5D8C" w:rsidRPr="00EB5D8C">
        <w:rPr>
          <w:sz w:val="16"/>
          <w:szCs w:val="16"/>
        </w:rPr>
        <w:t xml:space="preserve">e </w:t>
      </w:r>
      <w:r w:rsidRPr="00EB5D8C">
        <w:rPr>
          <w:rFonts w:ascii="Verdana" w:hAnsi="Verdana"/>
          <w:sz w:val="16"/>
          <w:szCs w:val="16"/>
        </w:rPr>
        <w:t xml:space="preserve">Website, </w:t>
      </w:r>
      <w:r w:rsidR="009D070C" w:rsidRPr="00EB5D8C">
        <w:rPr>
          <w:rFonts w:ascii="Verdana" w:hAnsi="Verdana"/>
          <w:sz w:val="16"/>
          <w:szCs w:val="16"/>
        </w:rPr>
        <w:t>6</w:t>
      </w:r>
      <w:r w:rsidR="00306D88" w:rsidRPr="00EB5D8C">
        <w:rPr>
          <w:rFonts w:ascii="Verdana" w:hAnsi="Verdana"/>
          <w:sz w:val="16"/>
          <w:szCs w:val="16"/>
        </w:rPr>
        <w:t>/</w:t>
      </w:r>
      <w:r w:rsidR="00AE6B2A" w:rsidRPr="00EB5D8C">
        <w:rPr>
          <w:rFonts w:ascii="Verdana" w:hAnsi="Verdana"/>
          <w:sz w:val="16"/>
          <w:szCs w:val="16"/>
        </w:rPr>
        <w:t>2</w:t>
      </w:r>
      <w:r w:rsidR="00C8473A" w:rsidRPr="00EB5D8C">
        <w:rPr>
          <w:rFonts w:ascii="Verdana" w:hAnsi="Verdana"/>
          <w:sz w:val="16"/>
          <w:szCs w:val="16"/>
        </w:rPr>
        <w:t>2</w:t>
      </w:r>
      <w:r w:rsidRPr="00EB5D8C">
        <w:rPr>
          <w:rFonts w:ascii="Verdana" w:hAnsi="Verdana"/>
          <w:sz w:val="16"/>
          <w:szCs w:val="16"/>
        </w:rPr>
        <w:t xml:space="preserve">; </w:t>
      </w:r>
      <w:r w:rsidR="00EB5D8C" w:rsidRPr="00EB5D8C">
        <w:rPr>
          <w:sz w:val="16"/>
          <w:szCs w:val="16"/>
        </w:rPr>
        <w:t xml:space="preserve">Cox Automotive </w:t>
      </w:r>
      <w:r w:rsidRPr="00EB5D8C">
        <w:rPr>
          <w:rFonts w:ascii="Verdana" w:hAnsi="Verdana"/>
          <w:sz w:val="16"/>
          <w:szCs w:val="16"/>
        </w:rPr>
        <w:t xml:space="preserve">Website, </w:t>
      </w:r>
      <w:r w:rsidR="009D070C" w:rsidRPr="00EB5D8C">
        <w:rPr>
          <w:rFonts w:ascii="Verdana" w:hAnsi="Verdana"/>
          <w:sz w:val="16"/>
          <w:szCs w:val="16"/>
        </w:rPr>
        <w:t>6</w:t>
      </w:r>
      <w:r w:rsidR="004E421A" w:rsidRPr="00EB5D8C">
        <w:rPr>
          <w:rFonts w:ascii="Verdana" w:hAnsi="Verdana"/>
          <w:sz w:val="16"/>
          <w:szCs w:val="16"/>
        </w:rPr>
        <w:t>/</w:t>
      </w:r>
      <w:r w:rsidR="00AE6B2A" w:rsidRPr="00EB5D8C">
        <w:rPr>
          <w:rFonts w:ascii="Verdana" w:hAnsi="Verdana"/>
          <w:sz w:val="16"/>
          <w:szCs w:val="16"/>
        </w:rPr>
        <w:t>2</w:t>
      </w:r>
      <w:r w:rsidR="00C8473A" w:rsidRPr="00EB5D8C">
        <w:rPr>
          <w:rFonts w:ascii="Verdana" w:hAnsi="Verdana"/>
          <w:sz w:val="16"/>
          <w:szCs w:val="16"/>
        </w:rPr>
        <w:t>2</w:t>
      </w:r>
      <w:r w:rsidRPr="00EB5D8C">
        <w:rPr>
          <w:rFonts w:ascii="Verdana" w:hAnsi="Verdana"/>
          <w:sz w:val="16"/>
          <w:szCs w:val="16"/>
        </w:rPr>
        <w:t xml:space="preserve">; </w:t>
      </w:r>
      <w:r w:rsidR="00EB5D8C" w:rsidRPr="00EB5D8C">
        <w:rPr>
          <w:sz w:val="16"/>
          <w:szCs w:val="16"/>
        </w:rPr>
        <w:t>National Automobile Dealers Association Website</w:t>
      </w:r>
      <w:r w:rsidR="00EB5D8C" w:rsidRPr="00EB5D8C">
        <w:rPr>
          <w:rFonts w:ascii="Verdana" w:hAnsi="Verdana"/>
          <w:sz w:val="16"/>
          <w:szCs w:val="16"/>
        </w:rPr>
        <w:t>, 6/22;</w:t>
      </w:r>
      <w:r w:rsidR="00EB5D8C" w:rsidRPr="00EB5D8C">
        <w:rPr>
          <w:sz w:val="16"/>
          <w:szCs w:val="16"/>
        </w:rPr>
        <w:t xml:space="preserve"> Morning Consult Website</w:t>
      </w:r>
      <w:r w:rsidR="00EB5D8C" w:rsidRPr="00EB5D8C">
        <w:rPr>
          <w:rFonts w:ascii="Verdana" w:hAnsi="Verdana"/>
          <w:sz w:val="16"/>
          <w:szCs w:val="16"/>
        </w:rPr>
        <w:t>, 6/22;</w:t>
      </w:r>
      <w:r w:rsidR="00EB5D8C" w:rsidRPr="00EB5D8C">
        <w:rPr>
          <w:sz w:val="16"/>
          <w:szCs w:val="16"/>
        </w:rPr>
        <w:t xml:space="preserve"> US Department of Transportation Website</w:t>
      </w:r>
      <w:r w:rsidR="00EB5D8C" w:rsidRPr="00EB5D8C">
        <w:rPr>
          <w:rFonts w:ascii="Verdana" w:hAnsi="Verdana"/>
          <w:sz w:val="16"/>
          <w:szCs w:val="16"/>
        </w:rPr>
        <w:t>, 6/22;</w:t>
      </w:r>
      <w:r w:rsidR="00EB5D8C" w:rsidRPr="00EB5D8C">
        <w:rPr>
          <w:sz w:val="16"/>
          <w:szCs w:val="16"/>
        </w:rPr>
        <w:t xml:space="preserve"> IMR/AutomotiveResearch.com Website</w:t>
      </w:r>
      <w:r w:rsidR="00EB5D8C">
        <w:rPr>
          <w:sz w:val="16"/>
          <w:szCs w:val="16"/>
        </w:rPr>
        <w:t>, 6/22;</w:t>
      </w:r>
      <w:r w:rsidR="00EB5D8C" w:rsidRPr="00EB5D8C">
        <w:rPr>
          <w:i/>
          <w:iCs/>
          <w:sz w:val="16"/>
          <w:szCs w:val="16"/>
        </w:rPr>
        <w:t xml:space="preserve"> Automotive News</w:t>
      </w:r>
      <w:r w:rsidR="00EB5D8C" w:rsidRPr="00EB5D8C">
        <w:rPr>
          <w:sz w:val="16"/>
          <w:szCs w:val="16"/>
        </w:rPr>
        <w:t xml:space="preserve"> Website</w:t>
      </w:r>
      <w:r w:rsidR="00EB5D8C" w:rsidRPr="00EB5D8C">
        <w:rPr>
          <w:rFonts w:ascii="Verdana" w:hAnsi="Verdana"/>
          <w:sz w:val="16"/>
          <w:szCs w:val="16"/>
        </w:rPr>
        <w:t>, 6/22;</w:t>
      </w:r>
      <w:r w:rsidR="00EB5D8C" w:rsidRPr="00EB5D8C">
        <w:rPr>
          <w:sz w:val="16"/>
          <w:szCs w:val="16"/>
        </w:rPr>
        <w:t xml:space="preserve"> The Media Audit Website</w:t>
      </w:r>
      <w:r w:rsidR="00EB5D8C" w:rsidRPr="00EB5D8C">
        <w:rPr>
          <w:rFonts w:ascii="Verdana" w:hAnsi="Verdana"/>
          <w:sz w:val="16"/>
          <w:szCs w:val="16"/>
        </w:rPr>
        <w:t>, 6/22;</w:t>
      </w:r>
      <w:r w:rsidR="00EB5D8C" w:rsidRPr="00EB5D8C">
        <w:rPr>
          <w:sz w:val="16"/>
          <w:szCs w:val="16"/>
        </w:rPr>
        <w:t xml:space="preserve"> J.D. Power Website</w:t>
      </w:r>
      <w:r w:rsidR="00EB5D8C" w:rsidRPr="00EB5D8C">
        <w:rPr>
          <w:rFonts w:ascii="Verdana" w:hAnsi="Verdana"/>
          <w:sz w:val="16"/>
          <w:szCs w:val="16"/>
        </w:rPr>
        <w:t>, 6/22</w:t>
      </w:r>
      <w:r w:rsidR="00EB5D8C">
        <w:rPr>
          <w:rFonts w:ascii="Verdana" w:hAnsi="Verdana"/>
          <w:sz w:val="16"/>
          <w:szCs w:val="16"/>
        </w:rPr>
        <w:t>.</w:t>
      </w:r>
    </w:p>
    <w:p w14:paraId="7EF64BA4" w14:textId="49022FD8" w:rsidR="00F94CE8" w:rsidRPr="00690E6A" w:rsidRDefault="00F94CE8" w:rsidP="00EB5D8C">
      <w:pPr>
        <w:spacing w:after="0" w:line="240" w:lineRule="auto"/>
        <w:contextualSpacing/>
        <w:mirrorIndents/>
        <w:rPr>
          <w:rFonts w:ascii="Verdana" w:hAnsi="Verdana"/>
          <w:sz w:val="16"/>
        </w:rPr>
      </w:pPr>
    </w:p>
    <w:p w14:paraId="49C0D793" w14:textId="09F4FB13" w:rsidR="00F94CE8" w:rsidRPr="00690E6A" w:rsidRDefault="00F94CE8" w:rsidP="00EB5D8C">
      <w:pPr>
        <w:spacing w:after="0" w:line="240" w:lineRule="auto"/>
        <w:contextualSpacing/>
        <w:mirrorIndents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9D070C">
        <w:rPr>
          <w:rFonts w:ascii="Verdana" w:hAnsi="Verdana"/>
          <w:sz w:val="16"/>
        </w:rPr>
        <w:t>June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EB5D8C">
      <w:pPr>
        <w:pStyle w:val="NoSpacing"/>
        <w:contextualSpacing/>
        <w:mirrorIndents/>
        <w:rPr>
          <w:sz w:val="20"/>
          <w:szCs w:val="20"/>
        </w:rPr>
      </w:pPr>
    </w:p>
    <w:p w14:paraId="56AD0CC7" w14:textId="00868E95" w:rsidR="00F94CE8" w:rsidRPr="00FF1EBA" w:rsidRDefault="00F94CE8" w:rsidP="00EB5D8C">
      <w:pPr>
        <w:pStyle w:val="NoSpacing"/>
        <w:contextualSpacing/>
        <w:mirrorIndents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7CD5" w14:textId="77777777" w:rsidR="009E1CE2" w:rsidRDefault="009E1CE2" w:rsidP="00260DE9">
      <w:pPr>
        <w:spacing w:after="0" w:line="240" w:lineRule="auto"/>
      </w:pPr>
      <w:r>
        <w:separator/>
      </w:r>
    </w:p>
  </w:endnote>
  <w:endnote w:type="continuationSeparator" w:id="0">
    <w:p w14:paraId="305E55C5" w14:textId="77777777" w:rsidR="009E1CE2" w:rsidRDefault="009E1CE2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D8DA" w14:textId="77777777" w:rsidR="009E1CE2" w:rsidRDefault="009E1CE2" w:rsidP="00260DE9">
      <w:pPr>
        <w:spacing w:after="0" w:line="240" w:lineRule="auto"/>
      </w:pPr>
      <w:r>
        <w:separator/>
      </w:r>
    </w:p>
  </w:footnote>
  <w:footnote w:type="continuationSeparator" w:id="0">
    <w:p w14:paraId="4A4ACD6B" w14:textId="77777777" w:rsidR="009E1CE2" w:rsidRDefault="009E1CE2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AAF"/>
    <w:multiLevelType w:val="hybridMultilevel"/>
    <w:tmpl w:val="760AF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15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633E"/>
    <w:rsid w:val="000577D6"/>
    <w:rsid w:val="0007198D"/>
    <w:rsid w:val="00082CAE"/>
    <w:rsid w:val="000830D7"/>
    <w:rsid w:val="000C4B96"/>
    <w:rsid w:val="000C7821"/>
    <w:rsid w:val="000D2F3A"/>
    <w:rsid w:val="000D7C07"/>
    <w:rsid w:val="00112A85"/>
    <w:rsid w:val="0012010F"/>
    <w:rsid w:val="00142DEE"/>
    <w:rsid w:val="001531C2"/>
    <w:rsid w:val="00154344"/>
    <w:rsid w:val="00160474"/>
    <w:rsid w:val="00161442"/>
    <w:rsid w:val="0016492E"/>
    <w:rsid w:val="00177D0F"/>
    <w:rsid w:val="00180BF8"/>
    <w:rsid w:val="00194387"/>
    <w:rsid w:val="001A05E7"/>
    <w:rsid w:val="001B64B0"/>
    <w:rsid w:val="001C2831"/>
    <w:rsid w:val="001D53A3"/>
    <w:rsid w:val="001F5DFA"/>
    <w:rsid w:val="00235E14"/>
    <w:rsid w:val="00256AFE"/>
    <w:rsid w:val="00260DE9"/>
    <w:rsid w:val="00294474"/>
    <w:rsid w:val="002A4A73"/>
    <w:rsid w:val="002A6286"/>
    <w:rsid w:val="002B0BCF"/>
    <w:rsid w:val="002B3E1A"/>
    <w:rsid w:val="002B428E"/>
    <w:rsid w:val="002E1F38"/>
    <w:rsid w:val="00306D88"/>
    <w:rsid w:val="00327C87"/>
    <w:rsid w:val="003630CD"/>
    <w:rsid w:val="0038459A"/>
    <w:rsid w:val="00385683"/>
    <w:rsid w:val="003B417B"/>
    <w:rsid w:val="003C15ED"/>
    <w:rsid w:val="003D6958"/>
    <w:rsid w:val="003E2E9B"/>
    <w:rsid w:val="003F0FE1"/>
    <w:rsid w:val="003F16E4"/>
    <w:rsid w:val="003F6B5B"/>
    <w:rsid w:val="00400606"/>
    <w:rsid w:val="00412473"/>
    <w:rsid w:val="00422A36"/>
    <w:rsid w:val="00424E79"/>
    <w:rsid w:val="00425317"/>
    <w:rsid w:val="004319C6"/>
    <w:rsid w:val="00432903"/>
    <w:rsid w:val="00445E3D"/>
    <w:rsid w:val="0045212B"/>
    <w:rsid w:val="0045797F"/>
    <w:rsid w:val="0046193A"/>
    <w:rsid w:val="0048482F"/>
    <w:rsid w:val="00493426"/>
    <w:rsid w:val="00494CA5"/>
    <w:rsid w:val="004D4671"/>
    <w:rsid w:val="004D4829"/>
    <w:rsid w:val="004E421A"/>
    <w:rsid w:val="004F552F"/>
    <w:rsid w:val="004F7F58"/>
    <w:rsid w:val="0050254D"/>
    <w:rsid w:val="00504A26"/>
    <w:rsid w:val="00513C4F"/>
    <w:rsid w:val="00520014"/>
    <w:rsid w:val="00525939"/>
    <w:rsid w:val="005610BD"/>
    <w:rsid w:val="0056258A"/>
    <w:rsid w:val="0057012D"/>
    <w:rsid w:val="00571D6A"/>
    <w:rsid w:val="00592462"/>
    <w:rsid w:val="00596832"/>
    <w:rsid w:val="005B4393"/>
    <w:rsid w:val="005C3BA5"/>
    <w:rsid w:val="005F19E9"/>
    <w:rsid w:val="005F60B0"/>
    <w:rsid w:val="00600CFD"/>
    <w:rsid w:val="00601F2D"/>
    <w:rsid w:val="006130FD"/>
    <w:rsid w:val="00635FF3"/>
    <w:rsid w:val="00637CB9"/>
    <w:rsid w:val="00650A6D"/>
    <w:rsid w:val="006557DC"/>
    <w:rsid w:val="00657B52"/>
    <w:rsid w:val="0067102D"/>
    <w:rsid w:val="0068770F"/>
    <w:rsid w:val="0069436D"/>
    <w:rsid w:val="0069629A"/>
    <w:rsid w:val="006A6701"/>
    <w:rsid w:val="006B0C5C"/>
    <w:rsid w:val="006B3A10"/>
    <w:rsid w:val="006D1053"/>
    <w:rsid w:val="006E6275"/>
    <w:rsid w:val="00707104"/>
    <w:rsid w:val="007139CE"/>
    <w:rsid w:val="007257B5"/>
    <w:rsid w:val="007651A4"/>
    <w:rsid w:val="007862CF"/>
    <w:rsid w:val="00793BD0"/>
    <w:rsid w:val="0079766E"/>
    <w:rsid w:val="007B6E29"/>
    <w:rsid w:val="007D3185"/>
    <w:rsid w:val="0080095C"/>
    <w:rsid w:val="008058FD"/>
    <w:rsid w:val="0082749D"/>
    <w:rsid w:val="00875007"/>
    <w:rsid w:val="00881E7E"/>
    <w:rsid w:val="0088350D"/>
    <w:rsid w:val="0088505B"/>
    <w:rsid w:val="00890B7A"/>
    <w:rsid w:val="0089324F"/>
    <w:rsid w:val="009229BB"/>
    <w:rsid w:val="00923C8D"/>
    <w:rsid w:val="00931A86"/>
    <w:rsid w:val="009419F0"/>
    <w:rsid w:val="0097289D"/>
    <w:rsid w:val="0097480E"/>
    <w:rsid w:val="00984698"/>
    <w:rsid w:val="00984DF0"/>
    <w:rsid w:val="0099377F"/>
    <w:rsid w:val="00995DAA"/>
    <w:rsid w:val="009A3728"/>
    <w:rsid w:val="009A3EBE"/>
    <w:rsid w:val="009A4526"/>
    <w:rsid w:val="009A6479"/>
    <w:rsid w:val="009C6A17"/>
    <w:rsid w:val="009D070C"/>
    <w:rsid w:val="009E1CE2"/>
    <w:rsid w:val="009F3C8C"/>
    <w:rsid w:val="00A00453"/>
    <w:rsid w:val="00A031C1"/>
    <w:rsid w:val="00A077F8"/>
    <w:rsid w:val="00A12BB9"/>
    <w:rsid w:val="00A14346"/>
    <w:rsid w:val="00A30B01"/>
    <w:rsid w:val="00A318B6"/>
    <w:rsid w:val="00A55AAE"/>
    <w:rsid w:val="00A55AB4"/>
    <w:rsid w:val="00A61F9B"/>
    <w:rsid w:val="00A64385"/>
    <w:rsid w:val="00A71026"/>
    <w:rsid w:val="00A820F9"/>
    <w:rsid w:val="00A874C0"/>
    <w:rsid w:val="00AB01D8"/>
    <w:rsid w:val="00AE087E"/>
    <w:rsid w:val="00AE1F72"/>
    <w:rsid w:val="00AE6B2A"/>
    <w:rsid w:val="00AE71B7"/>
    <w:rsid w:val="00B12A59"/>
    <w:rsid w:val="00B14875"/>
    <w:rsid w:val="00B14CB2"/>
    <w:rsid w:val="00B204D0"/>
    <w:rsid w:val="00B33B46"/>
    <w:rsid w:val="00B342D2"/>
    <w:rsid w:val="00B36421"/>
    <w:rsid w:val="00B4203D"/>
    <w:rsid w:val="00B6421F"/>
    <w:rsid w:val="00BC0DB8"/>
    <w:rsid w:val="00BC2144"/>
    <w:rsid w:val="00BC4D11"/>
    <w:rsid w:val="00BE4BEC"/>
    <w:rsid w:val="00BE6652"/>
    <w:rsid w:val="00C11931"/>
    <w:rsid w:val="00C147E3"/>
    <w:rsid w:val="00C20878"/>
    <w:rsid w:val="00C21D13"/>
    <w:rsid w:val="00C412D4"/>
    <w:rsid w:val="00C537BA"/>
    <w:rsid w:val="00C54007"/>
    <w:rsid w:val="00C65128"/>
    <w:rsid w:val="00C7412A"/>
    <w:rsid w:val="00C77B54"/>
    <w:rsid w:val="00C8473A"/>
    <w:rsid w:val="00C96F52"/>
    <w:rsid w:val="00CE3B31"/>
    <w:rsid w:val="00CE7889"/>
    <w:rsid w:val="00D069C6"/>
    <w:rsid w:val="00D16971"/>
    <w:rsid w:val="00D17DB0"/>
    <w:rsid w:val="00D22E81"/>
    <w:rsid w:val="00D26223"/>
    <w:rsid w:val="00D37649"/>
    <w:rsid w:val="00D52B40"/>
    <w:rsid w:val="00D8342E"/>
    <w:rsid w:val="00D93E11"/>
    <w:rsid w:val="00DA1474"/>
    <w:rsid w:val="00DC4F7C"/>
    <w:rsid w:val="00DC6E55"/>
    <w:rsid w:val="00DD5A41"/>
    <w:rsid w:val="00DE0FDD"/>
    <w:rsid w:val="00E13B28"/>
    <w:rsid w:val="00E20F93"/>
    <w:rsid w:val="00E21202"/>
    <w:rsid w:val="00E31C88"/>
    <w:rsid w:val="00E45F8D"/>
    <w:rsid w:val="00E80C14"/>
    <w:rsid w:val="00E926A9"/>
    <w:rsid w:val="00EB5D8C"/>
    <w:rsid w:val="00ED42A4"/>
    <w:rsid w:val="00EF6801"/>
    <w:rsid w:val="00EF6AB9"/>
    <w:rsid w:val="00F056FA"/>
    <w:rsid w:val="00F2704A"/>
    <w:rsid w:val="00F66EA8"/>
    <w:rsid w:val="00F70E29"/>
    <w:rsid w:val="00F750AB"/>
    <w:rsid w:val="00F94CE8"/>
    <w:rsid w:val="00FA495C"/>
    <w:rsid w:val="00FB418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2022-06-25T20:52:00Z</dcterms:created>
  <dcterms:modified xsi:type="dcterms:W3CDTF">2022-06-25T20:52:00Z</dcterms:modified>
</cp:coreProperties>
</file>