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425A" w14:textId="4B4C1202" w:rsidR="00F94CE8" w:rsidRPr="005F19E9" w:rsidRDefault="00303405" w:rsidP="00C11931">
      <w:pPr>
        <w:pStyle w:val="NoSpacing"/>
        <w:contextualSpacing/>
        <w:mirrorIndents/>
        <w:rPr>
          <w:rFonts w:ascii="Verdana" w:hAnsi="Verdana"/>
          <w:b/>
          <w:bCs/>
          <w:color w:val="FF0000"/>
          <w:sz w:val="20"/>
          <w:szCs w:val="20"/>
        </w:rPr>
      </w:pPr>
      <w:r>
        <w:rPr>
          <w:rFonts w:ascii="Verdana" w:hAnsi="Verdana"/>
          <w:b/>
          <w:bCs/>
          <w:color w:val="FF0000"/>
          <w:sz w:val="20"/>
          <w:szCs w:val="20"/>
        </w:rPr>
        <w:t>Outdoor Living</w:t>
      </w:r>
      <w:r w:rsidR="005F19E9" w:rsidRPr="005F19E9">
        <w:rPr>
          <w:rFonts w:ascii="Verdana" w:hAnsi="Verdana"/>
          <w:b/>
          <w:bCs/>
          <w:color w:val="FF0000"/>
          <w:sz w:val="20"/>
          <w:szCs w:val="20"/>
        </w:rPr>
        <w:t xml:space="preserve"> Market 2022</w:t>
      </w:r>
    </w:p>
    <w:p w14:paraId="11DB62D2" w14:textId="77777777" w:rsidR="00F94CE8" w:rsidRPr="002B7B47" w:rsidRDefault="00F94CE8" w:rsidP="002B7B47">
      <w:pPr>
        <w:pStyle w:val="NoSpacing"/>
        <w:contextualSpacing/>
        <w:mirrorIndents/>
        <w:rPr>
          <w:rFonts w:ascii="Verdana" w:hAnsi="Verdana"/>
          <w:sz w:val="20"/>
          <w:szCs w:val="20"/>
        </w:rPr>
      </w:pPr>
    </w:p>
    <w:p w14:paraId="65DDE793" w14:textId="77777777" w:rsidR="002B7B47" w:rsidRPr="007A6B4E" w:rsidRDefault="002B7B47" w:rsidP="007A6B4E">
      <w:pPr>
        <w:spacing w:after="0" w:line="240" w:lineRule="auto"/>
        <w:contextualSpacing/>
        <w:mirrorIndents/>
        <w:jc w:val="center"/>
        <w:rPr>
          <w:rFonts w:ascii="Verdana" w:hAnsi="Verdana"/>
          <w:b/>
          <w:bCs/>
          <w:color w:val="0070C0"/>
          <w:sz w:val="20"/>
          <w:szCs w:val="20"/>
        </w:rPr>
      </w:pPr>
      <w:r w:rsidRPr="007A6B4E">
        <w:rPr>
          <w:rFonts w:ascii="Verdana" w:hAnsi="Verdana"/>
          <w:b/>
          <w:bCs/>
          <w:color w:val="0070C0"/>
          <w:sz w:val="20"/>
          <w:szCs w:val="20"/>
        </w:rPr>
        <w:t>Riding a Wave of Success</w:t>
      </w:r>
    </w:p>
    <w:p w14:paraId="0D09CE6B" w14:textId="77777777" w:rsidR="002B7B47" w:rsidRPr="002B7B47" w:rsidRDefault="002B7B47" w:rsidP="002B7B47">
      <w:pPr>
        <w:spacing w:after="0" w:line="240" w:lineRule="auto"/>
        <w:contextualSpacing/>
        <w:mirrorIndents/>
        <w:rPr>
          <w:rFonts w:ascii="Verdana" w:hAnsi="Verdana"/>
          <w:sz w:val="20"/>
          <w:szCs w:val="20"/>
        </w:rPr>
      </w:pPr>
    </w:p>
    <w:p w14:paraId="74341DEA" w14:textId="60B66B88" w:rsidR="007A6B4E" w:rsidRDefault="00E93CC0" w:rsidP="002B7B47">
      <w:pPr>
        <w:spacing w:after="0" w:line="240" w:lineRule="auto"/>
        <w:contextualSpacing/>
        <w:mirrorIndents/>
        <w:rPr>
          <w:rFonts w:ascii="Verdana" w:hAnsi="Verdana"/>
          <w:sz w:val="20"/>
          <w:szCs w:val="20"/>
        </w:rPr>
      </w:pPr>
      <w:r>
        <w:rPr>
          <w:rFonts w:ascii="Verdana" w:hAnsi="Verdana"/>
          <w:sz w:val="20"/>
          <w:szCs w:val="20"/>
        </w:rPr>
        <w:t>Swimming pool, hot tub and spa dealers and builders have been enjoying a robust market since people had to stay at home during summer 2020 and decided to upgrade their outdoor living spaces, which also include furniture, outdoor kitchens and grills.</w:t>
      </w:r>
    </w:p>
    <w:p w14:paraId="76BB42EB" w14:textId="77777777" w:rsidR="007A6B4E" w:rsidRDefault="007A6B4E" w:rsidP="002B7B47">
      <w:pPr>
        <w:spacing w:after="0" w:line="240" w:lineRule="auto"/>
        <w:contextualSpacing/>
        <w:mirrorIndents/>
        <w:rPr>
          <w:rFonts w:ascii="Verdana" w:hAnsi="Verdana"/>
          <w:sz w:val="20"/>
          <w:szCs w:val="20"/>
        </w:rPr>
      </w:pPr>
    </w:p>
    <w:p w14:paraId="56B1F2D7" w14:textId="5645D78E" w:rsidR="007A6B4E" w:rsidRDefault="00E93CC0" w:rsidP="002B7B47">
      <w:pPr>
        <w:spacing w:after="0" w:line="240" w:lineRule="auto"/>
        <w:contextualSpacing/>
        <w:mirrorIndents/>
        <w:rPr>
          <w:rFonts w:ascii="Verdana" w:hAnsi="Verdana"/>
          <w:sz w:val="20"/>
          <w:szCs w:val="20"/>
        </w:rPr>
      </w:pPr>
      <w:r>
        <w:rPr>
          <w:rFonts w:ascii="Verdana" w:hAnsi="Verdana"/>
          <w:sz w:val="20"/>
          <w:szCs w:val="20"/>
        </w:rPr>
        <w:t xml:space="preserve">Analysis of anecdotal comments in a June 2022 article in </w:t>
      </w:r>
      <w:r w:rsidRPr="00874AAE">
        <w:rPr>
          <w:rFonts w:ascii="Verdana" w:hAnsi="Verdana"/>
          <w:i/>
          <w:iCs/>
          <w:sz w:val="20"/>
          <w:szCs w:val="20"/>
        </w:rPr>
        <w:t>Aqua</w:t>
      </w:r>
      <w:r>
        <w:rPr>
          <w:rFonts w:ascii="Verdana" w:hAnsi="Verdana"/>
          <w:sz w:val="20"/>
          <w:szCs w:val="20"/>
        </w:rPr>
        <w:t xml:space="preserve"> magazine reveals consumer demand for these products and services ha</w:t>
      </w:r>
      <w:r w:rsidR="00943026">
        <w:rPr>
          <w:rFonts w:ascii="Verdana" w:hAnsi="Verdana"/>
          <w:sz w:val="20"/>
          <w:szCs w:val="20"/>
        </w:rPr>
        <w:t>s</w:t>
      </w:r>
      <w:r>
        <w:rPr>
          <w:rFonts w:ascii="Verdana" w:hAnsi="Verdana"/>
          <w:sz w:val="20"/>
          <w:szCs w:val="20"/>
        </w:rPr>
        <w:t xml:space="preserve"> moderated. Many dealers and builders agree a combination of more travel and clearing the backlog of projects are the primary factors.</w:t>
      </w:r>
    </w:p>
    <w:p w14:paraId="67FA3A00" w14:textId="05900AF0" w:rsidR="00E93CC0" w:rsidRDefault="00E93CC0" w:rsidP="002B7B47">
      <w:pPr>
        <w:spacing w:after="0" w:line="240" w:lineRule="auto"/>
        <w:contextualSpacing/>
        <w:mirrorIndents/>
        <w:rPr>
          <w:rFonts w:ascii="Verdana" w:hAnsi="Verdana"/>
          <w:sz w:val="20"/>
          <w:szCs w:val="20"/>
        </w:rPr>
      </w:pPr>
    </w:p>
    <w:p w14:paraId="0200531C" w14:textId="385D25F5" w:rsidR="00E93CC0" w:rsidRDefault="00E93CC0" w:rsidP="002B7B47">
      <w:pPr>
        <w:spacing w:after="0" w:line="240" w:lineRule="auto"/>
        <w:contextualSpacing/>
        <w:mirrorIndents/>
        <w:rPr>
          <w:rFonts w:ascii="Verdana" w:hAnsi="Verdana"/>
          <w:sz w:val="20"/>
          <w:szCs w:val="20"/>
        </w:rPr>
      </w:pPr>
      <w:r>
        <w:rPr>
          <w:rFonts w:ascii="Verdana" w:hAnsi="Verdana"/>
          <w:sz w:val="20"/>
          <w:szCs w:val="20"/>
        </w:rPr>
        <w:t xml:space="preserve">Inflation and the </w:t>
      </w:r>
      <w:r w:rsidR="00AF1596">
        <w:rPr>
          <w:rFonts w:ascii="Verdana" w:hAnsi="Verdana"/>
          <w:sz w:val="20"/>
          <w:szCs w:val="20"/>
        </w:rPr>
        <w:t xml:space="preserve">chaotic housing market are also contributing. </w:t>
      </w:r>
      <w:r w:rsidR="00841148">
        <w:rPr>
          <w:rFonts w:ascii="Verdana" w:hAnsi="Verdana"/>
          <w:sz w:val="20"/>
          <w:szCs w:val="20"/>
        </w:rPr>
        <w:t>Many</w:t>
      </w:r>
      <w:r w:rsidR="00AF1596">
        <w:rPr>
          <w:rFonts w:ascii="Verdana" w:hAnsi="Verdana"/>
          <w:sz w:val="20"/>
          <w:szCs w:val="20"/>
        </w:rPr>
        <w:t xml:space="preserve"> dealers and builders report fewer leads, especially those serving customers with low- to middle-household incomes. Project leads from more affluent customers haven’t changed much.</w:t>
      </w:r>
    </w:p>
    <w:p w14:paraId="62600449" w14:textId="18915271" w:rsidR="00AF1596" w:rsidRDefault="00AF1596" w:rsidP="002B7B47">
      <w:pPr>
        <w:spacing w:after="0" w:line="240" w:lineRule="auto"/>
        <w:contextualSpacing/>
        <w:mirrorIndents/>
        <w:rPr>
          <w:rFonts w:ascii="Verdana" w:hAnsi="Verdana"/>
          <w:sz w:val="20"/>
          <w:szCs w:val="20"/>
        </w:rPr>
      </w:pPr>
    </w:p>
    <w:p w14:paraId="1A76E7F8" w14:textId="62B26DF2" w:rsidR="00AE6AAD" w:rsidRDefault="00AE6AAD" w:rsidP="00A75C53">
      <w:pPr>
        <w:pStyle w:val="Header"/>
        <w:contextualSpacing/>
        <w:jc w:val="center"/>
        <w:rPr>
          <w:rFonts w:ascii="Verdana" w:hAnsi="Verdana"/>
          <w:b/>
          <w:sz w:val="20"/>
          <w:szCs w:val="20"/>
        </w:rPr>
      </w:pPr>
      <w:r>
        <w:rPr>
          <w:rFonts w:ascii="Verdana" w:hAnsi="Verdana"/>
          <w:b/>
          <w:sz w:val="20"/>
          <w:szCs w:val="20"/>
        </w:rPr>
        <w:t xml:space="preserve">How Surveyed Pool and Spa </w:t>
      </w:r>
      <w:r w:rsidR="00513E27">
        <w:rPr>
          <w:rFonts w:ascii="Verdana" w:hAnsi="Verdana"/>
          <w:b/>
          <w:sz w:val="20"/>
          <w:szCs w:val="20"/>
        </w:rPr>
        <w:t>Retailers</w:t>
      </w:r>
      <w:r>
        <w:rPr>
          <w:rFonts w:ascii="Verdana" w:hAnsi="Verdana"/>
          <w:b/>
          <w:sz w:val="20"/>
          <w:szCs w:val="20"/>
        </w:rPr>
        <w:t xml:space="preserve"> Feel </w:t>
      </w:r>
    </w:p>
    <w:p w14:paraId="4B048986" w14:textId="4B279A04" w:rsidR="00A75C53" w:rsidRPr="00CC1ECE" w:rsidRDefault="00AE6AAD" w:rsidP="00AE6AAD">
      <w:pPr>
        <w:pStyle w:val="Header"/>
        <w:contextualSpacing/>
        <w:jc w:val="center"/>
        <w:rPr>
          <w:rFonts w:ascii="Verdana" w:hAnsi="Verdana"/>
          <w:b/>
          <w:sz w:val="20"/>
          <w:szCs w:val="20"/>
        </w:rPr>
      </w:pPr>
      <w:r>
        <w:rPr>
          <w:rFonts w:ascii="Verdana" w:hAnsi="Verdana"/>
          <w:b/>
          <w:sz w:val="20"/>
          <w:szCs w:val="20"/>
        </w:rPr>
        <w:t xml:space="preserve">About the Future of Their Business, </w:t>
      </w:r>
      <w:r w:rsidR="00513E27">
        <w:rPr>
          <w:rFonts w:ascii="Verdana" w:hAnsi="Verdana"/>
          <w:b/>
          <w:sz w:val="20"/>
          <w:szCs w:val="20"/>
        </w:rPr>
        <w:t>202</w:t>
      </w:r>
      <w:r w:rsidR="002331F3">
        <w:rPr>
          <w:rFonts w:ascii="Verdana" w:hAnsi="Verdana"/>
          <w:b/>
          <w:sz w:val="20"/>
          <w:szCs w:val="20"/>
        </w:rPr>
        <w:t>2</w:t>
      </w:r>
    </w:p>
    <w:tbl>
      <w:tblPr>
        <w:tblW w:w="7942" w:type="dxa"/>
        <w:jc w:val="center"/>
        <w:tblBorders>
          <w:left w:val="single" w:sz="8" w:space="0" w:color="000000"/>
          <w:right w:val="single" w:sz="8" w:space="0" w:color="000000"/>
        </w:tblBorders>
        <w:tblLayout w:type="fixed"/>
        <w:tblLook w:val="0000" w:firstRow="0" w:lastRow="0" w:firstColumn="0" w:lastColumn="0" w:noHBand="0" w:noVBand="0"/>
      </w:tblPr>
      <w:tblGrid>
        <w:gridCol w:w="2874"/>
        <w:gridCol w:w="1267"/>
        <w:gridCol w:w="1267"/>
        <w:gridCol w:w="1267"/>
        <w:gridCol w:w="1267"/>
      </w:tblGrid>
      <w:tr w:rsidR="00A75C53" w:rsidRPr="00CC1ECE" w14:paraId="1B1CA73F" w14:textId="77777777" w:rsidTr="00912FCD">
        <w:trPr>
          <w:trHeight w:val="243"/>
          <w:jc w:val="center"/>
        </w:trPr>
        <w:tc>
          <w:tcPr>
            <w:tcW w:w="2874" w:type="dxa"/>
            <w:tcBorders>
              <w:top w:val="single" w:sz="12" w:space="0" w:color="auto"/>
              <w:left w:val="single" w:sz="12" w:space="0" w:color="auto"/>
              <w:bottom w:val="single" w:sz="18" w:space="0" w:color="C0504D" w:themeColor="accent2"/>
              <w:right w:val="single" w:sz="18" w:space="0" w:color="0070C0"/>
            </w:tcBorders>
            <w:shd w:val="clear" w:color="auto" w:fill="auto"/>
            <w:vAlign w:val="center"/>
          </w:tcPr>
          <w:p w14:paraId="081CBAA4" w14:textId="4CA9BEC7" w:rsidR="00A75C53" w:rsidRPr="00CC1ECE" w:rsidRDefault="00AE6AAD" w:rsidP="00A61483">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Outlook</w:t>
            </w:r>
          </w:p>
        </w:tc>
        <w:tc>
          <w:tcPr>
            <w:tcW w:w="1267" w:type="dxa"/>
            <w:tcBorders>
              <w:top w:val="single" w:sz="12" w:space="0" w:color="auto"/>
              <w:left w:val="single" w:sz="18" w:space="0" w:color="0070C0"/>
              <w:bottom w:val="single" w:sz="18" w:space="0" w:color="C0504D" w:themeColor="accent2"/>
              <w:right w:val="single" w:sz="8" w:space="0" w:color="0070C0"/>
            </w:tcBorders>
            <w:vAlign w:val="center"/>
          </w:tcPr>
          <w:p w14:paraId="5130DAB4" w14:textId="02AE119B" w:rsidR="00A75C53" w:rsidRDefault="00AE6AAD" w:rsidP="00A61483">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2018</w:t>
            </w:r>
          </w:p>
        </w:tc>
        <w:tc>
          <w:tcPr>
            <w:tcW w:w="1267" w:type="dxa"/>
            <w:tcBorders>
              <w:top w:val="single" w:sz="12" w:space="0" w:color="auto"/>
              <w:left w:val="single" w:sz="8" w:space="0" w:color="0070C0"/>
              <w:bottom w:val="single" w:sz="18" w:space="0" w:color="C0504D" w:themeColor="accent2"/>
              <w:right w:val="single" w:sz="8" w:space="0" w:color="0070C0"/>
            </w:tcBorders>
            <w:vAlign w:val="center"/>
          </w:tcPr>
          <w:p w14:paraId="5A42FCE9" w14:textId="04A93744" w:rsidR="00A75C53" w:rsidRDefault="00AE6AAD" w:rsidP="00A61483">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2019</w:t>
            </w:r>
          </w:p>
        </w:tc>
        <w:tc>
          <w:tcPr>
            <w:tcW w:w="1267" w:type="dxa"/>
            <w:tcBorders>
              <w:top w:val="single" w:sz="12" w:space="0" w:color="auto"/>
              <w:left w:val="single" w:sz="8" w:space="0" w:color="0070C0"/>
              <w:bottom w:val="single" w:sz="18" w:space="0" w:color="C0504D" w:themeColor="accent2"/>
              <w:right w:val="single" w:sz="8" w:space="0" w:color="0070C0"/>
            </w:tcBorders>
            <w:shd w:val="clear" w:color="auto" w:fill="auto"/>
            <w:vAlign w:val="center"/>
          </w:tcPr>
          <w:p w14:paraId="56ED6876" w14:textId="20312652" w:rsidR="00A75C53" w:rsidRPr="00CC1ECE" w:rsidRDefault="00AE6AAD" w:rsidP="00A61483">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2020</w:t>
            </w:r>
          </w:p>
        </w:tc>
        <w:tc>
          <w:tcPr>
            <w:tcW w:w="1267" w:type="dxa"/>
            <w:tcBorders>
              <w:top w:val="single" w:sz="12" w:space="0" w:color="auto"/>
              <w:left w:val="single" w:sz="8" w:space="0" w:color="0070C0"/>
              <w:bottom w:val="single" w:sz="18" w:space="0" w:color="C0504D" w:themeColor="accent2"/>
              <w:right w:val="single" w:sz="12" w:space="0" w:color="auto"/>
            </w:tcBorders>
            <w:shd w:val="clear" w:color="auto" w:fill="auto"/>
            <w:vAlign w:val="center"/>
          </w:tcPr>
          <w:p w14:paraId="6CCD4D55" w14:textId="5CA4BE28" w:rsidR="00A75C53" w:rsidRPr="00CC1ECE" w:rsidRDefault="00AE6AAD" w:rsidP="00A61483">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2021</w:t>
            </w:r>
          </w:p>
        </w:tc>
      </w:tr>
      <w:tr w:rsidR="00A75C53" w:rsidRPr="00CC1ECE" w14:paraId="10D484B3" w14:textId="77777777" w:rsidTr="00237E69">
        <w:trPr>
          <w:trHeight w:val="243"/>
          <w:jc w:val="center"/>
        </w:trPr>
        <w:tc>
          <w:tcPr>
            <w:tcW w:w="2874" w:type="dxa"/>
            <w:tcBorders>
              <w:top w:val="single" w:sz="18" w:space="0" w:color="C0504D" w:themeColor="accent2"/>
              <w:left w:val="single" w:sz="12" w:space="0" w:color="auto"/>
              <w:bottom w:val="single" w:sz="4" w:space="0" w:color="000000"/>
              <w:right w:val="single" w:sz="18" w:space="0" w:color="0070C0"/>
            </w:tcBorders>
            <w:shd w:val="clear" w:color="auto" w:fill="auto"/>
            <w:vAlign w:val="center"/>
          </w:tcPr>
          <w:p w14:paraId="3548EEFC" w14:textId="57351E33" w:rsidR="00A75C53" w:rsidRDefault="00AE6AAD"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Very comfortable</w:t>
            </w:r>
          </w:p>
        </w:tc>
        <w:tc>
          <w:tcPr>
            <w:tcW w:w="1267" w:type="dxa"/>
            <w:tcBorders>
              <w:top w:val="single" w:sz="18" w:space="0" w:color="C0504D" w:themeColor="accent2"/>
              <w:left w:val="single" w:sz="18" w:space="0" w:color="0070C0"/>
              <w:bottom w:val="single" w:sz="4" w:space="0" w:color="000000"/>
              <w:right w:val="single" w:sz="8" w:space="0" w:color="0070C0"/>
            </w:tcBorders>
            <w:shd w:val="clear" w:color="auto" w:fill="auto"/>
            <w:vAlign w:val="center"/>
          </w:tcPr>
          <w:p w14:paraId="4A04FDE2" w14:textId="643B5725" w:rsidR="00A75C53" w:rsidRDefault="00AE6AAD" w:rsidP="00237E6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51%</w:t>
            </w:r>
          </w:p>
        </w:tc>
        <w:tc>
          <w:tcPr>
            <w:tcW w:w="1267" w:type="dxa"/>
            <w:tcBorders>
              <w:top w:val="single" w:sz="18" w:space="0" w:color="C0504D" w:themeColor="accent2"/>
              <w:left w:val="single" w:sz="8" w:space="0" w:color="0070C0"/>
              <w:bottom w:val="single" w:sz="4" w:space="0" w:color="000000"/>
              <w:right w:val="single" w:sz="8" w:space="0" w:color="0070C0"/>
            </w:tcBorders>
            <w:shd w:val="clear" w:color="auto" w:fill="EAF1DD" w:themeFill="accent3" w:themeFillTint="33"/>
            <w:vAlign w:val="center"/>
          </w:tcPr>
          <w:p w14:paraId="3C8C93C1" w14:textId="1483C36C" w:rsidR="00A75C53" w:rsidRDefault="00AE6AAD"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55%</w:t>
            </w:r>
          </w:p>
        </w:tc>
        <w:tc>
          <w:tcPr>
            <w:tcW w:w="1267" w:type="dxa"/>
            <w:tcBorders>
              <w:top w:val="single" w:sz="18" w:space="0" w:color="C0504D" w:themeColor="accent2"/>
              <w:left w:val="single" w:sz="8" w:space="0" w:color="0070C0"/>
              <w:bottom w:val="single" w:sz="4" w:space="0" w:color="000000"/>
              <w:right w:val="single" w:sz="8" w:space="0" w:color="0070C0"/>
            </w:tcBorders>
            <w:shd w:val="clear" w:color="auto" w:fill="EAF1DD" w:themeFill="accent3" w:themeFillTint="33"/>
            <w:vAlign w:val="center"/>
          </w:tcPr>
          <w:p w14:paraId="780D25FB" w14:textId="5B9473BC" w:rsidR="00A75C53" w:rsidRDefault="00AE6AAD"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57%</w:t>
            </w:r>
          </w:p>
        </w:tc>
        <w:tc>
          <w:tcPr>
            <w:tcW w:w="1267" w:type="dxa"/>
            <w:tcBorders>
              <w:top w:val="single" w:sz="18" w:space="0" w:color="C0504D" w:themeColor="accent2"/>
              <w:left w:val="single" w:sz="8" w:space="0" w:color="0070C0"/>
              <w:bottom w:val="single" w:sz="4" w:space="0" w:color="000000"/>
              <w:right w:val="single" w:sz="12" w:space="0" w:color="auto"/>
            </w:tcBorders>
            <w:shd w:val="clear" w:color="auto" w:fill="E5B8B7" w:themeFill="accent2" w:themeFillTint="66"/>
            <w:vAlign w:val="center"/>
          </w:tcPr>
          <w:p w14:paraId="2B770A57" w14:textId="1D136413" w:rsidR="00A75C53" w:rsidRDefault="00AE6AAD"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43%</w:t>
            </w:r>
          </w:p>
        </w:tc>
      </w:tr>
      <w:tr w:rsidR="00A75C53" w:rsidRPr="00CC1ECE" w14:paraId="36F8029E" w14:textId="77777777" w:rsidTr="00237E69">
        <w:trPr>
          <w:trHeight w:val="243"/>
          <w:jc w:val="center"/>
        </w:trPr>
        <w:tc>
          <w:tcPr>
            <w:tcW w:w="2874" w:type="dxa"/>
            <w:tcBorders>
              <w:top w:val="single" w:sz="4" w:space="0" w:color="000000"/>
              <w:left w:val="single" w:sz="12" w:space="0" w:color="auto"/>
              <w:bottom w:val="single" w:sz="4" w:space="0" w:color="000000"/>
              <w:right w:val="single" w:sz="18" w:space="0" w:color="0070C0"/>
            </w:tcBorders>
            <w:shd w:val="clear" w:color="auto" w:fill="auto"/>
            <w:vAlign w:val="center"/>
          </w:tcPr>
          <w:p w14:paraId="43F37961" w14:textId="4A92033B" w:rsidR="00A75C53" w:rsidRDefault="00AE6AAD"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Doing OK</w:t>
            </w:r>
          </w:p>
        </w:tc>
        <w:tc>
          <w:tcPr>
            <w:tcW w:w="1267"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6E845A79" w14:textId="1B39D931" w:rsidR="00A75C53" w:rsidRDefault="00AE6AAD" w:rsidP="00237E6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41%</w:t>
            </w:r>
          </w:p>
        </w:tc>
        <w:tc>
          <w:tcPr>
            <w:tcW w:w="1267" w:type="dxa"/>
            <w:tcBorders>
              <w:top w:val="single" w:sz="4" w:space="0" w:color="000000"/>
              <w:left w:val="single" w:sz="8" w:space="0" w:color="0070C0"/>
              <w:bottom w:val="single" w:sz="4" w:space="0" w:color="000000"/>
              <w:right w:val="single" w:sz="8" w:space="0" w:color="0070C0"/>
            </w:tcBorders>
            <w:shd w:val="clear" w:color="auto" w:fill="F2DBDB" w:themeFill="accent2" w:themeFillTint="33"/>
            <w:vAlign w:val="center"/>
          </w:tcPr>
          <w:p w14:paraId="668FC4CC" w14:textId="348F3F4C" w:rsidR="00A75C53" w:rsidRDefault="00AE6AAD"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40%</w:t>
            </w:r>
          </w:p>
        </w:tc>
        <w:tc>
          <w:tcPr>
            <w:tcW w:w="1267" w:type="dxa"/>
            <w:tcBorders>
              <w:top w:val="single" w:sz="4" w:space="0" w:color="000000"/>
              <w:left w:val="single" w:sz="8" w:space="0" w:color="0070C0"/>
              <w:bottom w:val="single" w:sz="4" w:space="0" w:color="000000"/>
              <w:right w:val="single" w:sz="8" w:space="0" w:color="0070C0"/>
            </w:tcBorders>
            <w:shd w:val="clear" w:color="auto" w:fill="D99594" w:themeFill="accent2" w:themeFillTint="99"/>
            <w:vAlign w:val="center"/>
          </w:tcPr>
          <w:p w14:paraId="347DB53B" w14:textId="4ABEF7A1" w:rsidR="00A75C53" w:rsidRDefault="00AE6AAD"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21%</w:t>
            </w:r>
          </w:p>
        </w:tc>
        <w:tc>
          <w:tcPr>
            <w:tcW w:w="1267" w:type="dxa"/>
            <w:tcBorders>
              <w:top w:val="single" w:sz="4" w:space="0" w:color="000000"/>
              <w:left w:val="single" w:sz="8" w:space="0" w:color="0070C0"/>
              <w:bottom w:val="single" w:sz="4" w:space="0" w:color="000000"/>
              <w:right w:val="single" w:sz="12" w:space="0" w:color="auto"/>
            </w:tcBorders>
            <w:shd w:val="clear" w:color="auto" w:fill="D6E3BC" w:themeFill="accent3" w:themeFillTint="66"/>
            <w:vAlign w:val="center"/>
          </w:tcPr>
          <w:p w14:paraId="559E5A38" w14:textId="1911F100" w:rsidR="00A75C53" w:rsidRDefault="00AE6AAD"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26%</w:t>
            </w:r>
          </w:p>
        </w:tc>
      </w:tr>
      <w:tr w:rsidR="00A75C53" w:rsidRPr="00CC1ECE" w14:paraId="2BA2A77B" w14:textId="77777777" w:rsidTr="00237E69">
        <w:trPr>
          <w:trHeight w:val="54"/>
          <w:jc w:val="center"/>
        </w:trPr>
        <w:tc>
          <w:tcPr>
            <w:tcW w:w="2874" w:type="dxa"/>
            <w:tcBorders>
              <w:top w:val="single" w:sz="4" w:space="0" w:color="000000"/>
              <w:left w:val="single" w:sz="12" w:space="0" w:color="auto"/>
              <w:bottom w:val="single" w:sz="4" w:space="0" w:color="000000"/>
              <w:right w:val="single" w:sz="18" w:space="0" w:color="0070C0"/>
            </w:tcBorders>
            <w:shd w:val="clear" w:color="auto" w:fill="auto"/>
            <w:vAlign w:val="center"/>
          </w:tcPr>
          <w:p w14:paraId="0D3BF73D" w14:textId="25797BED" w:rsidR="00A75C53" w:rsidRDefault="00AE6AAD"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Anxious about 2022</w:t>
            </w:r>
          </w:p>
        </w:tc>
        <w:tc>
          <w:tcPr>
            <w:tcW w:w="1267"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50889C87" w14:textId="0AAA25E6" w:rsidR="00A75C53" w:rsidRDefault="00AE6AAD" w:rsidP="00237E6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w:t>
            </w:r>
          </w:p>
        </w:tc>
        <w:tc>
          <w:tcPr>
            <w:tcW w:w="1267" w:type="dxa"/>
            <w:tcBorders>
              <w:top w:val="single" w:sz="4" w:space="0" w:color="000000"/>
              <w:left w:val="single" w:sz="8" w:space="0" w:color="0070C0"/>
              <w:bottom w:val="single" w:sz="4" w:space="0" w:color="000000"/>
              <w:right w:val="single" w:sz="8" w:space="0" w:color="0070C0"/>
            </w:tcBorders>
            <w:shd w:val="clear" w:color="auto" w:fill="EAF1DD" w:themeFill="accent3" w:themeFillTint="33"/>
            <w:vAlign w:val="center"/>
          </w:tcPr>
          <w:p w14:paraId="23E9B7D1" w14:textId="129A7AAB" w:rsidR="00A75C53" w:rsidRDefault="00AE6AAD"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w:t>
            </w:r>
          </w:p>
        </w:tc>
        <w:tc>
          <w:tcPr>
            <w:tcW w:w="1267" w:type="dxa"/>
            <w:tcBorders>
              <w:top w:val="single" w:sz="4" w:space="0" w:color="000000"/>
              <w:left w:val="single" w:sz="8" w:space="0" w:color="0070C0"/>
              <w:bottom w:val="single" w:sz="4" w:space="0" w:color="000000"/>
              <w:right w:val="single" w:sz="8" w:space="0" w:color="0070C0"/>
            </w:tcBorders>
            <w:shd w:val="clear" w:color="auto" w:fill="FF0000"/>
            <w:vAlign w:val="center"/>
          </w:tcPr>
          <w:p w14:paraId="583D9F6C" w14:textId="64D54A72" w:rsidR="00A75C53" w:rsidRDefault="00AE6AAD"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20%</w:t>
            </w:r>
          </w:p>
        </w:tc>
        <w:tc>
          <w:tcPr>
            <w:tcW w:w="1267" w:type="dxa"/>
            <w:tcBorders>
              <w:top w:val="single" w:sz="4" w:space="0" w:color="000000"/>
              <w:left w:val="single" w:sz="8" w:space="0" w:color="0070C0"/>
              <w:bottom w:val="single" w:sz="4" w:space="0" w:color="000000"/>
              <w:right w:val="single" w:sz="12" w:space="0" w:color="auto"/>
            </w:tcBorders>
            <w:shd w:val="clear" w:color="auto" w:fill="D99594" w:themeFill="accent2" w:themeFillTint="99"/>
            <w:vAlign w:val="center"/>
          </w:tcPr>
          <w:p w14:paraId="4F19CB8C" w14:textId="3188C210" w:rsidR="00A75C53" w:rsidRDefault="00AE6AAD"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30%</w:t>
            </w:r>
          </w:p>
        </w:tc>
      </w:tr>
      <w:tr w:rsidR="00A75C53" w:rsidRPr="00CC1ECE" w14:paraId="541A0D80" w14:textId="77777777" w:rsidTr="00237E69">
        <w:trPr>
          <w:trHeight w:val="54"/>
          <w:jc w:val="center"/>
        </w:trPr>
        <w:tc>
          <w:tcPr>
            <w:tcW w:w="2874" w:type="dxa"/>
            <w:tcBorders>
              <w:top w:val="single" w:sz="4" w:space="0" w:color="000000"/>
              <w:left w:val="single" w:sz="12" w:space="0" w:color="auto"/>
              <w:bottom w:val="single" w:sz="12" w:space="0" w:color="000000"/>
              <w:right w:val="single" w:sz="18" w:space="0" w:color="0070C0"/>
            </w:tcBorders>
            <w:shd w:val="clear" w:color="auto" w:fill="auto"/>
            <w:vAlign w:val="center"/>
          </w:tcPr>
          <w:p w14:paraId="19FFE98F" w14:textId="2E8541B1" w:rsidR="00A75C53" w:rsidRDefault="00AE6AAD"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Looking to leave business</w:t>
            </w:r>
          </w:p>
        </w:tc>
        <w:tc>
          <w:tcPr>
            <w:tcW w:w="1267" w:type="dxa"/>
            <w:tcBorders>
              <w:top w:val="single" w:sz="4" w:space="0" w:color="000000"/>
              <w:left w:val="single" w:sz="18" w:space="0" w:color="0070C0"/>
              <w:bottom w:val="single" w:sz="12" w:space="0" w:color="000000"/>
              <w:right w:val="single" w:sz="8" w:space="0" w:color="0070C0"/>
            </w:tcBorders>
            <w:shd w:val="clear" w:color="auto" w:fill="auto"/>
            <w:vAlign w:val="center"/>
          </w:tcPr>
          <w:p w14:paraId="09AFDE8E" w14:textId="328B95CF" w:rsidR="00A75C53" w:rsidRDefault="00AE6AAD" w:rsidP="00237E69">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w:t>
            </w:r>
          </w:p>
        </w:tc>
        <w:tc>
          <w:tcPr>
            <w:tcW w:w="1267" w:type="dxa"/>
            <w:tcBorders>
              <w:top w:val="single" w:sz="4" w:space="0" w:color="000000"/>
              <w:left w:val="single" w:sz="8" w:space="0" w:color="0070C0"/>
              <w:bottom w:val="single" w:sz="12" w:space="0" w:color="000000"/>
              <w:right w:val="single" w:sz="8" w:space="0" w:color="0070C0"/>
            </w:tcBorders>
            <w:shd w:val="clear" w:color="auto" w:fill="EAF1DD" w:themeFill="accent3" w:themeFillTint="33"/>
            <w:vAlign w:val="center"/>
          </w:tcPr>
          <w:p w14:paraId="3AF9ABA1" w14:textId="6410588C" w:rsidR="00A75C53" w:rsidRDefault="00AE6AAD"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w:t>
            </w:r>
          </w:p>
        </w:tc>
        <w:tc>
          <w:tcPr>
            <w:tcW w:w="1267" w:type="dxa"/>
            <w:tcBorders>
              <w:top w:val="single" w:sz="4" w:space="0" w:color="000000"/>
              <w:left w:val="single" w:sz="8" w:space="0" w:color="0070C0"/>
              <w:bottom w:val="single" w:sz="12" w:space="0" w:color="000000"/>
              <w:right w:val="single" w:sz="8" w:space="0" w:color="0070C0"/>
            </w:tcBorders>
            <w:shd w:val="clear" w:color="auto" w:fill="F2F2F2" w:themeFill="background1" w:themeFillShade="F2"/>
            <w:vAlign w:val="center"/>
          </w:tcPr>
          <w:p w14:paraId="173A0241" w14:textId="2E763046" w:rsidR="00A75C53" w:rsidRDefault="00AE6AAD"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w:t>
            </w:r>
          </w:p>
        </w:tc>
        <w:tc>
          <w:tcPr>
            <w:tcW w:w="1267" w:type="dxa"/>
            <w:tcBorders>
              <w:top w:val="single" w:sz="4" w:space="0" w:color="000000"/>
              <w:left w:val="single" w:sz="8" w:space="0" w:color="0070C0"/>
              <w:bottom w:val="single" w:sz="12" w:space="0" w:color="000000"/>
              <w:right w:val="single" w:sz="12" w:space="0" w:color="auto"/>
            </w:tcBorders>
            <w:shd w:val="clear" w:color="auto" w:fill="F2F2F2" w:themeFill="background1" w:themeFillShade="F2"/>
            <w:vAlign w:val="center"/>
          </w:tcPr>
          <w:p w14:paraId="27752506" w14:textId="76192F57" w:rsidR="00A75C53" w:rsidRDefault="00AE6AAD"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w:t>
            </w:r>
          </w:p>
        </w:tc>
      </w:tr>
    </w:tbl>
    <w:p w14:paraId="0684DBCB" w14:textId="67C0BD96" w:rsidR="00A75C53" w:rsidRDefault="00A75C53" w:rsidP="00912FCD">
      <w:pPr>
        <w:tabs>
          <w:tab w:val="left" w:pos="720"/>
        </w:tabs>
        <w:spacing w:after="0" w:line="240" w:lineRule="auto"/>
        <w:contextualSpacing/>
        <w:mirrorIndents/>
        <w:rPr>
          <w:rFonts w:ascii="Verdana" w:hAnsi="Verdana"/>
          <w:sz w:val="20"/>
          <w:szCs w:val="20"/>
        </w:rPr>
      </w:pPr>
      <w:r>
        <w:rPr>
          <w:rFonts w:ascii="Verdana" w:hAnsi="Verdana"/>
          <w:sz w:val="16"/>
          <w:szCs w:val="16"/>
        </w:rPr>
        <w:tab/>
      </w:r>
      <w:r w:rsidR="00AE6AAD" w:rsidRPr="007C63EF">
        <w:rPr>
          <w:rFonts w:ascii="Verdana" w:hAnsi="Verdana"/>
          <w:i/>
          <w:iCs/>
          <w:sz w:val="16"/>
          <w:szCs w:val="16"/>
        </w:rPr>
        <w:t>Aqua</w:t>
      </w:r>
      <w:r>
        <w:rPr>
          <w:rFonts w:ascii="Verdana" w:hAnsi="Verdana"/>
          <w:sz w:val="16"/>
          <w:szCs w:val="16"/>
        </w:rPr>
        <w:t xml:space="preserve">, </w:t>
      </w:r>
      <w:r w:rsidR="00912FCD">
        <w:rPr>
          <w:rFonts w:ascii="Verdana" w:hAnsi="Verdana"/>
          <w:sz w:val="16"/>
          <w:szCs w:val="16"/>
        </w:rPr>
        <w:t>May</w:t>
      </w:r>
      <w:r>
        <w:rPr>
          <w:rFonts w:ascii="Verdana" w:hAnsi="Verdana"/>
          <w:sz w:val="16"/>
          <w:szCs w:val="16"/>
        </w:rPr>
        <w:t xml:space="preserve"> 2022</w:t>
      </w:r>
      <w:r w:rsidR="00912FCD">
        <w:rPr>
          <w:rFonts w:ascii="Verdana" w:hAnsi="Verdana"/>
          <w:sz w:val="16"/>
          <w:szCs w:val="16"/>
        </w:rPr>
        <w:tab/>
        <w:t>(color represents change from the previous year in each category)</w:t>
      </w:r>
    </w:p>
    <w:p w14:paraId="1A147E70" w14:textId="77777777" w:rsidR="00AF1596" w:rsidRDefault="00AF1596" w:rsidP="002B7B47">
      <w:pPr>
        <w:spacing w:after="0" w:line="240" w:lineRule="auto"/>
        <w:contextualSpacing/>
        <w:mirrorIndents/>
        <w:rPr>
          <w:rFonts w:ascii="Verdana" w:hAnsi="Verdana"/>
          <w:sz w:val="20"/>
          <w:szCs w:val="20"/>
        </w:rPr>
      </w:pPr>
    </w:p>
    <w:p w14:paraId="4C409472" w14:textId="03BE0BC2" w:rsidR="002B7B47" w:rsidRPr="00912FCD" w:rsidRDefault="002B7B47" w:rsidP="00912FCD">
      <w:pPr>
        <w:spacing w:after="0" w:line="240" w:lineRule="auto"/>
        <w:contextualSpacing/>
        <w:mirrorIndents/>
        <w:jc w:val="center"/>
        <w:rPr>
          <w:rFonts w:ascii="Verdana" w:hAnsi="Verdana"/>
          <w:b/>
          <w:bCs/>
          <w:color w:val="0070C0"/>
          <w:sz w:val="20"/>
          <w:szCs w:val="20"/>
        </w:rPr>
      </w:pPr>
      <w:r w:rsidRPr="00912FCD">
        <w:rPr>
          <w:rFonts w:ascii="Verdana" w:hAnsi="Verdana"/>
          <w:b/>
          <w:bCs/>
          <w:color w:val="0070C0"/>
          <w:sz w:val="20"/>
          <w:szCs w:val="20"/>
        </w:rPr>
        <w:t>Supply and Labor Shortages Hinder Progress</w:t>
      </w:r>
    </w:p>
    <w:p w14:paraId="648BAE61" w14:textId="77777777" w:rsidR="002B7B47" w:rsidRPr="002B7B47" w:rsidRDefault="002B7B47" w:rsidP="002B7B47">
      <w:pPr>
        <w:spacing w:after="0" w:line="240" w:lineRule="auto"/>
        <w:contextualSpacing/>
        <w:mirrorIndents/>
        <w:rPr>
          <w:rFonts w:ascii="Verdana" w:hAnsi="Verdana"/>
          <w:sz w:val="20"/>
          <w:szCs w:val="20"/>
        </w:rPr>
      </w:pPr>
    </w:p>
    <w:p w14:paraId="5DADBEB1" w14:textId="11C24818" w:rsidR="002B7B47" w:rsidRPr="002B7B47" w:rsidRDefault="00912FCD" w:rsidP="002B7B47">
      <w:pPr>
        <w:spacing w:after="0" w:line="240" w:lineRule="auto"/>
        <w:contextualSpacing/>
        <w:mirrorIndents/>
        <w:rPr>
          <w:rFonts w:ascii="Verdana" w:hAnsi="Verdana"/>
          <w:sz w:val="20"/>
          <w:szCs w:val="20"/>
        </w:rPr>
      </w:pPr>
      <w:r>
        <w:rPr>
          <w:rFonts w:ascii="Verdana" w:hAnsi="Verdana"/>
          <w:sz w:val="20"/>
          <w:szCs w:val="20"/>
        </w:rPr>
        <w:t xml:space="preserve">At the risk of sounding like a broken record, dealers and builders in this industry are facing the same supply-chain and labor issues as most other retail and other business sectors. Half of </w:t>
      </w:r>
      <w:r w:rsidR="00943026">
        <w:rPr>
          <w:rFonts w:ascii="Verdana" w:hAnsi="Verdana"/>
          <w:sz w:val="20"/>
          <w:szCs w:val="20"/>
        </w:rPr>
        <w:t xml:space="preserve">the </w:t>
      </w:r>
      <w:r>
        <w:rPr>
          <w:rFonts w:ascii="Verdana" w:hAnsi="Verdana"/>
          <w:sz w:val="20"/>
          <w:szCs w:val="20"/>
        </w:rPr>
        <w:t xml:space="preserve">retailers said chlorine was difficult to find, but </w:t>
      </w:r>
      <w:r w:rsidR="008E2E3F">
        <w:rPr>
          <w:rFonts w:ascii="Verdana" w:hAnsi="Verdana"/>
          <w:sz w:val="20"/>
          <w:szCs w:val="20"/>
        </w:rPr>
        <w:t>they were able to find sufficient supply.</w:t>
      </w:r>
    </w:p>
    <w:p w14:paraId="7D6F1E8B" w14:textId="77777777" w:rsidR="00912FCD" w:rsidRDefault="00912FCD" w:rsidP="002B7B47">
      <w:pPr>
        <w:spacing w:after="0" w:line="240" w:lineRule="auto"/>
        <w:contextualSpacing/>
        <w:mirrorIndents/>
        <w:rPr>
          <w:rFonts w:ascii="Verdana" w:hAnsi="Verdana"/>
          <w:sz w:val="20"/>
          <w:szCs w:val="20"/>
        </w:rPr>
      </w:pPr>
    </w:p>
    <w:p w14:paraId="605A38B6" w14:textId="34935152" w:rsidR="00912FCD" w:rsidRDefault="008E2E3F" w:rsidP="002B7B47">
      <w:pPr>
        <w:spacing w:after="0" w:line="240" w:lineRule="auto"/>
        <w:contextualSpacing/>
        <w:mirrorIndents/>
        <w:rPr>
          <w:rFonts w:ascii="Verdana" w:hAnsi="Verdana"/>
          <w:sz w:val="20"/>
          <w:szCs w:val="20"/>
        </w:rPr>
      </w:pPr>
      <w:r>
        <w:rPr>
          <w:rFonts w:ascii="Verdana" w:hAnsi="Verdana"/>
          <w:sz w:val="20"/>
          <w:szCs w:val="20"/>
        </w:rPr>
        <w:t xml:space="preserve">On the labor front, 40% of retailers surveyed for </w:t>
      </w:r>
      <w:r w:rsidRPr="00841148">
        <w:rPr>
          <w:rFonts w:ascii="Verdana" w:hAnsi="Verdana"/>
          <w:i/>
          <w:iCs/>
          <w:sz w:val="20"/>
          <w:szCs w:val="20"/>
        </w:rPr>
        <w:t>Aqua</w:t>
      </w:r>
      <w:r>
        <w:rPr>
          <w:rFonts w:ascii="Verdana" w:hAnsi="Verdana"/>
          <w:sz w:val="20"/>
          <w:szCs w:val="20"/>
        </w:rPr>
        <w:t xml:space="preserve">’s 2022 State of Industry Retail Report said their labor challenges are worse than before the pandemic as many potential workers have left their jobs and retailers haven’t been to attract them to return. </w:t>
      </w:r>
    </w:p>
    <w:p w14:paraId="78EE53C4" w14:textId="12A37F8C" w:rsidR="00912FCD" w:rsidRDefault="00912FCD" w:rsidP="002B7B47">
      <w:pPr>
        <w:spacing w:after="0" w:line="240" w:lineRule="auto"/>
        <w:contextualSpacing/>
        <w:mirrorIndents/>
        <w:rPr>
          <w:rFonts w:ascii="Verdana" w:hAnsi="Verdana"/>
          <w:sz w:val="20"/>
          <w:szCs w:val="20"/>
        </w:rPr>
      </w:pPr>
    </w:p>
    <w:p w14:paraId="2560DFA6" w14:textId="2F2F262E" w:rsidR="008E2E3F" w:rsidRDefault="008E2E3F" w:rsidP="002B7B47">
      <w:pPr>
        <w:spacing w:after="0" w:line="240" w:lineRule="auto"/>
        <w:contextualSpacing/>
        <w:mirrorIndents/>
        <w:rPr>
          <w:rFonts w:ascii="Verdana" w:hAnsi="Verdana"/>
          <w:sz w:val="20"/>
          <w:szCs w:val="20"/>
        </w:rPr>
      </w:pPr>
      <w:r>
        <w:rPr>
          <w:rFonts w:ascii="Verdana" w:hAnsi="Verdana"/>
          <w:sz w:val="20"/>
          <w:szCs w:val="20"/>
        </w:rPr>
        <w:t>Despite those challenges, retailers with gross revenues of $250,000–$500,000</w:t>
      </w:r>
      <w:r w:rsidR="00F55ABF">
        <w:rPr>
          <w:rFonts w:ascii="Verdana" w:hAnsi="Verdana"/>
          <w:sz w:val="20"/>
          <w:szCs w:val="20"/>
        </w:rPr>
        <w:t>, $2.5 million–$5 million and more than $5 million said their 2021 revenues exceed 2018, 2019 and 2020. 70% of retailers said their businesses are stronger than before the pandemic.</w:t>
      </w:r>
    </w:p>
    <w:p w14:paraId="3ED88548" w14:textId="137DFB71" w:rsidR="00F55ABF" w:rsidRDefault="00F55ABF" w:rsidP="002B7B47">
      <w:pPr>
        <w:spacing w:after="0" w:line="240" w:lineRule="auto"/>
        <w:contextualSpacing/>
        <w:mirrorIndents/>
        <w:rPr>
          <w:rFonts w:ascii="Verdana" w:hAnsi="Verdana"/>
          <w:sz w:val="20"/>
          <w:szCs w:val="20"/>
        </w:rPr>
      </w:pPr>
    </w:p>
    <w:p w14:paraId="2499FA0D" w14:textId="2B78227C" w:rsidR="007C63EF" w:rsidRPr="00CC1ECE" w:rsidRDefault="00513E27" w:rsidP="007C63EF">
      <w:pPr>
        <w:pStyle w:val="Header"/>
        <w:contextualSpacing/>
        <w:jc w:val="center"/>
        <w:rPr>
          <w:rFonts w:ascii="Verdana" w:hAnsi="Verdana"/>
          <w:b/>
          <w:sz w:val="20"/>
          <w:szCs w:val="20"/>
        </w:rPr>
      </w:pPr>
      <w:r>
        <w:rPr>
          <w:rFonts w:ascii="Verdana" w:hAnsi="Verdana"/>
          <w:b/>
          <w:sz w:val="20"/>
          <w:szCs w:val="20"/>
        </w:rPr>
        <w:t>Surveyed Pool and Spa Companies’ Best Sources for New Hires, 202</w:t>
      </w:r>
      <w:r w:rsidR="002331F3">
        <w:rPr>
          <w:rFonts w:ascii="Verdana" w:hAnsi="Verdana"/>
          <w:b/>
          <w:sz w:val="20"/>
          <w:szCs w:val="20"/>
        </w:rPr>
        <w:t>2</w:t>
      </w:r>
    </w:p>
    <w:tbl>
      <w:tblPr>
        <w:tblW w:w="8491" w:type="dxa"/>
        <w:jc w:val="center"/>
        <w:tblBorders>
          <w:left w:val="single" w:sz="8" w:space="0" w:color="000000"/>
          <w:right w:val="single" w:sz="8" w:space="0" w:color="000000"/>
        </w:tblBorders>
        <w:tblLayout w:type="fixed"/>
        <w:tblLook w:val="0000" w:firstRow="0" w:lastRow="0" w:firstColumn="0" w:lastColumn="0" w:noHBand="0" w:noVBand="0"/>
      </w:tblPr>
      <w:tblGrid>
        <w:gridCol w:w="7224"/>
        <w:gridCol w:w="1267"/>
      </w:tblGrid>
      <w:tr w:rsidR="00513E27" w:rsidRPr="00CC1ECE" w14:paraId="18015D8C" w14:textId="77777777" w:rsidTr="007C63EF">
        <w:trPr>
          <w:trHeight w:val="243"/>
          <w:jc w:val="center"/>
        </w:trPr>
        <w:tc>
          <w:tcPr>
            <w:tcW w:w="7224" w:type="dxa"/>
            <w:tcBorders>
              <w:top w:val="single" w:sz="12" w:space="0" w:color="auto"/>
              <w:left w:val="single" w:sz="12" w:space="0" w:color="auto"/>
              <w:bottom w:val="single" w:sz="18" w:space="0" w:color="C0504D" w:themeColor="accent2"/>
              <w:right w:val="single" w:sz="18" w:space="0" w:color="0070C0"/>
            </w:tcBorders>
            <w:shd w:val="clear" w:color="auto" w:fill="auto"/>
            <w:vAlign w:val="center"/>
          </w:tcPr>
          <w:p w14:paraId="5907BC70" w14:textId="3C57493D" w:rsidR="00513E27" w:rsidRPr="00CC1ECE" w:rsidRDefault="00513E27" w:rsidP="00A61483">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Source</w:t>
            </w:r>
          </w:p>
        </w:tc>
        <w:tc>
          <w:tcPr>
            <w:tcW w:w="1267" w:type="dxa"/>
            <w:tcBorders>
              <w:top w:val="single" w:sz="12" w:space="0" w:color="auto"/>
              <w:left w:val="single" w:sz="8" w:space="0" w:color="0070C0"/>
              <w:bottom w:val="single" w:sz="18" w:space="0" w:color="C0504D" w:themeColor="accent2"/>
              <w:right w:val="single" w:sz="12" w:space="0" w:color="auto"/>
            </w:tcBorders>
            <w:shd w:val="clear" w:color="auto" w:fill="auto"/>
            <w:vAlign w:val="center"/>
          </w:tcPr>
          <w:p w14:paraId="78A2C8E1" w14:textId="68C57BC2" w:rsidR="00513E27" w:rsidRPr="00CC1ECE" w:rsidRDefault="00513E27" w:rsidP="00A61483">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r>
      <w:tr w:rsidR="00513E27" w:rsidRPr="00CC1ECE" w14:paraId="6BEC74BE" w14:textId="77777777" w:rsidTr="007C63EF">
        <w:trPr>
          <w:trHeight w:val="243"/>
          <w:jc w:val="center"/>
        </w:trPr>
        <w:tc>
          <w:tcPr>
            <w:tcW w:w="7224" w:type="dxa"/>
            <w:tcBorders>
              <w:top w:val="single" w:sz="18" w:space="0" w:color="C0504D" w:themeColor="accent2"/>
              <w:left w:val="single" w:sz="12" w:space="0" w:color="auto"/>
              <w:bottom w:val="single" w:sz="4" w:space="0" w:color="000000"/>
              <w:right w:val="single" w:sz="18" w:space="0" w:color="0070C0"/>
            </w:tcBorders>
            <w:shd w:val="clear" w:color="auto" w:fill="auto"/>
            <w:vAlign w:val="center"/>
          </w:tcPr>
          <w:p w14:paraId="076E7671" w14:textId="0AAA5633" w:rsidR="00513E27" w:rsidRDefault="007C63EF"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Personal referrals</w:t>
            </w:r>
          </w:p>
        </w:tc>
        <w:tc>
          <w:tcPr>
            <w:tcW w:w="1267" w:type="dxa"/>
            <w:tcBorders>
              <w:top w:val="single" w:sz="18" w:space="0" w:color="C0504D" w:themeColor="accent2"/>
              <w:left w:val="single" w:sz="8" w:space="0" w:color="0070C0"/>
              <w:bottom w:val="single" w:sz="4" w:space="0" w:color="000000"/>
              <w:right w:val="single" w:sz="12" w:space="0" w:color="auto"/>
            </w:tcBorders>
            <w:shd w:val="clear" w:color="auto" w:fill="00B050"/>
            <w:vAlign w:val="center"/>
          </w:tcPr>
          <w:p w14:paraId="79BD3D7A" w14:textId="6B68715D" w:rsidR="00513E27" w:rsidRDefault="007C63EF"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54%</w:t>
            </w:r>
          </w:p>
        </w:tc>
      </w:tr>
      <w:tr w:rsidR="00513E27" w:rsidRPr="00CC1ECE" w14:paraId="353E55E2" w14:textId="77777777" w:rsidTr="007C63EF">
        <w:trPr>
          <w:trHeight w:val="243"/>
          <w:jc w:val="center"/>
        </w:trPr>
        <w:tc>
          <w:tcPr>
            <w:tcW w:w="7224" w:type="dxa"/>
            <w:tcBorders>
              <w:top w:val="single" w:sz="4" w:space="0" w:color="000000"/>
              <w:left w:val="single" w:sz="12" w:space="0" w:color="auto"/>
              <w:bottom w:val="single" w:sz="4" w:space="0" w:color="000000"/>
              <w:right w:val="single" w:sz="18" w:space="0" w:color="0070C0"/>
            </w:tcBorders>
            <w:shd w:val="clear" w:color="auto" w:fill="auto"/>
            <w:vAlign w:val="center"/>
          </w:tcPr>
          <w:p w14:paraId="69478DF0" w14:textId="1D80578E" w:rsidR="00513E27" w:rsidRDefault="007C63EF"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LinkedIn, Indeed, etc.</w:t>
            </w:r>
          </w:p>
        </w:tc>
        <w:tc>
          <w:tcPr>
            <w:tcW w:w="1267" w:type="dxa"/>
            <w:tcBorders>
              <w:top w:val="single" w:sz="4" w:space="0" w:color="000000"/>
              <w:left w:val="single" w:sz="8" w:space="0" w:color="0070C0"/>
              <w:bottom w:val="single" w:sz="4" w:space="0" w:color="000000"/>
              <w:right w:val="single" w:sz="12" w:space="0" w:color="auto"/>
            </w:tcBorders>
            <w:shd w:val="clear" w:color="auto" w:fill="D6E3BC" w:themeFill="accent3" w:themeFillTint="66"/>
            <w:vAlign w:val="center"/>
          </w:tcPr>
          <w:p w14:paraId="537471CB" w14:textId="06701F1A" w:rsidR="00513E27" w:rsidRDefault="007C63EF"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15%</w:t>
            </w:r>
          </w:p>
        </w:tc>
      </w:tr>
      <w:tr w:rsidR="00513E27" w:rsidRPr="00CC1ECE" w14:paraId="6107A3C4" w14:textId="77777777" w:rsidTr="007C63EF">
        <w:trPr>
          <w:trHeight w:val="243"/>
          <w:jc w:val="center"/>
        </w:trPr>
        <w:tc>
          <w:tcPr>
            <w:tcW w:w="7224" w:type="dxa"/>
            <w:tcBorders>
              <w:top w:val="single" w:sz="4" w:space="0" w:color="000000"/>
              <w:left w:val="single" w:sz="12" w:space="0" w:color="auto"/>
              <w:bottom w:val="single" w:sz="4" w:space="0" w:color="000000"/>
              <w:right w:val="single" w:sz="18" w:space="0" w:color="0070C0"/>
            </w:tcBorders>
            <w:shd w:val="clear" w:color="auto" w:fill="auto"/>
            <w:vAlign w:val="center"/>
          </w:tcPr>
          <w:p w14:paraId="65C64D75" w14:textId="3E993D35" w:rsidR="00513E27" w:rsidRDefault="007C63EF" w:rsidP="00A61483">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Hiring agency, current seasonal worker to full-time, from competition</w:t>
            </w:r>
          </w:p>
        </w:tc>
        <w:tc>
          <w:tcPr>
            <w:tcW w:w="1267" w:type="dxa"/>
            <w:tcBorders>
              <w:top w:val="single" w:sz="4" w:space="0" w:color="000000"/>
              <w:left w:val="single" w:sz="8" w:space="0" w:color="0070C0"/>
              <w:bottom w:val="single" w:sz="4" w:space="0" w:color="000000"/>
              <w:right w:val="single" w:sz="12" w:space="0" w:color="auto"/>
            </w:tcBorders>
            <w:shd w:val="clear" w:color="auto" w:fill="EAF1DD" w:themeFill="accent3" w:themeFillTint="33"/>
            <w:vAlign w:val="center"/>
          </w:tcPr>
          <w:p w14:paraId="04342F4F" w14:textId="2EF76911" w:rsidR="00513E27" w:rsidRDefault="007C63EF" w:rsidP="00A61483">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9%</w:t>
            </w:r>
          </w:p>
        </w:tc>
      </w:tr>
      <w:tr w:rsidR="007C63EF" w:rsidRPr="00CC1ECE" w14:paraId="583CEB92" w14:textId="77777777" w:rsidTr="007C63EF">
        <w:trPr>
          <w:trHeight w:val="243"/>
          <w:jc w:val="center"/>
        </w:trPr>
        <w:tc>
          <w:tcPr>
            <w:tcW w:w="7224" w:type="dxa"/>
            <w:tcBorders>
              <w:top w:val="single" w:sz="4" w:space="0" w:color="000000"/>
              <w:left w:val="single" w:sz="12" w:space="0" w:color="auto"/>
              <w:bottom w:val="single" w:sz="4" w:space="0" w:color="000000"/>
              <w:right w:val="single" w:sz="18" w:space="0" w:color="0070C0"/>
            </w:tcBorders>
            <w:shd w:val="clear" w:color="auto" w:fill="auto"/>
            <w:vAlign w:val="center"/>
          </w:tcPr>
          <w:p w14:paraId="2C154F70" w14:textId="7C2106C1" w:rsidR="007C63EF" w:rsidRDefault="007C63EF" w:rsidP="007C63EF">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A traditional want ad</w:t>
            </w:r>
          </w:p>
        </w:tc>
        <w:tc>
          <w:tcPr>
            <w:tcW w:w="1267" w:type="dxa"/>
            <w:tcBorders>
              <w:top w:val="single" w:sz="4" w:space="0" w:color="000000"/>
              <w:left w:val="single" w:sz="8" w:space="0" w:color="0070C0"/>
              <w:bottom w:val="single" w:sz="4" w:space="0" w:color="000000"/>
              <w:right w:val="single" w:sz="12" w:space="0" w:color="auto"/>
            </w:tcBorders>
            <w:shd w:val="clear" w:color="auto" w:fill="EAF1DD" w:themeFill="accent3" w:themeFillTint="33"/>
            <w:vAlign w:val="center"/>
          </w:tcPr>
          <w:p w14:paraId="2562BEC2" w14:textId="1A0D1393" w:rsidR="007C63EF" w:rsidRDefault="007C63EF" w:rsidP="007C63EF">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w:t>
            </w:r>
          </w:p>
        </w:tc>
      </w:tr>
      <w:tr w:rsidR="007C63EF" w:rsidRPr="00CC1ECE" w14:paraId="199F1CA5" w14:textId="77777777" w:rsidTr="007C63EF">
        <w:trPr>
          <w:trHeight w:val="54"/>
          <w:jc w:val="center"/>
        </w:trPr>
        <w:tc>
          <w:tcPr>
            <w:tcW w:w="7224" w:type="dxa"/>
            <w:tcBorders>
              <w:top w:val="single" w:sz="4" w:space="0" w:color="000000"/>
              <w:left w:val="single" w:sz="12" w:space="0" w:color="auto"/>
              <w:bottom w:val="single" w:sz="12" w:space="0" w:color="000000"/>
              <w:right w:val="single" w:sz="18" w:space="0" w:color="0070C0"/>
            </w:tcBorders>
            <w:shd w:val="clear" w:color="auto" w:fill="auto"/>
            <w:vAlign w:val="center"/>
          </w:tcPr>
          <w:p w14:paraId="2B40B612" w14:textId="381C0804" w:rsidR="007C63EF" w:rsidRDefault="007C63EF" w:rsidP="007C63EF">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Immediately recruiting a perceived good candidate</w:t>
            </w:r>
          </w:p>
        </w:tc>
        <w:tc>
          <w:tcPr>
            <w:tcW w:w="1267" w:type="dxa"/>
            <w:tcBorders>
              <w:top w:val="single" w:sz="4" w:space="0" w:color="000000"/>
              <w:left w:val="single" w:sz="8" w:space="0" w:color="0070C0"/>
              <w:bottom w:val="single" w:sz="12" w:space="0" w:color="000000"/>
              <w:right w:val="single" w:sz="12" w:space="0" w:color="auto"/>
            </w:tcBorders>
            <w:shd w:val="clear" w:color="auto" w:fill="EAF1DD" w:themeFill="accent3" w:themeFillTint="33"/>
            <w:vAlign w:val="center"/>
          </w:tcPr>
          <w:p w14:paraId="23A204CE" w14:textId="266C6423" w:rsidR="007C63EF" w:rsidRDefault="007C63EF" w:rsidP="007C63EF">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7%</w:t>
            </w:r>
          </w:p>
        </w:tc>
      </w:tr>
    </w:tbl>
    <w:p w14:paraId="081A9633" w14:textId="68B868DB" w:rsidR="00513E27" w:rsidRDefault="00513E27" w:rsidP="007C63EF">
      <w:pPr>
        <w:tabs>
          <w:tab w:val="left" w:pos="450"/>
        </w:tabs>
        <w:spacing w:after="0" w:line="240" w:lineRule="auto"/>
        <w:contextualSpacing/>
        <w:mirrorIndents/>
        <w:rPr>
          <w:rFonts w:ascii="Verdana" w:hAnsi="Verdana"/>
          <w:sz w:val="20"/>
          <w:szCs w:val="20"/>
        </w:rPr>
      </w:pPr>
      <w:r>
        <w:rPr>
          <w:rFonts w:ascii="Verdana" w:hAnsi="Verdana"/>
          <w:sz w:val="16"/>
          <w:szCs w:val="16"/>
        </w:rPr>
        <w:tab/>
      </w:r>
      <w:r w:rsidRPr="007C63EF">
        <w:rPr>
          <w:rFonts w:ascii="Verdana" w:hAnsi="Verdana"/>
          <w:i/>
          <w:iCs/>
          <w:sz w:val="16"/>
          <w:szCs w:val="16"/>
        </w:rPr>
        <w:t>Aqua</w:t>
      </w:r>
      <w:r>
        <w:rPr>
          <w:rFonts w:ascii="Verdana" w:hAnsi="Verdana"/>
          <w:sz w:val="16"/>
          <w:szCs w:val="16"/>
        </w:rPr>
        <w:t>, May 2022</w:t>
      </w:r>
    </w:p>
    <w:p w14:paraId="6323E12F" w14:textId="77777777" w:rsidR="00F55ABF" w:rsidRDefault="00F55ABF" w:rsidP="002B7B47">
      <w:pPr>
        <w:spacing w:after="0" w:line="240" w:lineRule="auto"/>
        <w:contextualSpacing/>
        <w:mirrorIndents/>
        <w:rPr>
          <w:rFonts w:ascii="Verdana" w:hAnsi="Verdana"/>
          <w:sz w:val="20"/>
          <w:szCs w:val="20"/>
        </w:rPr>
      </w:pPr>
    </w:p>
    <w:p w14:paraId="22CDDE3D" w14:textId="77777777" w:rsidR="00F55ABF" w:rsidRDefault="00F55ABF" w:rsidP="002B7B47">
      <w:pPr>
        <w:spacing w:after="0" w:line="240" w:lineRule="auto"/>
        <w:contextualSpacing/>
        <w:mirrorIndents/>
        <w:rPr>
          <w:rFonts w:ascii="Verdana" w:hAnsi="Verdana"/>
          <w:sz w:val="20"/>
          <w:szCs w:val="20"/>
        </w:rPr>
      </w:pPr>
    </w:p>
    <w:p w14:paraId="6D796503" w14:textId="4ED38953" w:rsidR="002B7B47" w:rsidRPr="00D129B2" w:rsidRDefault="002B7B47" w:rsidP="00D129B2">
      <w:pPr>
        <w:spacing w:after="0" w:line="240" w:lineRule="auto"/>
        <w:contextualSpacing/>
        <w:mirrorIndents/>
        <w:jc w:val="center"/>
        <w:rPr>
          <w:rFonts w:ascii="Verdana" w:hAnsi="Verdana"/>
          <w:b/>
          <w:bCs/>
          <w:color w:val="0070C0"/>
          <w:sz w:val="20"/>
          <w:szCs w:val="20"/>
        </w:rPr>
      </w:pPr>
      <w:r w:rsidRPr="00D129B2">
        <w:rPr>
          <w:rFonts w:ascii="Verdana" w:hAnsi="Verdana"/>
          <w:b/>
          <w:bCs/>
          <w:color w:val="0070C0"/>
          <w:sz w:val="20"/>
          <w:szCs w:val="20"/>
        </w:rPr>
        <w:lastRenderedPageBreak/>
        <w:t>Builders/Contractors Remain Optimistic</w:t>
      </w:r>
    </w:p>
    <w:p w14:paraId="652526B0" w14:textId="77777777" w:rsidR="002B7B47" w:rsidRPr="002B7B47" w:rsidRDefault="002B7B47" w:rsidP="002B7B47">
      <w:pPr>
        <w:spacing w:after="0" w:line="240" w:lineRule="auto"/>
        <w:contextualSpacing/>
        <w:mirrorIndents/>
        <w:rPr>
          <w:rFonts w:ascii="Verdana" w:hAnsi="Verdana"/>
          <w:sz w:val="20"/>
          <w:szCs w:val="20"/>
        </w:rPr>
      </w:pPr>
    </w:p>
    <w:p w14:paraId="45CD1521" w14:textId="376F3D8F" w:rsidR="003A7348" w:rsidRDefault="003A7348" w:rsidP="002B7B47">
      <w:pPr>
        <w:spacing w:after="0" w:line="240" w:lineRule="auto"/>
        <w:contextualSpacing/>
        <w:mirrorIndents/>
        <w:rPr>
          <w:rFonts w:ascii="Verdana" w:hAnsi="Verdana"/>
          <w:sz w:val="20"/>
          <w:szCs w:val="20"/>
        </w:rPr>
      </w:pPr>
      <w:r>
        <w:rPr>
          <w:rFonts w:ascii="Verdana" w:hAnsi="Verdana"/>
          <w:sz w:val="20"/>
          <w:szCs w:val="20"/>
        </w:rPr>
        <w:t xml:space="preserve">Although pool builders/contractors have experienced supply-chain and labor issues, more than </w:t>
      </w:r>
      <w:r w:rsidR="00841148">
        <w:rPr>
          <w:rFonts w:ascii="Verdana" w:hAnsi="Verdana"/>
          <w:sz w:val="20"/>
          <w:szCs w:val="20"/>
        </w:rPr>
        <w:t>8</w:t>
      </w:r>
      <w:r>
        <w:rPr>
          <w:rFonts w:ascii="Verdana" w:hAnsi="Verdana"/>
          <w:sz w:val="20"/>
          <w:szCs w:val="20"/>
        </w:rPr>
        <w:t xml:space="preserve">0% were optimistic (40%) or cautiously optimistic (44%) about pool demand, according to </w:t>
      </w:r>
      <w:r w:rsidRPr="003A7348">
        <w:rPr>
          <w:rFonts w:ascii="Verdana" w:hAnsi="Verdana"/>
          <w:i/>
          <w:iCs/>
          <w:sz w:val="20"/>
          <w:szCs w:val="20"/>
        </w:rPr>
        <w:t>Aqua</w:t>
      </w:r>
      <w:r>
        <w:rPr>
          <w:rFonts w:ascii="Verdana" w:hAnsi="Verdana"/>
          <w:sz w:val="20"/>
          <w:szCs w:val="20"/>
        </w:rPr>
        <w:t xml:space="preserve"> magazine’s 2022 State of the Industry Builders Report.</w:t>
      </w:r>
    </w:p>
    <w:p w14:paraId="74E482DA" w14:textId="77777777" w:rsidR="003A7348" w:rsidRDefault="003A7348" w:rsidP="002B7B47">
      <w:pPr>
        <w:spacing w:after="0" w:line="240" w:lineRule="auto"/>
        <w:contextualSpacing/>
        <w:mirrorIndents/>
        <w:rPr>
          <w:rFonts w:ascii="Verdana" w:hAnsi="Verdana"/>
          <w:sz w:val="20"/>
          <w:szCs w:val="20"/>
        </w:rPr>
      </w:pPr>
    </w:p>
    <w:p w14:paraId="381DD265" w14:textId="374838D3" w:rsidR="003A7348" w:rsidRDefault="003A7348" w:rsidP="002B7B47">
      <w:pPr>
        <w:spacing w:after="0" w:line="240" w:lineRule="auto"/>
        <w:contextualSpacing/>
        <w:mirrorIndents/>
        <w:rPr>
          <w:rFonts w:ascii="Verdana" w:hAnsi="Verdana"/>
          <w:sz w:val="20"/>
          <w:szCs w:val="20"/>
        </w:rPr>
      </w:pPr>
      <w:r>
        <w:rPr>
          <w:rFonts w:ascii="Verdana" w:hAnsi="Verdana"/>
          <w:sz w:val="20"/>
          <w:szCs w:val="20"/>
        </w:rPr>
        <w:t>The largest percentage (25%) of the surveyed builders</w:t>
      </w:r>
      <w:r w:rsidR="00574378">
        <w:rPr>
          <w:rFonts w:ascii="Verdana" w:hAnsi="Verdana"/>
          <w:sz w:val="20"/>
          <w:szCs w:val="20"/>
        </w:rPr>
        <w:t xml:space="preserve"> said their backlogs of pools to build w</w:t>
      </w:r>
      <w:r w:rsidR="00943026">
        <w:rPr>
          <w:rFonts w:ascii="Verdana" w:hAnsi="Verdana"/>
          <w:sz w:val="20"/>
          <w:szCs w:val="20"/>
        </w:rPr>
        <w:t>ere</w:t>
      </w:r>
      <w:r w:rsidR="00574378">
        <w:rPr>
          <w:rFonts w:ascii="Verdana" w:hAnsi="Verdana"/>
          <w:sz w:val="20"/>
          <w:szCs w:val="20"/>
        </w:rPr>
        <w:t xml:space="preserve"> 9–12 months and 16% 6–9 months and 12–18 months, another good trend for the 2022 season.</w:t>
      </w:r>
    </w:p>
    <w:p w14:paraId="7B3F5B3F" w14:textId="489C7560" w:rsidR="00574378" w:rsidRDefault="00574378" w:rsidP="002B7B47">
      <w:pPr>
        <w:spacing w:after="0" w:line="240" w:lineRule="auto"/>
        <w:contextualSpacing/>
        <w:mirrorIndents/>
        <w:rPr>
          <w:rFonts w:ascii="Verdana" w:hAnsi="Verdana"/>
          <w:sz w:val="20"/>
          <w:szCs w:val="20"/>
        </w:rPr>
      </w:pPr>
    </w:p>
    <w:p w14:paraId="354FB686" w14:textId="4BA8B764" w:rsidR="00574378" w:rsidRDefault="00574378" w:rsidP="002B7B47">
      <w:pPr>
        <w:spacing w:after="0" w:line="240" w:lineRule="auto"/>
        <w:contextualSpacing/>
        <w:mirrorIndents/>
        <w:rPr>
          <w:rFonts w:ascii="Verdana" w:hAnsi="Verdana"/>
          <w:sz w:val="20"/>
          <w:szCs w:val="20"/>
        </w:rPr>
      </w:pPr>
      <w:r>
        <w:rPr>
          <w:rFonts w:ascii="Verdana" w:hAnsi="Verdana"/>
          <w:sz w:val="20"/>
          <w:szCs w:val="20"/>
        </w:rPr>
        <w:t xml:space="preserve">Of those surveyed, 45% think some of the changes the pandemic caused will become permanent and 37% said they were charging for services, such as pool design, which </w:t>
      </w:r>
      <w:r w:rsidR="00841148">
        <w:rPr>
          <w:rFonts w:ascii="Verdana" w:hAnsi="Verdana"/>
          <w:sz w:val="20"/>
          <w:szCs w:val="20"/>
        </w:rPr>
        <w:t>they</w:t>
      </w:r>
      <w:r>
        <w:rPr>
          <w:rFonts w:ascii="Verdana" w:hAnsi="Verdana"/>
          <w:sz w:val="20"/>
          <w:szCs w:val="20"/>
        </w:rPr>
        <w:t xml:space="preserve"> previously provided at no cost.</w:t>
      </w:r>
    </w:p>
    <w:p w14:paraId="5DC899D6" w14:textId="10DA73C1" w:rsidR="003A7348" w:rsidRDefault="003A7348" w:rsidP="002B7B47">
      <w:pPr>
        <w:spacing w:after="0" w:line="240" w:lineRule="auto"/>
        <w:contextualSpacing/>
        <w:mirrorIndents/>
        <w:rPr>
          <w:rFonts w:ascii="Verdana" w:hAnsi="Verdana"/>
          <w:sz w:val="20"/>
          <w:szCs w:val="20"/>
        </w:rPr>
      </w:pPr>
    </w:p>
    <w:p w14:paraId="59E3BB74" w14:textId="77777777" w:rsidR="002331F3" w:rsidRDefault="002331F3" w:rsidP="002331F3">
      <w:pPr>
        <w:pStyle w:val="Header"/>
        <w:contextualSpacing/>
        <w:jc w:val="center"/>
        <w:rPr>
          <w:rFonts w:ascii="Verdana" w:hAnsi="Verdana"/>
          <w:b/>
          <w:sz w:val="20"/>
          <w:szCs w:val="20"/>
        </w:rPr>
      </w:pPr>
      <w:r>
        <w:rPr>
          <w:rFonts w:ascii="Verdana" w:hAnsi="Verdana"/>
          <w:b/>
          <w:sz w:val="20"/>
          <w:szCs w:val="20"/>
        </w:rPr>
        <w:t xml:space="preserve">How Much More Pool Builders/Contractors Have </w:t>
      </w:r>
    </w:p>
    <w:p w14:paraId="1804DAC2" w14:textId="0D48F76E" w:rsidR="002331F3" w:rsidRPr="00CC1ECE" w:rsidRDefault="002331F3" w:rsidP="002331F3">
      <w:pPr>
        <w:pStyle w:val="Header"/>
        <w:contextualSpacing/>
        <w:jc w:val="center"/>
        <w:rPr>
          <w:rFonts w:ascii="Verdana" w:hAnsi="Verdana"/>
          <w:b/>
          <w:sz w:val="20"/>
          <w:szCs w:val="20"/>
        </w:rPr>
      </w:pPr>
      <w:r>
        <w:rPr>
          <w:rFonts w:ascii="Verdana" w:hAnsi="Verdana"/>
          <w:b/>
          <w:sz w:val="20"/>
          <w:szCs w:val="20"/>
        </w:rPr>
        <w:t>Had to Pay for Materials, Components and Equipment*, 2022</w:t>
      </w:r>
    </w:p>
    <w:tbl>
      <w:tblPr>
        <w:tblW w:w="3391" w:type="dxa"/>
        <w:jc w:val="center"/>
        <w:tblBorders>
          <w:left w:val="single" w:sz="8" w:space="0" w:color="000000"/>
          <w:right w:val="single" w:sz="8" w:space="0" w:color="000000"/>
        </w:tblBorders>
        <w:tblLayout w:type="fixed"/>
        <w:tblLook w:val="0000" w:firstRow="0" w:lastRow="0" w:firstColumn="0" w:lastColumn="0" w:noHBand="0" w:noVBand="0"/>
      </w:tblPr>
      <w:tblGrid>
        <w:gridCol w:w="2124"/>
        <w:gridCol w:w="1267"/>
      </w:tblGrid>
      <w:tr w:rsidR="002331F3" w:rsidRPr="00CC1ECE" w14:paraId="2245D304" w14:textId="77777777" w:rsidTr="00841148">
        <w:trPr>
          <w:trHeight w:val="243"/>
          <w:jc w:val="center"/>
        </w:trPr>
        <w:tc>
          <w:tcPr>
            <w:tcW w:w="2124" w:type="dxa"/>
            <w:tcBorders>
              <w:top w:val="single" w:sz="12" w:space="0" w:color="auto"/>
              <w:left w:val="single" w:sz="12" w:space="0" w:color="auto"/>
              <w:bottom w:val="single" w:sz="18" w:space="0" w:color="C0504D" w:themeColor="accent2"/>
              <w:right w:val="single" w:sz="18" w:space="0" w:color="0070C0"/>
            </w:tcBorders>
            <w:shd w:val="clear" w:color="auto" w:fill="auto"/>
            <w:vAlign w:val="center"/>
          </w:tcPr>
          <w:p w14:paraId="54BECFF2" w14:textId="2C4E7BC5" w:rsidR="002331F3" w:rsidRPr="00CC1ECE" w:rsidRDefault="002331F3" w:rsidP="00841148">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Range of Increase</w:t>
            </w:r>
          </w:p>
        </w:tc>
        <w:tc>
          <w:tcPr>
            <w:tcW w:w="1267" w:type="dxa"/>
            <w:tcBorders>
              <w:top w:val="single" w:sz="12" w:space="0" w:color="auto"/>
              <w:left w:val="single" w:sz="8" w:space="0" w:color="0070C0"/>
              <w:bottom w:val="single" w:sz="18" w:space="0" w:color="C0504D" w:themeColor="accent2"/>
              <w:right w:val="single" w:sz="12" w:space="0" w:color="auto"/>
            </w:tcBorders>
            <w:shd w:val="clear" w:color="auto" w:fill="auto"/>
            <w:vAlign w:val="center"/>
          </w:tcPr>
          <w:p w14:paraId="373C6044" w14:textId="77777777" w:rsidR="002331F3" w:rsidRPr="00CC1ECE" w:rsidRDefault="002331F3" w:rsidP="00841148">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r>
      <w:tr w:rsidR="002331F3" w:rsidRPr="00CC1ECE" w14:paraId="69BE08B8" w14:textId="77777777" w:rsidTr="002331F3">
        <w:trPr>
          <w:trHeight w:val="243"/>
          <w:jc w:val="center"/>
        </w:trPr>
        <w:tc>
          <w:tcPr>
            <w:tcW w:w="2124" w:type="dxa"/>
            <w:tcBorders>
              <w:top w:val="single" w:sz="18" w:space="0" w:color="C0504D" w:themeColor="accent2"/>
              <w:left w:val="single" w:sz="12" w:space="0" w:color="auto"/>
              <w:bottom w:val="single" w:sz="4" w:space="0" w:color="000000"/>
              <w:right w:val="single" w:sz="18" w:space="0" w:color="0070C0"/>
            </w:tcBorders>
            <w:shd w:val="clear" w:color="auto" w:fill="auto"/>
            <w:vAlign w:val="center"/>
          </w:tcPr>
          <w:p w14:paraId="6BBD10C6" w14:textId="78BDFFC3" w:rsidR="002331F3" w:rsidRDefault="002331F3" w:rsidP="00E8643C">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0%</w:t>
            </w:r>
            <w:r>
              <w:rPr>
                <w:rFonts w:ascii="Verdana" w:hAnsi="Verdana"/>
                <w:sz w:val="20"/>
                <w:szCs w:val="20"/>
              </w:rPr>
              <w:t>–10%</w:t>
            </w:r>
          </w:p>
        </w:tc>
        <w:tc>
          <w:tcPr>
            <w:tcW w:w="1267" w:type="dxa"/>
            <w:tcBorders>
              <w:top w:val="single" w:sz="18" w:space="0" w:color="C0504D" w:themeColor="accent2"/>
              <w:left w:val="single" w:sz="8" w:space="0" w:color="0070C0"/>
              <w:bottom w:val="single" w:sz="4" w:space="0" w:color="000000"/>
              <w:right w:val="single" w:sz="12" w:space="0" w:color="auto"/>
            </w:tcBorders>
            <w:shd w:val="clear" w:color="auto" w:fill="F2DBDB" w:themeFill="accent2" w:themeFillTint="33"/>
            <w:vAlign w:val="center"/>
          </w:tcPr>
          <w:p w14:paraId="4F397157" w14:textId="062DFCFB" w:rsidR="002331F3" w:rsidRDefault="002331F3" w:rsidP="00E8643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w:t>
            </w:r>
          </w:p>
        </w:tc>
      </w:tr>
      <w:tr w:rsidR="002331F3" w:rsidRPr="00CC1ECE" w14:paraId="7D477F85" w14:textId="77777777" w:rsidTr="002331F3">
        <w:trPr>
          <w:trHeight w:val="243"/>
          <w:jc w:val="center"/>
        </w:trPr>
        <w:tc>
          <w:tcPr>
            <w:tcW w:w="2124" w:type="dxa"/>
            <w:tcBorders>
              <w:top w:val="single" w:sz="4" w:space="0" w:color="000000"/>
              <w:left w:val="single" w:sz="12" w:space="0" w:color="auto"/>
              <w:bottom w:val="single" w:sz="4" w:space="0" w:color="000000"/>
              <w:right w:val="single" w:sz="18" w:space="0" w:color="0070C0"/>
            </w:tcBorders>
            <w:shd w:val="clear" w:color="auto" w:fill="auto"/>
            <w:vAlign w:val="center"/>
          </w:tcPr>
          <w:p w14:paraId="3A616D2F" w14:textId="2C09E21D" w:rsidR="002331F3" w:rsidRDefault="002331F3" w:rsidP="00E8643C">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10%</w:t>
            </w:r>
            <w:r>
              <w:rPr>
                <w:rFonts w:ascii="Verdana" w:hAnsi="Verdana"/>
                <w:sz w:val="20"/>
                <w:szCs w:val="20"/>
              </w:rPr>
              <w:t>–20%</w:t>
            </w:r>
          </w:p>
        </w:tc>
        <w:tc>
          <w:tcPr>
            <w:tcW w:w="1267" w:type="dxa"/>
            <w:tcBorders>
              <w:top w:val="single" w:sz="4" w:space="0" w:color="000000"/>
              <w:left w:val="single" w:sz="8" w:space="0" w:color="0070C0"/>
              <w:bottom w:val="single" w:sz="4" w:space="0" w:color="000000"/>
              <w:right w:val="single" w:sz="12" w:space="0" w:color="auto"/>
            </w:tcBorders>
            <w:shd w:val="clear" w:color="auto" w:fill="D99594" w:themeFill="accent2" w:themeFillTint="99"/>
            <w:vAlign w:val="center"/>
          </w:tcPr>
          <w:p w14:paraId="46A684F5" w14:textId="527D803D" w:rsidR="002331F3" w:rsidRDefault="002331F3" w:rsidP="00E8643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31%</w:t>
            </w:r>
          </w:p>
        </w:tc>
      </w:tr>
      <w:tr w:rsidR="002331F3" w:rsidRPr="00CC1ECE" w14:paraId="5C3C354B" w14:textId="77777777" w:rsidTr="002331F3">
        <w:trPr>
          <w:trHeight w:val="243"/>
          <w:jc w:val="center"/>
        </w:trPr>
        <w:tc>
          <w:tcPr>
            <w:tcW w:w="2124" w:type="dxa"/>
            <w:tcBorders>
              <w:top w:val="single" w:sz="4" w:space="0" w:color="000000"/>
              <w:left w:val="single" w:sz="12" w:space="0" w:color="auto"/>
              <w:bottom w:val="single" w:sz="4" w:space="0" w:color="000000"/>
              <w:right w:val="single" w:sz="18" w:space="0" w:color="0070C0"/>
            </w:tcBorders>
            <w:shd w:val="clear" w:color="auto" w:fill="auto"/>
            <w:vAlign w:val="center"/>
          </w:tcPr>
          <w:p w14:paraId="3AF40D53" w14:textId="0AF5B9CA" w:rsidR="002331F3" w:rsidRDefault="002331F3" w:rsidP="00E8643C">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20%</w:t>
            </w:r>
            <w:r>
              <w:rPr>
                <w:rFonts w:ascii="Verdana" w:hAnsi="Verdana"/>
                <w:sz w:val="20"/>
                <w:szCs w:val="20"/>
              </w:rPr>
              <w:t>–30%</w:t>
            </w:r>
          </w:p>
        </w:tc>
        <w:tc>
          <w:tcPr>
            <w:tcW w:w="1267" w:type="dxa"/>
            <w:tcBorders>
              <w:top w:val="single" w:sz="4" w:space="0" w:color="000000"/>
              <w:left w:val="single" w:sz="8" w:space="0" w:color="0070C0"/>
              <w:bottom w:val="single" w:sz="4" w:space="0" w:color="000000"/>
              <w:right w:val="single" w:sz="12" w:space="0" w:color="auto"/>
            </w:tcBorders>
            <w:shd w:val="clear" w:color="auto" w:fill="FF0000"/>
            <w:vAlign w:val="center"/>
          </w:tcPr>
          <w:p w14:paraId="3FAFF44E" w14:textId="6F75D569" w:rsidR="002331F3" w:rsidRDefault="002331F3" w:rsidP="00E8643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45%</w:t>
            </w:r>
          </w:p>
        </w:tc>
      </w:tr>
      <w:tr w:rsidR="002331F3" w:rsidRPr="00CC1ECE" w14:paraId="0BD60DBF" w14:textId="77777777" w:rsidTr="002331F3">
        <w:trPr>
          <w:trHeight w:val="243"/>
          <w:jc w:val="center"/>
        </w:trPr>
        <w:tc>
          <w:tcPr>
            <w:tcW w:w="2124" w:type="dxa"/>
            <w:tcBorders>
              <w:top w:val="single" w:sz="4" w:space="0" w:color="000000"/>
              <w:left w:val="single" w:sz="12" w:space="0" w:color="auto"/>
              <w:bottom w:val="single" w:sz="4" w:space="0" w:color="000000"/>
              <w:right w:val="single" w:sz="18" w:space="0" w:color="0070C0"/>
            </w:tcBorders>
            <w:shd w:val="clear" w:color="auto" w:fill="auto"/>
            <w:vAlign w:val="center"/>
          </w:tcPr>
          <w:p w14:paraId="0CD559BD" w14:textId="4606F754" w:rsidR="002331F3" w:rsidRDefault="002331F3" w:rsidP="00E8643C">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30%</w:t>
            </w:r>
            <w:r>
              <w:rPr>
                <w:rFonts w:ascii="Verdana" w:hAnsi="Verdana"/>
                <w:sz w:val="20"/>
                <w:szCs w:val="20"/>
              </w:rPr>
              <w:t>–50%</w:t>
            </w:r>
          </w:p>
        </w:tc>
        <w:tc>
          <w:tcPr>
            <w:tcW w:w="1267" w:type="dxa"/>
            <w:tcBorders>
              <w:top w:val="single" w:sz="4" w:space="0" w:color="000000"/>
              <w:left w:val="single" w:sz="8" w:space="0" w:color="0070C0"/>
              <w:bottom w:val="single" w:sz="4" w:space="0" w:color="000000"/>
              <w:right w:val="single" w:sz="12" w:space="0" w:color="auto"/>
            </w:tcBorders>
            <w:shd w:val="clear" w:color="auto" w:fill="E5B8B7" w:themeFill="accent2" w:themeFillTint="66"/>
            <w:vAlign w:val="center"/>
          </w:tcPr>
          <w:p w14:paraId="6FE052D1" w14:textId="753E29B5" w:rsidR="002331F3" w:rsidRDefault="002331F3" w:rsidP="00E8643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13%</w:t>
            </w:r>
          </w:p>
        </w:tc>
      </w:tr>
      <w:tr w:rsidR="002331F3" w:rsidRPr="00CC1ECE" w14:paraId="0792D335" w14:textId="77777777" w:rsidTr="002331F3">
        <w:trPr>
          <w:trHeight w:val="54"/>
          <w:jc w:val="center"/>
        </w:trPr>
        <w:tc>
          <w:tcPr>
            <w:tcW w:w="2124" w:type="dxa"/>
            <w:tcBorders>
              <w:top w:val="single" w:sz="4" w:space="0" w:color="000000"/>
              <w:left w:val="single" w:sz="12" w:space="0" w:color="auto"/>
              <w:bottom w:val="single" w:sz="12" w:space="0" w:color="000000"/>
              <w:right w:val="single" w:sz="18" w:space="0" w:color="0070C0"/>
            </w:tcBorders>
            <w:shd w:val="clear" w:color="auto" w:fill="auto"/>
            <w:vAlign w:val="center"/>
          </w:tcPr>
          <w:p w14:paraId="2DDA0891" w14:textId="2BDB1658" w:rsidR="002331F3" w:rsidRDefault="002331F3" w:rsidP="00E8643C">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More than 50%</w:t>
            </w:r>
          </w:p>
        </w:tc>
        <w:tc>
          <w:tcPr>
            <w:tcW w:w="1267" w:type="dxa"/>
            <w:tcBorders>
              <w:top w:val="single" w:sz="4" w:space="0" w:color="000000"/>
              <w:left w:val="single" w:sz="8" w:space="0" w:color="0070C0"/>
              <w:bottom w:val="single" w:sz="12" w:space="0" w:color="000000"/>
              <w:right w:val="single" w:sz="12" w:space="0" w:color="auto"/>
            </w:tcBorders>
            <w:shd w:val="clear" w:color="auto" w:fill="F2DBDB" w:themeFill="accent2" w:themeFillTint="33"/>
            <w:vAlign w:val="center"/>
          </w:tcPr>
          <w:p w14:paraId="208774A6" w14:textId="6972DF48" w:rsidR="002331F3" w:rsidRDefault="002331F3" w:rsidP="00E8643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w:t>
            </w:r>
          </w:p>
        </w:tc>
      </w:tr>
    </w:tbl>
    <w:p w14:paraId="26BD55FF" w14:textId="659ED41D" w:rsidR="002331F3" w:rsidRDefault="002331F3" w:rsidP="002331F3">
      <w:pPr>
        <w:tabs>
          <w:tab w:val="left" w:pos="2970"/>
        </w:tabs>
        <w:spacing w:after="0" w:line="240" w:lineRule="auto"/>
        <w:contextualSpacing/>
        <w:mirrorIndents/>
        <w:rPr>
          <w:rFonts w:ascii="Verdana" w:hAnsi="Verdana"/>
          <w:sz w:val="20"/>
          <w:szCs w:val="20"/>
        </w:rPr>
      </w:pPr>
      <w:r>
        <w:rPr>
          <w:rFonts w:ascii="Verdana" w:hAnsi="Verdana"/>
          <w:sz w:val="16"/>
          <w:szCs w:val="16"/>
        </w:rPr>
        <w:tab/>
      </w:r>
      <w:r w:rsidRPr="007C63EF">
        <w:rPr>
          <w:rFonts w:ascii="Verdana" w:hAnsi="Verdana"/>
          <w:i/>
          <w:iCs/>
          <w:sz w:val="16"/>
          <w:szCs w:val="16"/>
        </w:rPr>
        <w:t>Aqua</w:t>
      </w:r>
      <w:r>
        <w:rPr>
          <w:rFonts w:ascii="Verdana" w:hAnsi="Verdana"/>
          <w:sz w:val="16"/>
          <w:szCs w:val="16"/>
        </w:rPr>
        <w:t>, May 2022</w:t>
      </w:r>
      <w:r w:rsidR="00403F66">
        <w:rPr>
          <w:rFonts w:ascii="Verdana" w:hAnsi="Verdana"/>
          <w:sz w:val="16"/>
          <w:szCs w:val="16"/>
        </w:rPr>
        <w:tab/>
      </w:r>
      <w:r w:rsidR="00403F66">
        <w:rPr>
          <w:rFonts w:ascii="Verdana" w:hAnsi="Verdana"/>
          <w:sz w:val="16"/>
          <w:szCs w:val="16"/>
        </w:rPr>
        <w:tab/>
        <w:t>*labor not included</w:t>
      </w:r>
    </w:p>
    <w:p w14:paraId="27976039" w14:textId="75532B84" w:rsidR="00574378" w:rsidRDefault="00574378" w:rsidP="002B7B47">
      <w:pPr>
        <w:spacing w:after="0" w:line="240" w:lineRule="auto"/>
        <w:contextualSpacing/>
        <w:mirrorIndents/>
        <w:rPr>
          <w:rFonts w:ascii="Verdana" w:hAnsi="Verdana"/>
          <w:sz w:val="20"/>
          <w:szCs w:val="20"/>
        </w:rPr>
      </w:pPr>
    </w:p>
    <w:p w14:paraId="5D4A1EDA" w14:textId="6B1D4AB9" w:rsidR="002B7B47" w:rsidRPr="00403F66" w:rsidRDefault="002B7B47" w:rsidP="00403F66">
      <w:pPr>
        <w:spacing w:after="0" w:line="240" w:lineRule="auto"/>
        <w:contextualSpacing/>
        <w:mirrorIndents/>
        <w:jc w:val="center"/>
        <w:rPr>
          <w:rFonts w:ascii="Verdana" w:hAnsi="Verdana"/>
          <w:b/>
          <w:bCs/>
          <w:color w:val="0070C0"/>
          <w:sz w:val="20"/>
          <w:szCs w:val="20"/>
        </w:rPr>
      </w:pPr>
      <w:r w:rsidRPr="00403F66">
        <w:rPr>
          <w:rFonts w:ascii="Verdana" w:hAnsi="Verdana"/>
          <w:b/>
          <w:bCs/>
          <w:color w:val="0070C0"/>
          <w:sz w:val="20"/>
          <w:szCs w:val="20"/>
        </w:rPr>
        <w:t>Hot Tub Sales Remain Hot</w:t>
      </w:r>
    </w:p>
    <w:p w14:paraId="7F8E8721" w14:textId="77777777" w:rsidR="002B7B47" w:rsidRPr="002B7B47" w:rsidRDefault="002B7B47" w:rsidP="002B7B47">
      <w:pPr>
        <w:spacing w:after="0" w:line="240" w:lineRule="auto"/>
        <w:contextualSpacing/>
        <w:mirrorIndents/>
        <w:rPr>
          <w:rFonts w:ascii="Verdana" w:hAnsi="Verdana"/>
          <w:sz w:val="20"/>
          <w:szCs w:val="20"/>
        </w:rPr>
      </w:pPr>
    </w:p>
    <w:p w14:paraId="19E2F972" w14:textId="18A96578" w:rsidR="002B7B47" w:rsidRDefault="00403F66" w:rsidP="002B7B47">
      <w:pPr>
        <w:spacing w:after="0" w:line="240" w:lineRule="auto"/>
        <w:contextualSpacing/>
        <w:mirrorIndents/>
        <w:rPr>
          <w:rFonts w:ascii="Verdana" w:hAnsi="Verdana"/>
          <w:sz w:val="20"/>
          <w:szCs w:val="20"/>
        </w:rPr>
      </w:pPr>
      <w:r>
        <w:rPr>
          <w:rFonts w:ascii="Verdana" w:hAnsi="Verdana"/>
          <w:sz w:val="20"/>
          <w:szCs w:val="20"/>
        </w:rPr>
        <w:t xml:space="preserve">Of the hot tub retailers responding to the survey for </w:t>
      </w:r>
      <w:r w:rsidRPr="003A7348">
        <w:rPr>
          <w:rFonts w:ascii="Verdana" w:hAnsi="Verdana"/>
          <w:i/>
          <w:iCs/>
          <w:sz w:val="20"/>
          <w:szCs w:val="20"/>
        </w:rPr>
        <w:t>Aqua</w:t>
      </w:r>
      <w:r>
        <w:rPr>
          <w:rFonts w:ascii="Verdana" w:hAnsi="Verdana"/>
          <w:sz w:val="20"/>
          <w:szCs w:val="20"/>
        </w:rPr>
        <w:t xml:space="preserve"> magazine’s 2022 State of the Industry Hot Tub Report, 41% said the first reason customers bought a hot tub was as a staycation item, indicating there is still great interest in improved outdoor living. </w:t>
      </w:r>
    </w:p>
    <w:p w14:paraId="37ED3C4E" w14:textId="232F4372" w:rsidR="00403F66" w:rsidRDefault="00403F66" w:rsidP="002B7B47">
      <w:pPr>
        <w:spacing w:after="0" w:line="240" w:lineRule="auto"/>
        <w:contextualSpacing/>
        <w:mirrorIndents/>
        <w:rPr>
          <w:rFonts w:ascii="Verdana" w:hAnsi="Verdana"/>
          <w:sz w:val="20"/>
          <w:szCs w:val="20"/>
        </w:rPr>
      </w:pPr>
    </w:p>
    <w:p w14:paraId="673B2E59" w14:textId="05BD0B2F" w:rsidR="00403F66" w:rsidRDefault="002171EA" w:rsidP="002B7B47">
      <w:pPr>
        <w:spacing w:after="0" w:line="240" w:lineRule="auto"/>
        <w:contextualSpacing/>
        <w:mirrorIndents/>
        <w:rPr>
          <w:rFonts w:ascii="Verdana" w:hAnsi="Verdana"/>
          <w:sz w:val="20"/>
          <w:szCs w:val="20"/>
        </w:rPr>
      </w:pPr>
      <w:r>
        <w:rPr>
          <w:rFonts w:ascii="Verdana" w:hAnsi="Verdana"/>
          <w:sz w:val="20"/>
          <w:szCs w:val="20"/>
        </w:rPr>
        <w:t>Hot tub retailers said their portable spa sales increased 71% during 2021</w:t>
      </w:r>
      <w:r w:rsidR="00841148">
        <w:rPr>
          <w:rFonts w:ascii="Verdana" w:hAnsi="Verdana"/>
          <w:sz w:val="20"/>
          <w:szCs w:val="20"/>
        </w:rPr>
        <w:t xml:space="preserve">, compared to a </w:t>
      </w:r>
      <w:r>
        <w:rPr>
          <w:rFonts w:ascii="Verdana" w:hAnsi="Verdana"/>
          <w:sz w:val="20"/>
          <w:szCs w:val="20"/>
        </w:rPr>
        <w:t xml:space="preserve">15% decrease. Although not quite as robust as </w:t>
      </w:r>
      <w:r w:rsidR="00841148">
        <w:rPr>
          <w:rFonts w:ascii="Verdana" w:hAnsi="Verdana"/>
          <w:sz w:val="20"/>
          <w:szCs w:val="20"/>
        </w:rPr>
        <w:t xml:space="preserve">the </w:t>
      </w:r>
      <w:r>
        <w:rPr>
          <w:rFonts w:ascii="Verdana" w:hAnsi="Verdana"/>
          <w:sz w:val="20"/>
          <w:szCs w:val="20"/>
        </w:rPr>
        <w:t xml:space="preserve">87% </w:t>
      </w:r>
      <w:r w:rsidR="00841148">
        <w:rPr>
          <w:rFonts w:ascii="Verdana" w:hAnsi="Verdana"/>
          <w:sz w:val="20"/>
          <w:szCs w:val="20"/>
        </w:rPr>
        <w:t xml:space="preserve">increase </w:t>
      </w:r>
      <w:r>
        <w:rPr>
          <w:rFonts w:ascii="Verdana" w:hAnsi="Verdana"/>
          <w:sz w:val="20"/>
          <w:szCs w:val="20"/>
        </w:rPr>
        <w:t>during 2020, a record year, 2021 sales were 12 percentage</w:t>
      </w:r>
      <w:r w:rsidR="00943026">
        <w:rPr>
          <w:rFonts w:ascii="Verdana" w:hAnsi="Verdana"/>
          <w:sz w:val="20"/>
          <w:szCs w:val="20"/>
        </w:rPr>
        <w:t xml:space="preserve"> </w:t>
      </w:r>
      <w:r>
        <w:rPr>
          <w:rFonts w:ascii="Verdana" w:hAnsi="Verdana"/>
          <w:sz w:val="20"/>
          <w:szCs w:val="20"/>
        </w:rPr>
        <w:t>points more than the 59% for 2019.</w:t>
      </w:r>
    </w:p>
    <w:p w14:paraId="2196A453" w14:textId="2B2ABB3A" w:rsidR="002171EA" w:rsidRDefault="002171EA" w:rsidP="002B7B47">
      <w:pPr>
        <w:spacing w:after="0" w:line="240" w:lineRule="auto"/>
        <w:contextualSpacing/>
        <w:mirrorIndents/>
        <w:rPr>
          <w:rFonts w:ascii="Verdana" w:hAnsi="Verdana"/>
          <w:sz w:val="20"/>
          <w:szCs w:val="20"/>
        </w:rPr>
      </w:pPr>
    </w:p>
    <w:p w14:paraId="215D66F4" w14:textId="707E3E20" w:rsidR="002171EA" w:rsidRDefault="002171EA" w:rsidP="002B7B47">
      <w:pPr>
        <w:spacing w:after="0" w:line="240" w:lineRule="auto"/>
        <w:contextualSpacing/>
        <w:mirrorIndents/>
        <w:rPr>
          <w:rFonts w:ascii="Verdana" w:hAnsi="Verdana"/>
          <w:sz w:val="20"/>
          <w:szCs w:val="20"/>
        </w:rPr>
      </w:pPr>
      <w:r>
        <w:rPr>
          <w:rFonts w:ascii="Verdana" w:hAnsi="Verdana"/>
          <w:sz w:val="20"/>
          <w:szCs w:val="20"/>
        </w:rPr>
        <w:t>The excellent year most hot tub retailers experienced during 2021 is also evident by the 39% (the most) who said they sold 250 or more hot tubs, compared to 28% who sold 0 to 50 and 12% who sold 100 to 150.</w:t>
      </w:r>
    </w:p>
    <w:p w14:paraId="3622452A" w14:textId="77777777" w:rsidR="002171EA" w:rsidRDefault="002171EA" w:rsidP="002B7B47">
      <w:pPr>
        <w:spacing w:after="0" w:line="240" w:lineRule="auto"/>
        <w:contextualSpacing/>
        <w:mirrorIndents/>
        <w:rPr>
          <w:rFonts w:ascii="Verdana" w:hAnsi="Verdana"/>
          <w:sz w:val="20"/>
          <w:szCs w:val="20"/>
        </w:rPr>
      </w:pPr>
    </w:p>
    <w:p w14:paraId="3978F04B" w14:textId="77777777" w:rsidR="006F0672" w:rsidRDefault="002171EA" w:rsidP="002171EA">
      <w:pPr>
        <w:pStyle w:val="Header"/>
        <w:contextualSpacing/>
        <w:jc w:val="center"/>
        <w:rPr>
          <w:rFonts w:ascii="Verdana" w:hAnsi="Verdana"/>
          <w:b/>
          <w:sz w:val="20"/>
          <w:szCs w:val="20"/>
        </w:rPr>
      </w:pPr>
      <w:r>
        <w:rPr>
          <w:rFonts w:ascii="Verdana" w:hAnsi="Verdana"/>
          <w:b/>
          <w:sz w:val="20"/>
          <w:szCs w:val="20"/>
        </w:rPr>
        <w:t>Hot Tub Customers</w:t>
      </w:r>
      <w:r w:rsidR="006F0672">
        <w:rPr>
          <w:rFonts w:ascii="Verdana" w:hAnsi="Verdana"/>
          <w:b/>
          <w:sz w:val="20"/>
          <w:szCs w:val="20"/>
        </w:rPr>
        <w:t xml:space="preserve">’ Interest in Accessories </w:t>
      </w:r>
    </w:p>
    <w:p w14:paraId="7DE8561C" w14:textId="553C6103" w:rsidR="006F0672" w:rsidRPr="00CC1ECE" w:rsidRDefault="006F0672" w:rsidP="006F0672">
      <w:pPr>
        <w:pStyle w:val="Header"/>
        <w:contextualSpacing/>
        <w:jc w:val="center"/>
        <w:rPr>
          <w:rFonts w:ascii="Verdana" w:hAnsi="Verdana"/>
          <w:b/>
          <w:sz w:val="20"/>
          <w:szCs w:val="20"/>
        </w:rPr>
      </w:pPr>
      <w:r>
        <w:rPr>
          <w:rFonts w:ascii="Verdana" w:hAnsi="Verdana"/>
          <w:b/>
          <w:sz w:val="20"/>
          <w:szCs w:val="20"/>
        </w:rPr>
        <w:t>to Personalize Their Hot Tub Experience</w:t>
      </w:r>
      <w:r w:rsidR="002171EA">
        <w:rPr>
          <w:rFonts w:ascii="Verdana" w:hAnsi="Verdana"/>
          <w:b/>
          <w:sz w:val="20"/>
          <w:szCs w:val="20"/>
        </w:rPr>
        <w:t>, 2022</w:t>
      </w:r>
    </w:p>
    <w:tbl>
      <w:tblPr>
        <w:tblW w:w="9498" w:type="dxa"/>
        <w:jc w:val="center"/>
        <w:tblBorders>
          <w:left w:val="single" w:sz="8" w:space="0" w:color="000000"/>
          <w:right w:val="single" w:sz="8" w:space="0" w:color="000000"/>
        </w:tblBorders>
        <w:tblLayout w:type="fixed"/>
        <w:tblLook w:val="0000" w:firstRow="0" w:lastRow="0" w:firstColumn="0" w:lastColumn="0" w:noHBand="0" w:noVBand="0"/>
      </w:tblPr>
      <w:tblGrid>
        <w:gridCol w:w="3536"/>
        <w:gridCol w:w="1210"/>
        <w:gridCol w:w="3542"/>
        <w:gridCol w:w="1210"/>
      </w:tblGrid>
      <w:tr w:rsidR="002171EA" w:rsidRPr="00CC1ECE" w14:paraId="52EDC901" w14:textId="77777777" w:rsidTr="00841148">
        <w:trPr>
          <w:trHeight w:val="243"/>
          <w:jc w:val="center"/>
        </w:trPr>
        <w:tc>
          <w:tcPr>
            <w:tcW w:w="3536" w:type="dxa"/>
            <w:tcBorders>
              <w:top w:val="single" w:sz="12" w:space="0" w:color="auto"/>
              <w:left w:val="single" w:sz="12" w:space="0" w:color="auto"/>
              <w:bottom w:val="single" w:sz="18" w:space="0" w:color="C0504D" w:themeColor="accent2"/>
              <w:right w:val="single" w:sz="8" w:space="0" w:color="0070C0"/>
            </w:tcBorders>
            <w:shd w:val="clear" w:color="auto" w:fill="auto"/>
            <w:vAlign w:val="center"/>
          </w:tcPr>
          <w:p w14:paraId="28C63A32" w14:textId="779AB871" w:rsidR="002171EA" w:rsidRPr="00CC1ECE" w:rsidRDefault="006F0672" w:rsidP="00841148">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Accessory</w:t>
            </w:r>
          </w:p>
        </w:tc>
        <w:tc>
          <w:tcPr>
            <w:tcW w:w="1210" w:type="dxa"/>
            <w:tcBorders>
              <w:top w:val="single" w:sz="12" w:space="0" w:color="auto"/>
              <w:left w:val="single" w:sz="8" w:space="0" w:color="0070C0"/>
              <w:bottom w:val="single" w:sz="18" w:space="0" w:color="C0504D" w:themeColor="accent2"/>
              <w:right w:val="single" w:sz="8" w:space="0" w:color="0070C0"/>
            </w:tcBorders>
            <w:vAlign w:val="center"/>
          </w:tcPr>
          <w:p w14:paraId="15F41CB3" w14:textId="454B9B01" w:rsidR="002171EA" w:rsidRDefault="006F0672" w:rsidP="00841148">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c>
          <w:tcPr>
            <w:tcW w:w="3542" w:type="dxa"/>
            <w:tcBorders>
              <w:top w:val="single" w:sz="12" w:space="0" w:color="auto"/>
              <w:left w:val="single" w:sz="18" w:space="0" w:color="0070C0"/>
              <w:bottom w:val="single" w:sz="18" w:space="0" w:color="C0504D" w:themeColor="accent2"/>
              <w:right w:val="single" w:sz="8" w:space="0" w:color="0070C0"/>
            </w:tcBorders>
            <w:shd w:val="clear" w:color="auto" w:fill="auto"/>
            <w:vAlign w:val="center"/>
          </w:tcPr>
          <w:p w14:paraId="50FDA9F6" w14:textId="46173061" w:rsidR="002171EA" w:rsidRPr="00CC1ECE" w:rsidRDefault="006F0672" w:rsidP="00841148">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Accessory</w:t>
            </w:r>
          </w:p>
        </w:tc>
        <w:tc>
          <w:tcPr>
            <w:tcW w:w="1210" w:type="dxa"/>
            <w:tcBorders>
              <w:top w:val="single" w:sz="12" w:space="0" w:color="auto"/>
              <w:left w:val="single" w:sz="8" w:space="0" w:color="0070C0"/>
              <w:bottom w:val="single" w:sz="18" w:space="0" w:color="C0504D" w:themeColor="accent2"/>
              <w:right w:val="single" w:sz="12" w:space="0" w:color="000000"/>
            </w:tcBorders>
            <w:shd w:val="clear" w:color="auto" w:fill="auto"/>
            <w:vAlign w:val="center"/>
          </w:tcPr>
          <w:p w14:paraId="51B2C99F" w14:textId="0060B401" w:rsidR="002171EA" w:rsidRPr="00CC1ECE" w:rsidRDefault="006F0672" w:rsidP="00841148">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r>
      <w:tr w:rsidR="002171EA" w:rsidRPr="00CC1ECE" w14:paraId="156F0C25" w14:textId="77777777" w:rsidTr="006F0672">
        <w:trPr>
          <w:trHeight w:val="243"/>
          <w:jc w:val="center"/>
        </w:trPr>
        <w:tc>
          <w:tcPr>
            <w:tcW w:w="3536" w:type="dxa"/>
            <w:tcBorders>
              <w:top w:val="single" w:sz="18" w:space="0" w:color="C0504D" w:themeColor="accent2"/>
              <w:left w:val="single" w:sz="12" w:space="0" w:color="auto"/>
              <w:bottom w:val="single" w:sz="4" w:space="0" w:color="000000"/>
              <w:right w:val="single" w:sz="8" w:space="0" w:color="0070C0"/>
            </w:tcBorders>
            <w:shd w:val="clear" w:color="auto" w:fill="auto"/>
            <w:vAlign w:val="center"/>
          </w:tcPr>
          <w:p w14:paraId="074508F4" w14:textId="6EFC3C91" w:rsidR="002171EA" w:rsidRDefault="006F0672" w:rsidP="00E8643C">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 Spa steps (tie)</w:t>
            </w:r>
          </w:p>
        </w:tc>
        <w:tc>
          <w:tcPr>
            <w:tcW w:w="1210" w:type="dxa"/>
            <w:tcBorders>
              <w:top w:val="single" w:sz="18" w:space="0" w:color="C0504D" w:themeColor="accent2"/>
              <w:left w:val="single" w:sz="8" w:space="0" w:color="0070C0"/>
              <w:bottom w:val="single" w:sz="4" w:space="0" w:color="000000"/>
              <w:right w:val="single" w:sz="8" w:space="0" w:color="0070C0"/>
            </w:tcBorders>
            <w:shd w:val="clear" w:color="auto" w:fill="00B050"/>
            <w:vAlign w:val="center"/>
          </w:tcPr>
          <w:p w14:paraId="6F69B53C" w14:textId="04D0643F" w:rsidR="002171EA" w:rsidRDefault="006F0672" w:rsidP="00E8643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85%</w:t>
            </w:r>
          </w:p>
        </w:tc>
        <w:tc>
          <w:tcPr>
            <w:tcW w:w="3542" w:type="dxa"/>
            <w:tcBorders>
              <w:top w:val="single" w:sz="18" w:space="0" w:color="C0504D" w:themeColor="accent2"/>
              <w:left w:val="single" w:sz="18" w:space="0" w:color="0070C0"/>
              <w:bottom w:val="single" w:sz="4" w:space="0" w:color="000000"/>
              <w:right w:val="single" w:sz="8" w:space="0" w:color="0070C0"/>
            </w:tcBorders>
            <w:shd w:val="clear" w:color="auto" w:fill="auto"/>
            <w:vAlign w:val="center"/>
          </w:tcPr>
          <w:p w14:paraId="455A9FD4" w14:textId="42F34CA0" w:rsidR="002171EA" w:rsidRDefault="006F0672" w:rsidP="00E8643C">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#7: Surrounds/Enclosures (tie)</w:t>
            </w:r>
          </w:p>
        </w:tc>
        <w:tc>
          <w:tcPr>
            <w:tcW w:w="1210" w:type="dxa"/>
            <w:tcBorders>
              <w:top w:val="single" w:sz="18" w:space="0" w:color="C0504D" w:themeColor="accent2"/>
              <w:left w:val="single" w:sz="8" w:space="0" w:color="0070C0"/>
              <w:bottom w:val="single" w:sz="4" w:space="0" w:color="000000"/>
              <w:right w:val="single" w:sz="12" w:space="0" w:color="000000"/>
            </w:tcBorders>
            <w:shd w:val="clear" w:color="auto" w:fill="D6E3BC" w:themeFill="accent3" w:themeFillTint="66"/>
            <w:vAlign w:val="center"/>
          </w:tcPr>
          <w:p w14:paraId="17AE513B" w14:textId="357CE125" w:rsidR="002171EA" w:rsidRDefault="006F0672" w:rsidP="00E8643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26%</w:t>
            </w:r>
          </w:p>
        </w:tc>
      </w:tr>
      <w:tr w:rsidR="002171EA" w:rsidRPr="00CC1ECE" w14:paraId="4A93CBC2" w14:textId="77777777" w:rsidTr="006F0672">
        <w:trPr>
          <w:trHeight w:val="54"/>
          <w:jc w:val="center"/>
        </w:trPr>
        <w:tc>
          <w:tcPr>
            <w:tcW w:w="3536" w:type="dxa"/>
            <w:tcBorders>
              <w:top w:val="single" w:sz="4" w:space="0" w:color="000000"/>
              <w:left w:val="single" w:sz="12" w:space="0" w:color="auto"/>
              <w:bottom w:val="single" w:sz="4" w:space="0" w:color="000000"/>
              <w:right w:val="single" w:sz="8" w:space="0" w:color="0070C0"/>
            </w:tcBorders>
            <w:shd w:val="clear" w:color="auto" w:fill="auto"/>
            <w:vAlign w:val="center"/>
          </w:tcPr>
          <w:p w14:paraId="60319466" w14:textId="7ABC4CFE" w:rsidR="002171EA" w:rsidRDefault="006F0672" w:rsidP="00E8643C">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 Cover lifters (tie)</w:t>
            </w:r>
          </w:p>
        </w:tc>
        <w:tc>
          <w:tcPr>
            <w:tcW w:w="1210" w:type="dxa"/>
            <w:tcBorders>
              <w:top w:val="single" w:sz="4" w:space="0" w:color="000000"/>
              <w:left w:val="single" w:sz="8" w:space="0" w:color="0070C0"/>
              <w:bottom w:val="single" w:sz="4" w:space="0" w:color="000000"/>
              <w:right w:val="single" w:sz="8" w:space="0" w:color="0070C0"/>
            </w:tcBorders>
            <w:shd w:val="clear" w:color="auto" w:fill="00B050"/>
            <w:vAlign w:val="center"/>
          </w:tcPr>
          <w:p w14:paraId="2E8DB1E6" w14:textId="51881212" w:rsidR="002171EA" w:rsidRDefault="006F0672" w:rsidP="00E8643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85%</w:t>
            </w:r>
          </w:p>
        </w:tc>
        <w:tc>
          <w:tcPr>
            <w:tcW w:w="3542"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0CEE988E" w14:textId="76EF077E" w:rsidR="002171EA" w:rsidRPr="00CC1ECE" w:rsidRDefault="006F0672" w:rsidP="00E8643C">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#7: Safety lock (tie)</w:t>
            </w:r>
          </w:p>
        </w:tc>
        <w:tc>
          <w:tcPr>
            <w:tcW w:w="1210" w:type="dxa"/>
            <w:tcBorders>
              <w:top w:val="single" w:sz="4" w:space="0" w:color="000000"/>
              <w:left w:val="single" w:sz="8" w:space="0" w:color="0070C0"/>
              <w:bottom w:val="single" w:sz="4" w:space="0" w:color="000000"/>
              <w:right w:val="single" w:sz="12" w:space="0" w:color="000000"/>
            </w:tcBorders>
            <w:shd w:val="clear" w:color="auto" w:fill="D6E3BC" w:themeFill="accent3" w:themeFillTint="66"/>
            <w:vAlign w:val="center"/>
          </w:tcPr>
          <w:p w14:paraId="350637B4" w14:textId="4C5DED57" w:rsidR="002171EA" w:rsidRPr="00CC1ECE" w:rsidRDefault="006F0672" w:rsidP="00E8643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26%</w:t>
            </w:r>
          </w:p>
        </w:tc>
      </w:tr>
      <w:tr w:rsidR="006F0672" w:rsidRPr="00CC1ECE" w14:paraId="2D540D45" w14:textId="77777777" w:rsidTr="006F0672">
        <w:trPr>
          <w:trHeight w:val="54"/>
          <w:jc w:val="center"/>
        </w:trPr>
        <w:tc>
          <w:tcPr>
            <w:tcW w:w="3536" w:type="dxa"/>
            <w:tcBorders>
              <w:top w:val="single" w:sz="4" w:space="0" w:color="000000"/>
              <w:left w:val="single" w:sz="12" w:space="0" w:color="auto"/>
              <w:bottom w:val="single" w:sz="4" w:space="0" w:color="000000"/>
              <w:right w:val="single" w:sz="8" w:space="0" w:color="0070C0"/>
            </w:tcBorders>
            <w:shd w:val="clear" w:color="auto" w:fill="auto"/>
            <w:vAlign w:val="center"/>
          </w:tcPr>
          <w:p w14:paraId="2FFFCD1E" w14:textId="45124F5A" w:rsidR="006F0672" w:rsidRDefault="006F0672" w:rsidP="00E8643C">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#3: Covers</w:t>
            </w:r>
          </w:p>
        </w:tc>
        <w:tc>
          <w:tcPr>
            <w:tcW w:w="1210" w:type="dxa"/>
            <w:tcBorders>
              <w:top w:val="single" w:sz="4" w:space="0" w:color="000000"/>
              <w:left w:val="single" w:sz="8" w:space="0" w:color="0070C0"/>
              <w:bottom w:val="single" w:sz="4" w:space="0" w:color="000000"/>
              <w:right w:val="single" w:sz="8" w:space="0" w:color="0070C0"/>
            </w:tcBorders>
            <w:shd w:val="clear" w:color="auto" w:fill="92D050"/>
            <w:vAlign w:val="center"/>
          </w:tcPr>
          <w:p w14:paraId="036CC647" w14:textId="6E9EED42" w:rsidR="006F0672" w:rsidRDefault="006F0672" w:rsidP="00E8643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65%</w:t>
            </w:r>
          </w:p>
        </w:tc>
        <w:tc>
          <w:tcPr>
            <w:tcW w:w="3542"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7EFF451E" w14:textId="4F422CC3" w:rsidR="006F0672" w:rsidRPr="00CC1ECE" w:rsidRDefault="006F0672" w:rsidP="00E8643C">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#9: Storage</w:t>
            </w:r>
          </w:p>
        </w:tc>
        <w:tc>
          <w:tcPr>
            <w:tcW w:w="1210" w:type="dxa"/>
            <w:tcBorders>
              <w:top w:val="single" w:sz="4" w:space="0" w:color="000000"/>
              <w:left w:val="single" w:sz="8" w:space="0" w:color="0070C0"/>
              <w:bottom w:val="single" w:sz="4" w:space="0" w:color="000000"/>
              <w:right w:val="single" w:sz="12" w:space="0" w:color="000000"/>
            </w:tcBorders>
            <w:shd w:val="clear" w:color="auto" w:fill="D6E3BC" w:themeFill="accent3" w:themeFillTint="66"/>
            <w:vAlign w:val="center"/>
          </w:tcPr>
          <w:p w14:paraId="220B7A00" w14:textId="74C360C8" w:rsidR="006F0672" w:rsidRPr="00CC1ECE" w:rsidRDefault="006F0672" w:rsidP="00E8643C">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24%</w:t>
            </w:r>
          </w:p>
        </w:tc>
      </w:tr>
      <w:tr w:rsidR="006F0672" w:rsidRPr="00CC1ECE" w14:paraId="782F02C8" w14:textId="77777777" w:rsidTr="006F0672">
        <w:trPr>
          <w:trHeight w:val="54"/>
          <w:jc w:val="center"/>
        </w:trPr>
        <w:tc>
          <w:tcPr>
            <w:tcW w:w="3536" w:type="dxa"/>
            <w:tcBorders>
              <w:top w:val="single" w:sz="4" w:space="0" w:color="000000"/>
              <w:left w:val="single" w:sz="12" w:space="0" w:color="auto"/>
              <w:bottom w:val="single" w:sz="4" w:space="0" w:color="000000"/>
              <w:right w:val="single" w:sz="8" w:space="0" w:color="0070C0"/>
            </w:tcBorders>
            <w:shd w:val="clear" w:color="auto" w:fill="auto"/>
            <w:vAlign w:val="center"/>
          </w:tcPr>
          <w:p w14:paraId="22FCA360" w14:textId="26E7CAE2" w:rsidR="006F0672" w:rsidRDefault="006F0672" w:rsidP="006F0672">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#4: Spa fragrances/conditioners</w:t>
            </w:r>
          </w:p>
        </w:tc>
        <w:tc>
          <w:tcPr>
            <w:tcW w:w="1210" w:type="dxa"/>
            <w:tcBorders>
              <w:top w:val="single" w:sz="4" w:space="0" w:color="000000"/>
              <w:left w:val="single" w:sz="8" w:space="0" w:color="0070C0"/>
              <w:bottom w:val="single" w:sz="4" w:space="0" w:color="000000"/>
              <w:right w:val="single" w:sz="8" w:space="0" w:color="0070C0"/>
            </w:tcBorders>
            <w:shd w:val="clear" w:color="auto" w:fill="92D050"/>
            <w:vAlign w:val="center"/>
          </w:tcPr>
          <w:p w14:paraId="15F90410" w14:textId="7C47C5C5" w:rsidR="006F0672" w:rsidRDefault="006F0672" w:rsidP="006F067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56%</w:t>
            </w:r>
          </w:p>
        </w:tc>
        <w:tc>
          <w:tcPr>
            <w:tcW w:w="3542"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0D1DA6B1" w14:textId="527868BD" w:rsidR="006F0672" w:rsidRPr="00CC1ECE" w:rsidRDefault="006F0672" w:rsidP="006F0672">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#10: Privacy screens</w:t>
            </w:r>
          </w:p>
        </w:tc>
        <w:tc>
          <w:tcPr>
            <w:tcW w:w="1210" w:type="dxa"/>
            <w:tcBorders>
              <w:top w:val="single" w:sz="4" w:space="0" w:color="000000"/>
              <w:left w:val="single" w:sz="8" w:space="0" w:color="0070C0"/>
              <w:bottom w:val="single" w:sz="4" w:space="0" w:color="000000"/>
              <w:right w:val="single" w:sz="12" w:space="0" w:color="000000"/>
            </w:tcBorders>
            <w:shd w:val="clear" w:color="auto" w:fill="D6E3BC" w:themeFill="accent3" w:themeFillTint="66"/>
            <w:vAlign w:val="center"/>
          </w:tcPr>
          <w:p w14:paraId="56CC56E9" w14:textId="31613F7B" w:rsidR="006F0672" w:rsidRPr="00CC1ECE" w:rsidRDefault="006F0672" w:rsidP="006F067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21%</w:t>
            </w:r>
          </w:p>
        </w:tc>
      </w:tr>
      <w:tr w:rsidR="006F0672" w:rsidRPr="00CC1ECE" w14:paraId="0E9ADF29" w14:textId="77777777" w:rsidTr="006F0672">
        <w:trPr>
          <w:trHeight w:val="54"/>
          <w:jc w:val="center"/>
        </w:trPr>
        <w:tc>
          <w:tcPr>
            <w:tcW w:w="3536" w:type="dxa"/>
            <w:tcBorders>
              <w:top w:val="single" w:sz="4" w:space="0" w:color="000000"/>
              <w:left w:val="single" w:sz="12" w:space="0" w:color="auto"/>
              <w:bottom w:val="single" w:sz="4" w:space="0" w:color="000000"/>
              <w:right w:val="single" w:sz="8" w:space="0" w:color="0070C0"/>
            </w:tcBorders>
            <w:shd w:val="clear" w:color="auto" w:fill="auto"/>
            <w:vAlign w:val="center"/>
          </w:tcPr>
          <w:p w14:paraId="3E8AA034" w14:textId="3ADA7B6E" w:rsidR="006F0672" w:rsidRDefault="006F0672" w:rsidP="006F0672">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#5: Umbrellas/Canopies</w:t>
            </w:r>
          </w:p>
        </w:tc>
        <w:tc>
          <w:tcPr>
            <w:tcW w:w="1210" w:type="dxa"/>
            <w:tcBorders>
              <w:top w:val="single" w:sz="4" w:space="0" w:color="000000"/>
              <w:left w:val="single" w:sz="8" w:space="0" w:color="0070C0"/>
              <w:bottom w:val="single" w:sz="4" w:space="0" w:color="000000"/>
              <w:right w:val="single" w:sz="8" w:space="0" w:color="0070C0"/>
            </w:tcBorders>
            <w:shd w:val="clear" w:color="auto" w:fill="C2D69B" w:themeFill="accent3" w:themeFillTint="99"/>
            <w:vAlign w:val="center"/>
          </w:tcPr>
          <w:p w14:paraId="52742893" w14:textId="201E0C95" w:rsidR="006F0672" w:rsidRDefault="006F0672" w:rsidP="006F067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41%</w:t>
            </w:r>
          </w:p>
        </w:tc>
        <w:tc>
          <w:tcPr>
            <w:tcW w:w="3542"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4D456B30" w14:textId="1668F425" w:rsidR="006F0672" w:rsidRPr="00CC1ECE" w:rsidRDefault="006F0672" w:rsidP="006F0672">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#11: Other</w:t>
            </w:r>
          </w:p>
        </w:tc>
        <w:tc>
          <w:tcPr>
            <w:tcW w:w="1210" w:type="dxa"/>
            <w:tcBorders>
              <w:top w:val="single" w:sz="4" w:space="0" w:color="000000"/>
              <w:left w:val="single" w:sz="8" w:space="0" w:color="0070C0"/>
              <w:bottom w:val="single" w:sz="4" w:space="0" w:color="000000"/>
              <w:right w:val="single" w:sz="12" w:space="0" w:color="000000"/>
            </w:tcBorders>
            <w:shd w:val="clear" w:color="auto" w:fill="EAF1DD" w:themeFill="accent3" w:themeFillTint="33"/>
            <w:vAlign w:val="center"/>
          </w:tcPr>
          <w:p w14:paraId="2E6FB5B6" w14:textId="614C9733" w:rsidR="006F0672" w:rsidRPr="00CC1ECE" w:rsidRDefault="006F0672" w:rsidP="006F067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18%</w:t>
            </w:r>
          </w:p>
        </w:tc>
      </w:tr>
      <w:tr w:rsidR="006F0672" w:rsidRPr="00CC1ECE" w14:paraId="0618066E" w14:textId="77777777" w:rsidTr="006F0672">
        <w:trPr>
          <w:trHeight w:val="54"/>
          <w:jc w:val="center"/>
        </w:trPr>
        <w:tc>
          <w:tcPr>
            <w:tcW w:w="3536" w:type="dxa"/>
            <w:tcBorders>
              <w:top w:val="single" w:sz="4" w:space="0" w:color="000000"/>
              <w:left w:val="single" w:sz="12" w:space="0" w:color="auto"/>
              <w:bottom w:val="single" w:sz="12" w:space="0" w:color="000000"/>
              <w:right w:val="single" w:sz="8" w:space="0" w:color="0070C0"/>
            </w:tcBorders>
            <w:shd w:val="clear" w:color="auto" w:fill="auto"/>
            <w:vAlign w:val="center"/>
          </w:tcPr>
          <w:p w14:paraId="666FEBC7" w14:textId="1FC99A02" w:rsidR="006F0672" w:rsidRDefault="006F0672" w:rsidP="006F0672">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#6: Towel racks</w:t>
            </w:r>
          </w:p>
        </w:tc>
        <w:tc>
          <w:tcPr>
            <w:tcW w:w="1210" w:type="dxa"/>
            <w:tcBorders>
              <w:top w:val="single" w:sz="4" w:space="0" w:color="000000"/>
              <w:left w:val="single" w:sz="8" w:space="0" w:color="0070C0"/>
              <w:bottom w:val="single" w:sz="12" w:space="0" w:color="000000"/>
              <w:right w:val="single" w:sz="8" w:space="0" w:color="0070C0"/>
            </w:tcBorders>
            <w:shd w:val="clear" w:color="auto" w:fill="C2D69B" w:themeFill="accent3" w:themeFillTint="99"/>
            <w:vAlign w:val="center"/>
          </w:tcPr>
          <w:p w14:paraId="35BA8385" w14:textId="71CA925C" w:rsidR="006F0672" w:rsidRDefault="006F0672" w:rsidP="006F067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30%</w:t>
            </w:r>
          </w:p>
        </w:tc>
        <w:tc>
          <w:tcPr>
            <w:tcW w:w="3542" w:type="dxa"/>
            <w:tcBorders>
              <w:top w:val="single" w:sz="4" w:space="0" w:color="000000"/>
              <w:left w:val="single" w:sz="18" w:space="0" w:color="0070C0"/>
              <w:bottom w:val="single" w:sz="12" w:space="0" w:color="000000"/>
              <w:right w:val="single" w:sz="8" w:space="0" w:color="0070C0"/>
            </w:tcBorders>
            <w:shd w:val="clear" w:color="auto" w:fill="D9D9D9" w:themeFill="background1" w:themeFillShade="D9"/>
            <w:vAlign w:val="center"/>
          </w:tcPr>
          <w:p w14:paraId="4F5458DC" w14:textId="5DC6937A" w:rsidR="006F0672" w:rsidRPr="00CC1ECE" w:rsidRDefault="006F0672" w:rsidP="006F0672">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p>
        </w:tc>
        <w:tc>
          <w:tcPr>
            <w:tcW w:w="1210" w:type="dxa"/>
            <w:tcBorders>
              <w:top w:val="single" w:sz="4" w:space="0" w:color="000000"/>
              <w:left w:val="single" w:sz="8" w:space="0" w:color="0070C0"/>
              <w:bottom w:val="single" w:sz="12" w:space="0" w:color="000000"/>
              <w:right w:val="single" w:sz="12" w:space="0" w:color="000000"/>
            </w:tcBorders>
            <w:shd w:val="clear" w:color="auto" w:fill="D9D9D9" w:themeFill="background1" w:themeFillShade="D9"/>
            <w:vAlign w:val="center"/>
          </w:tcPr>
          <w:p w14:paraId="01110C78" w14:textId="4F3AD08F" w:rsidR="006F0672" w:rsidRPr="00CC1ECE" w:rsidRDefault="006F0672" w:rsidP="006F0672">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p>
        </w:tc>
      </w:tr>
    </w:tbl>
    <w:p w14:paraId="6BFDBFC9" w14:textId="165F9701" w:rsidR="00403F66" w:rsidRDefault="006F0672" w:rsidP="006F0672">
      <w:pPr>
        <w:spacing w:after="0" w:line="240" w:lineRule="auto"/>
        <w:contextualSpacing/>
        <w:mirrorIndents/>
        <w:rPr>
          <w:rFonts w:ascii="Verdana" w:hAnsi="Verdana"/>
          <w:sz w:val="20"/>
          <w:szCs w:val="20"/>
        </w:rPr>
      </w:pPr>
      <w:r w:rsidRPr="007C63EF">
        <w:rPr>
          <w:rFonts w:ascii="Verdana" w:hAnsi="Verdana"/>
          <w:i/>
          <w:iCs/>
          <w:sz w:val="16"/>
          <w:szCs w:val="16"/>
        </w:rPr>
        <w:t>Aqua</w:t>
      </w:r>
      <w:r>
        <w:rPr>
          <w:rFonts w:ascii="Verdana" w:hAnsi="Verdana"/>
          <w:sz w:val="16"/>
          <w:szCs w:val="16"/>
        </w:rPr>
        <w:t>, May 2022</w:t>
      </w:r>
    </w:p>
    <w:p w14:paraId="7F307220" w14:textId="77777777" w:rsidR="00403F66" w:rsidRPr="002B7B47" w:rsidRDefault="00403F66" w:rsidP="002B7B47">
      <w:pPr>
        <w:spacing w:after="0" w:line="240" w:lineRule="auto"/>
        <w:contextualSpacing/>
        <w:mirrorIndents/>
        <w:rPr>
          <w:rFonts w:ascii="Verdana" w:hAnsi="Verdana"/>
          <w:sz w:val="20"/>
          <w:szCs w:val="20"/>
        </w:rPr>
      </w:pPr>
    </w:p>
    <w:p w14:paraId="33885904" w14:textId="77777777" w:rsidR="002B7B47" w:rsidRPr="00CD1A19" w:rsidRDefault="002B7B47" w:rsidP="00CD1A19">
      <w:pPr>
        <w:spacing w:after="0" w:line="240" w:lineRule="auto"/>
        <w:contextualSpacing/>
        <w:mirrorIndents/>
        <w:jc w:val="center"/>
        <w:rPr>
          <w:rFonts w:ascii="Verdana" w:hAnsi="Verdana"/>
          <w:b/>
          <w:bCs/>
          <w:color w:val="0070C0"/>
          <w:sz w:val="20"/>
          <w:szCs w:val="20"/>
        </w:rPr>
      </w:pPr>
      <w:r w:rsidRPr="00CD1A19">
        <w:rPr>
          <w:rFonts w:ascii="Verdana" w:hAnsi="Verdana"/>
          <w:b/>
          <w:bCs/>
          <w:color w:val="0070C0"/>
          <w:sz w:val="20"/>
          <w:szCs w:val="20"/>
        </w:rPr>
        <w:lastRenderedPageBreak/>
        <w:t>Demand for Service Is Strong</w:t>
      </w:r>
    </w:p>
    <w:p w14:paraId="10CBB6B0" w14:textId="77777777" w:rsidR="002B7B47" w:rsidRPr="002B7B47" w:rsidRDefault="002B7B47" w:rsidP="002B7B47">
      <w:pPr>
        <w:spacing w:after="0" w:line="240" w:lineRule="auto"/>
        <w:contextualSpacing/>
        <w:mirrorIndents/>
        <w:rPr>
          <w:rFonts w:ascii="Verdana" w:hAnsi="Verdana"/>
          <w:sz w:val="20"/>
          <w:szCs w:val="20"/>
        </w:rPr>
      </w:pPr>
    </w:p>
    <w:p w14:paraId="291FB57E" w14:textId="41622B2E" w:rsidR="00CD1A19" w:rsidRDefault="009311F0" w:rsidP="002B7B47">
      <w:pPr>
        <w:spacing w:after="0" w:line="240" w:lineRule="auto"/>
        <w:contextualSpacing/>
        <w:mirrorIndents/>
        <w:rPr>
          <w:rFonts w:ascii="Verdana" w:hAnsi="Verdana"/>
          <w:sz w:val="20"/>
          <w:szCs w:val="20"/>
        </w:rPr>
      </w:pPr>
      <w:r>
        <w:rPr>
          <w:rFonts w:ascii="Verdana" w:hAnsi="Verdana"/>
          <w:sz w:val="20"/>
          <w:szCs w:val="20"/>
        </w:rPr>
        <w:t xml:space="preserve">According to </w:t>
      </w:r>
      <w:r w:rsidRPr="003A7348">
        <w:rPr>
          <w:rFonts w:ascii="Verdana" w:hAnsi="Verdana"/>
          <w:i/>
          <w:iCs/>
          <w:sz w:val="20"/>
          <w:szCs w:val="20"/>
        </w:rPr>
        <w:t>Aqua</w:t>
      </w:r>
      <w:r>
        <w:rPr>
          <w:rFonts w:ascii="Verdana" w:hAnsi="Verdana"/>
          <w:sz w:val="20"/>
          <w:szCs w:val="20"/>
        </w:rPr>
        <w:t xml:space="preserve"> magazine’s 2022 State of the Industry Service Report, 58% of surveyed </w:t>
      </w:r>
      <w:r w:rsidR="00841148">
        <w:rPr>
          <w:rFonts w:ascii="Verdana" w:hAnsi="Verdana"/>
          <w:sz w:val="20"/>
          <w:szCs w:val="20"/>
        </w:rPr>
        <w:t>providers</w:t>
      </w:r>
      <w:r>
        <w:rPr>
          <w:rFonts w:ascii="Verdana" w:hAnsi="Verdana"/>
          <w:sz w:val="20"/>
          <w:szCs w:val="20"/>
        </w:rPr>
        <w:t xml:space="preserve"> said </w:t>
      </w:r>
      <w:r w:rsidR="00841148">
        <w:rPr>
          <w:rFonts w:ascii="Verdana" w:hAnsi="Verdana"/>
          <w:sz w:val="20"/>
          <w:szCs w:val="20"/>
        </w:rPr>
        <w:t xml:space="preserve">their 2021 </w:t>
      </w:r>
      <w:r>
        <w:rPr>
          <w:rFonts w:ascii="Verdana" w:hAnsi="Verdana"/>
          <w:sz w:val="20"/>
          <w:szCs w:val="20"/>
        </w:rPr>
        <w:t>business was great while 25% said revenues were average.</w:t>
      </w:r>
    </w:p>
    <w:p w14:paraId="7861D97E" w14:textId="5CE1A212" w:rsidR="009311F0" w:rsidRDefault="009311F0" w:rsidP="002B7B47">
      <w:pPr>
        <w:spacing w:after="0" w:line="240" w:lineRule="auto"/>
        <w:contextualSpacing/>
        <w:mirrorIndents/>
        <w:rPr>
          <w:rFonts w:ascii="Verdana" w:hAnsi="Verdana"/>
          <w:sz w:val="20"/>
          <w:szCs w:val="20"/>
        </w:rPr>
      </w:pPr>
    </w:p>
    <w:p w14:paraId="57136A93" w14:textId="7B9F04E5" w:rsidR="009311F0" w:rsidRDefault="009311F0" w:rsidP="002B7B47">
      <w:pPr>
        <w:spacing w:after="0" w:line="240" w:lineRule="auto"/>
        <w:contextualSpacing/>
        <w:mirrorIndents/>
        <w:rPr>
          <w:rFonts w:ascii="Verdana" w:hAnsi="Verdana"/>
          <w:sz w:val="20"/>
          <w:szCs w:val="20"/>
        </w:rPr>
      </w:pPr>
      <w:r>
        <w:rPr>
          <w:rFonts w:ascii="Verdana" w:hAnsi="Verdana"/>
          <w:sz w:val="20"/>
          <w:szCs w:val="20"/>
        </w:rPr>
        <w:t xml:space="preserve">2021 revenues increased essentially as much as 2020, or 65% and 66%, respectively, but significantly fewer service </w:t>
      </w:r>
      <w:r w:rsidR="00841148">
        <w:rPr>
          <w:rFonts w:ascii="Verdana" w:hAnsi="Verdana"/>
          <w:sz w:val="20"/>
          <w:szCs w:val="20"/>
        </w:rPr>
        <w:t>providers</w:t>
      </w:r>
      <w:r>
        <w:rPr>
          <w:rFonts w:ascii="Verdana" w:hAnsi="Verdana"/>
          <w:sz w:val="20"/>
          <w:szCs w:val="20"/>
        </w:rPr>
        <w:t xml:space="preserve"> said the</w:t>
      </w:r>
      <w:r w:rsidR="00F963BA">
        <w:rPr>
          <w:rFonts w:ascii="Verdana" w:hAnsi="Verdana"/>
          <w:sz w:val="20"/>
          <w:szCs w:val="20"/>
        </w:rPr>
        <w:t>ir</w:t>
      </w:r>
      <w:r>
        <w:rPr>
          <w:rFonts w:ascii="Verdana" w:hAnsi="Verdana"/>
          <w:sz w:val="20"/>
          <w:szCs w:val="20"/>
        </w:rPr>
        <w:t xml:space="preserve"> revenues had decreased during 2021 than 2020, or 8% and 14%, respectively. </w:t>
      </w:r>
    </w:p>
    <w:p w14:paraId="4B734C0A" w14:textId="213901C3" w:rsidR="009311F0" w:rsidRDefault="009311F0" w:rsidP="002B7B47">
      <w:pPr>
        <w:spacing w:after="0" w:line="240" w:lineRule="auto"/>
        <w:contextualSpacing/>
        <w:mirrorIndents/>
        <w:rPr>
          <w:rFonts w:ascii="Verdana" w:hAnsi="Verdana"/>
          <w:sz w:val="20"/>
          <w:szCs w:val="20"/>
        </w:rPr>
      </w:pPr>
    </w:p>
    <w:p w14:paraId="23055F6C" w14:textId="7374AD6F" w:rsidR="009311F0" w:rsidRDefault="009311F0" w:rsidP="002B7B47">
      <w:pPr>
        <w:spacing w:after="0" w:line="240" w:lineRule="auto"/>
        <w:contextualSpacing/>
        <w:mirrorIndents/>
        <w:rPr>
          <w:rFonts w:ascii="Verdana" w:hAnsi="Verdana"/>
          <w:sz w:val="20"/>
          <w:szCs w:val="20"/>
        </w:rPr>
      </w:pPr>
      <w:r>
        <w:rPr>
          <w:rFonts w:ascii="Verdana" w:hAnsi="Verdana"/>
          <w:sz w:val="20"/>
          <w:szCs w:val="20"/>
        </w:rPr>
        <w:t xml:space="preserve">Supply-chain and labor issues also had negative impacts on these service </w:t>
      </w:r>
      <w:r w:rsidR="00841148">
        <w:rPr>
          <w:rFonts w:ascii="Verdana" w:hAnsi="Verdana"/>
          <w:sz w:val="20"/>
          <w:szCs w:val="20"/>
        </w:rPr>
        <w:t>provider</w:t>
      </w:r>
      <w:r>
        <w:rPr>
          <w:rFonts w:ascii="Verdana" w:hAnsi="Verdana"/>
          <w:sz w:val="20"/>
          <w:szCs w:val="20"/>
        </w:rPr>
        <w:t>s.</w:t>
      </w:r>
      <w:r w:rsidR="00940805">
        <w:rPr>
          <w:rFonts w:ascii="Verdana" w:hAnsi="Verdana"/>
          <w:sz w:val="20"/>
          <w:szCs w:val="20"/>
        </w:rPr>
        <w:t xml:space="preserve"> Slightly more than half (51%) had customers who switched to alternative sanitizing methods because of the chlorine shortage.</w:t>
      </w:r>
    </w:p>
    <w:p w14:paraId="65898C05" w14:textId="77777777" w:rsidR="00CD1A19" w:rsidRDefault="00CD1A19" w:rsidP="002B7B47">
      <w:pPr>
        <w:spacing w:after="0" w:line="240" w:lineRule="auto"/>
        <w:contextualSpacing/>
        <w:mirrorIndents/>
        <w:rPr>
          <w:rFonts w:ascii="Verdana" w:hAnsi="Verdana"/>
          <w:sz w:val="20"/>
          <w:szCs w:val="20"/>
        </w:rPr>
      </w:pPr>
    </w:p>
    <w:p w14:paraId="3CC71049" w14:textId="77777777" w:rsidR="00940805" w:rsidRDefault="00940805" w:rsidP="00940805">
      <w:pPr>
        <w:pStyle w:val="Header"/>
        <w:contextualSpacing/>
        <w:jc w:val="center"/>
        <w:rPr>
          <w:rFonts w:ascii="Verdana" w:hAnsi="Verdana"/>
          <w:b/>
          <w:sz w:val="20"/>
          <w:szCs w:val="20"/>
        </w:rPr>
      </w:pPr>
      <w:r>
        <w:rPr>
          <w:rFonts w:ascii="Verdana" w:hAnsi="Verdana"/>
          <w:b/>
          <w:sz w:val="20"/>
          <w:szCs w:val="20"/>
        </w:rPr>
        <w:t xml:space="preserve">Pool, Hot Tub and Spa Service  Businesses’ </w:t>
      </w:r>
    </w:p>
    <w:p w14:paraId="7C50B062" w14:textId="3E8BA2F4" w:rsidR="008632E8" w:rsidRPr="00CC1ECE" w:rsidRDefault="00940805" w:rsidP="008632E8">
      <w:pPr>
        <w:pStyle w:val="Header"/>
        <w:contextualSpacing/>
        <w:jc w:val="center"/>
        <w:rPr>
          <w:rFonts w:ascii="Verdana" w:hAnsi="Verdana"/>
          <w:b/>
          <w:sz w:val="20"/>
          <w:szCs w:val="20"/>
        </w:rPr>
      </w:pPr>
      <w:r>
        <w:rPr>
          <w:rFonts w:ascii="Verdana" w:hAnsi="Verdana"/>
          <w:b/>
          <w:sz w:val="20"/>
          <w:szCs w:val="20"/>
        </w:rPr>
        <w:t>Perspectives on the Consolidation of the Industry, 2022</w:t>
      </w:r>
    </w:p>
    <w:tbl>
      <w:tblPr>
        <w:tblW w:w="11571" w:type="dxa"/>
        <w:jc w:val="center"/>
        <w:tblBorders>
          <w:left w:val="single" w:sz="8" w:space="0" w:color="000000"/>
          <w:right w:val="single" w:sz="8" w:space="0" w:color="000000"/>
        </w:tblBorders>
        <w:tblLayout w:type="fixed"/>
        <w:tblLook w:val="0000" w:firstRow="0" w:lastRow="0" w:firstColumn="0" w:lastColumn="0" w:noHBand="0" w:noVBand="0"/>
      </w:tblPr>
      <w:tblGrid>
        <w:gridCol w:w="4515"/>
        <w:gridCol w:w="1267"/>
        <w:gridCol w:w="4522"/>
        <w:gridCol w:w="1267"/>
      </w:tblGrid>
      <w:tr w:rsidR="00940805" w:rsidRPr="00CC1ECE" w14:paraId="1F11DED8" w14:textId="77777777" w:rsidTr="009C44A2">
        <w:trPr>
          <w:trHeight w:val="243"/>
          <w:jc w:val="center"/>
        </w:trPr>
        <w:tc>
          <w:tcPr>
            <w:tcW w:w="4515" w:type="dxa"/>
            <w:tcBorders>
              <w:top w:val="single" w:sz="12" w:space="0" w:color="auto"/>
              <w:left w:val="single" w:sz="12" w:space="0" w:color="auto"/>
              <w:bottom w:val="single" w:sz="18" w:space="0" w:color="C0504D" w:themeColor="accent2"/>
              <w:right w:val="single" w:sz="8" w:space="0" w:color="0070C0"/>
            </w:tcBorders>
            <w:shd w:val="clear" w:color="auto" w:fill="auto"/>
            <w:vAlign w:val="center"/>
          </w:tcPr>
          <w:p w14:paraId="01EA6FC5" w14:textId="1253AC1D" w:rsidR="00940805" w:rsidRPr="00CC1ECE" w:rsidRDefault="00940805" w:rsidP="00E8643C">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Perspective</w:t>
            </w:r>
          </w:p>
        </w:tc>
        <w:tc>
          <w:tcPr>
            <w:tcW w:w="1267" w:type="dxa"/>
            <w:tcBorders>
              <w:top w:val="single" w:sz="12" w:space="0" w:color="auto"/>
              <w:left w:val="single" w:sz="8" w:space="0" w:color="0070C0"/>
              <w:bottom w:val="single" w:sz="18" w:space="0" w:color="C0504D" w:themeColor="accent2"/>
              <w:right w:val="single" w:sz="8" w:space="0" w:color="0070C0"/>
            </w:tcBorders>
            <w:vAlign w:val="center"/>
          </w:tcPr>
          <w:p w14:paraId="19CE9A5B" w14:textId="77777777" w:rsidR="00940805" w:rsidRDefault="00940805" w:rsidP="00E8643C">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c>
          <w:tcPr>
            <w:tcW w:w="4522" w:type="dxa"/>
            <w:tcBorders>
              <w:top w:val="single" w:sz="12" w:space="0" w:color="auto"/>
              <w:left w:val="single" w:sz="18" w:space="0" w:color="0070C0"/>
              <w:bottom w:val="single" w:sz="18" w:space="0" w:color="C0504D" w:themeColor="accent2"/>
              <w:right w:val="single" w:sz="8" w:space="0" w:color="0070C0"/>
            </w:tcBorders>
            <w:shd w:val="clear" w:color="auto" w:fill="auto"/>
            <w:vAlign w:val="center"/>
          </w:tcPr>
          <w:p w14:paraId="26045AF9" w14:textId="15C5AFDB" w:rsidR="00940805" w:rsidRPr="00CC1ECE" w:rsidRDefault="00940805" w:rsidP="00E8643C">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Perspective</w:t>
            </w:r>
          </w:p>
        </w:tc>
        <w:tc>
          <w:tcPr>
            <w:tcW w:w="1267" w:type="dxa"/>
            <w:tcBorders>
              <w:top w:val="single" w:sz="12" w:space="0" w:color="auto"/>
              <w:left w:val="single" w:sz="8" w:space="0" w:color="0070C0"/>
              <w:bottom w:val="single" w:sz="18" w:space="0" w:color="C0504D" w:themeColor="accent2"/>
              <w:right w:val="single" w:sz="12" w:space="0" w:color="000000"/>
            </w:tcBorders>
            <w:shd w:val="clear" w:color="auto" w:fill="auto"/>
            <w:vAlign w:val="center"/>
          </w:tcPr>
          <w:p w14:paraId="1022B8A2" w14:textId="77777777" w:rsidR="00940805" w:rsidRPr="00CC1ECE" w:rsidRDefault="00940805" w:rsidP="00E8643C">
            <w:pPr>
              <w:widowControl w:val="0"/>
              <w:tabs>
                <w:tab w:val="left" w:pos="220"/>
                <w:tab w:val="left" w:pos="720"/>
              </w:tabs>
              <w:autoSpaceDE w:val="0"/>
              <w:autoSpaceDN w:val="0"/>
              <w:adjustRightInd w:val="0"/>
              <w:spacing w:after="0" w:line="240" w:lineRule="auto"/>
              <w:contextualSpacing/>
              <w:jc w:val="center"/>
              <w:rPr>
                <w:rFonts w:ascii="Verdana" w:eastAsia="Times New Roman" w:hAnsi="Verdana"/>
                <w:sz w:val="20"/>
                <w:szCs w:val="20"/>
              </w:rPr>
            </w:pPr>
            <w:r>
              <w:rPr>
                <w:rFonts w:ascii="Verdana" w:eastAsia="Times New Roman" w:hAnsi="Verdana"/>
                <w:sz w:val="20"/>
                <w:szCs w:val="20"/>
              </w:rPr>
              <w:t>Percent</w:t>
            </w:r>
          </w:p>
        </w:tc>
      </w:tr>
      <w:tr w:rsidR="008632E8" w:rsidRPr="00CC1ECE" w14:paraId="3B1F0226" w14:textId="77777777" w:rsidTr="009C44A2">
        <w:trPr>
          <w:trHeight w:val="243"/>
          <w:jc w:val="center"/>
        </w:trPr>
        <w:tc>
          <w:tcPr>
            <w:tcW w:w="4515" w:type="dxa"/>
            <w:tcBorders>
              <w:top w:val="single" w:sz="18" w:space="0" w:color="C0504D" w:themeColor="accent2"/>
              <w:left w:val="single" w:sz="12" w:space="0" w:color="auto"/>
              <w:bottom w:val="single" w:sz="4" w:space="0" w:color="000000"/>
              <w:right w:val="single" w:sz="8" w:space="0" w:color="0070C0"/>
            </w:tcBorders>
            <w:shd w:val="clear" w:color="auto" w:fill="auto"/>
            <w:vAlign w:val="center"/>
          </w:tcPr>
          <w:p w14:paraId="0B9EBC98" w14:textId="7BE0FA64" w:rsidR="008632E8" w:rsidRDefault="008632E8" w:rsidP="008632E8">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Stifling corporate rules and distant management decisions</w:t>
            </w:r>
          </w:p>
        </w:tc>
        <w:tc>
          <w:tcPr>
            <w:tcW w:w="1267" w:type="dxa"/>
            <w:tcBorders>
              <w:top w:val="single" w:sz="18" w:space="0" w:color="C0504D" w:themeColor="accent2"/>
              <w:left w:val="single" w:sz="8" w:space="0" w:color="0070C0"/>
              <w:bottom w:val="single" w:sz="4" w:space="0" w:color="000000"/>
              <w:right w:val="single" w:sz="8" w:space="0" w:color="0070C0"/>
            </w:tcBorders>
            <w:shd w:val="clear" w:color="auto" w:fill="FF0000"/>
            <w:vAlign w:val="center"/>
          </w:tcPr>
          <w:p w14:paraId="63B5C891" w14:textId="7B55DD07" w:rsidR="008632E8" w:rsidRDefault="008632E8" w:rsidP="008632E8">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51%</w:t>
            </w:r>
          </w:p>
        </w:tc>
        <w:tc>
          <w:tcPr>
            <w:tcW w:w="4522" w:type="dxa"/>
            <w:tcBorders>
              <w:top w:val="single" w:sz="18" w:space="0" w:color="C0504D" w:themeColor="accent2"/>
              <w:left w:val="single" w:sz="18" w:space="0" w:color="0070C0"/>
              <w:bottom w:val="single" w:sz="4" w:space="0" w:color="000000"/>
              <w:right w:val="single" w:sz="8" w:space="0" w:color="0070C0"/>
            </w:tcBorders>
            <w:shd w:val="clear" w:color="auto" w:fill="auto"/>
            <w:vAlign w:val="center"/>
          </w:tcPr>
          <w:p w14:paraId="4FDC491A" w14:textId="6DF9A3A5" w:rsidR="008632E8" w:rsidRDefault="008632E8" w:rsidP="008632E8">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Better career opportunities</w:t>
            </w:r>
          </w:p>
        </w:tc>
        <w:tc>
          <w:tcPr>
            <w:tcW w:w="1267" w:type="dxa"/>
            <w:tcBorders>
              <w:top w:val="single" w:sz="18" w:space="0" w:color="C0504D" w:themeColor="accent2"/>
              <w:left w:val="single" w:sz="8" w:space="0" w:color="0070C0"/>
              <w:bottom w:val="single" w:sz="4" w:space="0" w:color="000000"/>
              <w:right w:val="single" w:sz="12" w:space="0" w:color="000000"/>
            </w:tcBorders>
            <w:shd w:val="clear" w:color="auto" w:fill="D6E3BC" w:themeFill="accent3" w:themeFillTint="66"/>
            <w:vAlign w:val="center"/>
          </w:tcPr>
          <w:p w14:paraId="50ED4FE6" w14:textId="1D07E83B" w:rsidR="008632E8" w:rsidRDefault="008632E8" w:rsidP="008632E8">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17%</w:t>
            </w:r>
          </w:p>
        </w:tc>
      </w:tr>
      <w:tr w:rsidR="008632E8" w:rsidRPr="00CC1ECE" w14:paraId="0C8BD022" w14:textId="77777777" w:rsidTr="009C44A2">
        <w:trPr>
          <w:trHeight w:val="54"/>
          <w:jc w:val="center"/>
        </w:trPr>
        <w:tc>
          <w:tcPr>
            <w:tcW w:w="4515" w:type="dxa"/>
            <w:tcBorders>
              <w:top w:val="single" w:sz="4" w:space="0" w:color="000000"/>
              <w:left w:val="single" w:sz="12" w:space="0" w:color="auto"/>
              <w:bottom w:val="single" w:sz="4" w:space="0" w:color="000000"/>
              <w:right w:val="single" w:sz="8" w:space="0" w:color="0070C0"/>
            </w:tcBorders>
            <w:shd w:val="clear" w:color="auto" w:fill="auto"/>
            <w:vAlign w:val="center"/>
          </w:tcPr>
          <w:p w14:paraId="6865F746" w14:textId="6B46B9A6" w:rsidR="008632E8" w:rsidRDefault="008632E8" w:rsidP="008632E8">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Good, small companies will be swallowed</w:t>
            </w:r>
          </w:p>
        </w:tc>
        <w:tc>
          <w:tcPr>
            <w:tcW w:w="1267" w:type="dxa"/>
            <w:tcBorders>
              <w:top w:val="single" w:sz="4" w:space="0" w:color="000000"/>
              <w:left w:val="single" w:sz="8" w:space="0" w:color="0070C0"/>
              <w:bottom w:val="single" w:sz="4" w:space="0" w:color="000000"/>
              <w:right w:val="single" w:sz="8" w:space="0" w:color="0070C0"/>
            </w:tcBorders>
            <w:shd w:val="clear" w:color="auto" w:fill="D99594" w:themeFill="accent2" w:themeFillTint="99"/>
            <w:vAlign w:val="center"/>
          </w:tcPr>
          <w:p w14:paraId="2ACC303E" w14:textId="6CC6EF16" w:rsidR="008632E8" w:rsidRDefault="008632E8" w:rsidP="008632E8">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41%</w:t>
            </w:r>
          </w:p>
        </w:tc>
        <w:tc>
          <w:tcPr>
            <w:tcW w:w="4522"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76637F01" w14:textId="0F7A57E2" w:rsidR="008632E8" w:rsidRPr="00CC1ECE" w:rsidRDefault="008632E8" w:rsidP="008632E8">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Better compensation for workers</w:t>
            </w:r>
          </w:p>
        </w:tc>
        <w:tc>
          <w:tcPr>
            <w:tcW w:w="1267" w:type="dxa"/>
            <w:tcBorders>
              <w:top w:val="single" w:sz="4" w:space="0" w:color="000000"/>
              <w:left w:val="single" w:sz="8" w:space="0" w:color="0070C0"/>
              <w:bottom w:val="single" w:sz="4" w:space="0" w:color="000000"/>
              <w:right w:val="single" w:sz="12" w:space="0" w:color="000000"/>
            </w:tcBorders>
            <w:shd w:val="clear" w:color="auto" w:fill="D6E3BC" w:themeFill="accent3" w:themeFillTint="66"/>
            <w:vAlign w:val="center"/>
          </w:tcPr>
          <w:p w14:paraId="620C4A50" w14:textId="65F19942" w:rsidR="008632E8" w:rsidRPr="00CC1ECE" w:rsidRDefault="008632E8" w:rsidP="008632E8">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15%</w:t>
            </w:r>
          </w:p>
        </w:tc>
      </w:tr>
      <w:tr w:rsidR="008632E8" w:rsidRPr="00CC1ECE" w14:paraId="1656CBEF" w14:textId="77777777" w:rsidTr="009C44A2">
        <w:trPr>
          <w:trHeight w:val="54"/>
          <w:jc w:val="center"/>
        </w:trPr>
        <w:tc>
          <w:tcPr>
            <w:tcW w:w="4515" w:type="dxa"/>
            <w:tcBorders>
              <w:top w:val="single" w:sz="4" w:space="0" w:color="000000"/>
              <w:left w:val="single" w:sz="12" w:space="0" w:color="auto"/>
              <w:bottom w:val="single" w:sz="4" w:space="0" w:color="000000"/>
              <w:right w:val="single" w:sz="8" w:space="0" w:color="0070C0"/>
            </w:tcBorders>
            <w:shd w:val="clear" w:color="auto" w:fill="auto"/>
            <w:vAlign w:val="center"/>
          </w:tcPr>
          <w:p w14:paraId="6ABC5F7F" w14:textId="5BA64D60" w:rsidR="008632E8" w:rsidRDefault="008632E8" w:rsidP="008632E8">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Loss of humane, small company character</w:t>
            </w:r>
          </w:p>
        </w:tc>
        <w:tc>
          <w:tcPr>
            <w:tcW w:w="1267" w:type="dxa"/>
            <w:tcBorders>
              <w:top w:val="single" w:sz="4" w:space="0" w:color="000000"/>
              <w:left w:val="single" w:sz="8" w:space="0" w:color="0070C0"/>
              <w:bottom w:val="single" w:sz="4" w:space="0" w:color="000000"/>
              <w:right w:val="single" w:sz="8" w:space="0" w:color="0070C0"/>
            </w:tcBorders>
            <w:shd w:val="clear" w:color="auto" w:fill="D99594" w:themeFill="accent2" w:themeFillTint="99"/>
            <w:vAlign w:val="center"/>
          </w:tcPr>
          <w:p w14:paraId="57A87F59" w14:textId="281AF3D1" w:rsidR="008632E8" w:rsidRDefault="008632E8" w:rsidP="008632E8">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33%</w:t>
            </w:r>
          </w:p>
        </w:tc>
        <w:tc>
          <w:tcPr>
            <w:tcW w:w="4522" w:type="dxa"/>
            <w:tcBorders>
              <w:top w:val="single" w:sz="4" w:space="0" w:color="000000"/>
              <w:left w:val="single" w:sz="18" w:space="0" w:color="0070C0"/>
              <w:bottom w:val="single" w:sz="4" w:space="0" w:color="000000"/>
              <w:right w:val="single" w:sz="8" w:space="0" w:color="0070C0"/>
            </w:tcBorders>
            <w:shd w:val="clear" w:color="auto" w:fill="auto"/>
            <w:vAlign w:val="center"/>
          </w:tcPr>
          <w:p w14:paraId="762A6EF7" w14:textId="0ECBF282" w:rsidR="008632E8" w:rsidRPr="00CC1ECE" w:rsidRDefault="008632E8" w:rsidP="008632E8">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Worse compensation for workers</w:t>
            </w:r>
          </w:p>
        </w:tc>
        <w:tc>
          <w:tcPr>
            <w:tcW w:w="1267" w:type="dxa"/>
            <w:tcBorders>
              <w:top w:val="single" w:sz="4" w:space="0" w:color="000000"/>
              <w:left w:val="single" w:sz="8" w:space="0" w:color="0070C0"/>
              <w:bottom w:val="single" w:sz="4" w:space="0" w:color="000000"/>
              <w:right w:val="single" w:sz="12" w:space="0" w:color="000000"/>
            </w:tcBorders>
            <w:shd w:val="clear" w:color="auto" w:fill="E5B8B7" w:themeFill="accent2" w:themeFillTint="66"/>
            <w:vAlign w:val="center"/>
          </w:tcPr>
          <w:p w14:paraId="54F000AD" w14:textId="620FDD3A" w:rsidR="008632E8" w:rsidRPr="00CC1ECE" w:rsidRDefault="008632E8" w:rsidP="008632E8">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14%</w:t>
            </w:r>
          </w:p>
        </w:tc>
      </w:tr>
      <w:tr w:rsidR="008632E8" w:rsidRPr="00CC1ECE" w14:paraId="4D317178" w14:textId="77777777" w:rsidTr="009C44A2">
        <w:trPr>
          <w:trHeight w:val="54"/>
          <w:jc w:val="center"/>
        </w:trPr>
        <w:tc>
          <w:tcPr>
            <w:tcW w:w="4515" w:type="dxa"/>
            <w:tcBorders>
              <w:top w:val="single" w:sz="4" w:space="0" w:color="000000"/>
              <w:left w:val="single" w:sz="12" w:space="0" w:color="auto"/>
              <w:bottom w:val="single" w:sz="12" w:space="0" w:color="000000"/>
              <w:right w:val="single" w:sz="8" w:space="0" w:color="0070C0"/>
            </w:tcBorders>
            <w:shd w:val="clear" w:color="auto" w:fill="auto"/>
            <w:vAlign w:val="center"/>
          </w:tcPr>
          <w:p w14:paraId="1ADA568F" w14:textId="320EF412" w:rsidR="008632E8" w:rsidRDefault="008632E8" w:rsidP="008632E8">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More professionalism, better reputation</w:t>
            </w:r>
          </w:p>
        </w:tc>
        <w:tc>
          <w:tcPr>
            <w:tcW w:w="1267" w:type="dxa"/>
            <w:tcBorders>
              <w:top w:val="single" w:sz="4" w:space="0" w:color="000000"/>
              <w:left w:val="single" w:sz="8" w:space="0" w:color="0070C0"/>
              <w:bottom w:val="single" w:sz="12" w:space="0" w:color="000000"/>
              <w:right w:val="single" w:sz="8" w:space="0" w:color="0070C0"/>
            </w:tcBorders>
            <w:shd w:val="clear" w:color="auto" w:fill="C2D69B" w:themeFill="accent3" w:themeFillTint="99"/>
            <w:vAlign w:val="center"/>
          </w:tcPr>
          <w:p w14:paraId="45377168" w14:textId="7E0F2AB7" w:rsidR="008632E8" w:rsidRDefault="008632E8" w:rsidP="008632E8">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31%</w:t>
            </w:r>
          </w:p>
        </w:tc>
        <w:tc>
          <w:tcPr>
            <w:tcW w:w="4522" w:type="dxa"/>
            <w:tcBorders>
              <w:top w:val="single" w:sz="4" w:space="0" w:color="000000"/>
              <w:left w:val="single" w:sz="18" w:space="0" w:color="0070C0"/>
              <w:bottom w:val="single" w:sz="12" w:space="0" w:color="000000"/>
              <w:right w:val="single" w:sz="8" w:space="0" w:color="0070C0"/>
            </w:tcBorders>
            <w:shd w:val="clear" w:color="auto" w:fill="auto"/>
            <w:vAlign w:val="center"/>
          </w:tcPr>
          <w:p w14:paraId="7B068B3A" w14:textId="713D600B" w:rsidR="008632E8" w:rsidRPr="00CC1ECE" w:rsidRDefault="008632E8" w:rsidP="008632E8">
            <w:pPr>
              <w:widowControl w:val="0"/>
              <w:tabs>
                <w:tab w:val="left" w:pos="220"/>
                <w:tab w:val="left" w:pos="720"/>
              </w:tabs>
              <w:autoSpaceDE w:val="0"/>
              <w:autoSpaceDN w:val="0"/>
              <w:adjustRightInd w:val="0"/>
              <w:spacing w:after="0" w:line="240" w:lineRule="auto"/>
              <w:contextualSpacing/>
              <w:rPr>
                <w:rFonts w:ascii="Verdana" w:eastAsia="Times New Roman" w:hAnsi="Verdana"/>
                <w:sz w:val="20"/>
                <w:szCs w:val="20"/>
              </w:rPr>
            </w:pPr>
            <w:r>
              <w:rPr>
                <w:rFonts w:ascii="Verdana" w:eastAsia="Times New Roman" w:hAnsi="Verdana"/>
                <w:sz w:val="20"/>
                <w:szCs w:val="20"/>
              </w:rPr>
              <w:t>Other</w:t>
            </w:r>
          </w:p>
        </w:tc>
        <w:tc>
          <w:tcPr>
            <w:tcW w:w="1267" w:type="dxa"/>
            <w:tcBorders>
              <w:top w:val="single" w:sz="4" w:space="0" w:color="000000"/>
              <w:left w:val="single" w:sz="8" w:space="0" w:color="0070C0"/>
              <w:bottom w:val="single" w:sz="12" w:space="0" w:color="000000"/>
              <w:right w:val="single" w:sz="12" w:space="0" w:color="000000"/>
            </w:tcBorders>
            <w:shd w:val="clear" w:color="auto" w:fill="F2F2F2" w:themeFill="background1" w:themeFillShade="F2"/>
            <w:vAlign w:val="center"/>
          </w:tcPr>
          <w:p w14:paraId="45183837" w14:textId="5A9A6A79" w:rsidR="008632E8" w:rsidRPr="00CC1ECE" w:rsidRDefault="008632E8" w:rsidP="008632E8">
            <w:pPr>
              <w:widowControl w:val="0"/>
              <w:tabs>
                <w:tab w:val="left" w:pos="220"/>
                <w:tab w:val="left" w:pos="720"/>
              </w:tabs>
              <w:autoSpaceDE w:val="0"/>
              <w:autoSpaceDN w:val="0"/>
              <w:adjustRightInd w:val="0"/>
              <w:spacing w:after="0" w:line="240" w:lineRule="auto"/>
              <w:contextualSpacing/>
              <w:jc w:val="right"/>
              <w:rPr>
                <w:rFonts w:ascii="Verdana" w:eastAsia="Times New Roman" w:hAnsi="Verdana"/>
                <w:sz w:val="20"/>
                <w:szCs w:val="20"/>
              </w:rPr>
            </w:pPr>
            <w:r>
              <w:rPr>
                <w:rFonts w:ascii="Verdana" w:eastAsia="Times New Roman" w:hAnsi="Verdana"/>
                <w:sz w:val="20"/>
                <w:szCs w:val="20"/>
              </w:rPr>
              <w:t>20%</w:t>
            </w:r>
          </w:p>
        </w:tc>
      </w:tr>
    </w:tbl>
    <w:p w14:paraId="7CDADA1D" w14:textId="77777777" w:rsidR="00940805" w:rsidRDefault="00940805" w:rsidP="00940805">
      <w:pPr>
        <w:spacing w:after="0" w:line="240" w:lineRule="auto"/>
        <w:contextualSpacing/>
        <w:mirrorIndents/>
        <w:rPr>
          <w:rFonts w:ascii="Verdana" w:hAnsi="Verdana"/>
          <w:sz w:val="20"/>
          <w:szCs w:val="20"/>
        </w:rPr>
      </w:pPr>
      <w:r w:rsidRPr="007C63EF">
        <w:rPr>
          <w:rFonts w:ascii="Verdana" w:hAnsi="Verdana"/>
          <w:i/>
          <w:iCs/>
          <w:sz w:val="16"/>
          <w:szCs w:val="16"/>
        </w:rPr>
        <w:t>Aqua</w:t>
      </w:r>
      <w:r>
        <w:rPr>
          <w:rFonts w:ascii="Verdana" w:hAnsi="Verdana"/>
          <w:sz w:val="16"/>
          <w:szCs w:val="16"/>
        </w:rPr>
        <w:t>, May 2022</w:t>
      </w:r>
    </w:p>
    <w:p w14:paraId="1A3EE04D" w14:textId="77777777" w:rsidR="00940805" w:rsidRDefault="00940805" w:rsidP="002B7B47">
      <w:pPr>
        <w:spacing w:after="0" w:line="240" w:lineRule="auto"/>
        <w:contextualSpacing/>
        <w:mirrorIndents/>
        <w:rPr>
          <w:rFonts w:ascii="Verdana" w:hAnsi="Verdana"/>
          <w:sz w:val="20"/>
          <w:szCs w:val="20"/>
        </w:rPr>
      </w:pPr>
    </w:p>
    <w:p w14:paraId="722C354F" w14:textId="32A366C7" w:rsidR="002B7B47" w:rsidRPr="008632E8" w:rsidRDefault="002B7B47" w:rsidP="008632E8">
      <w:pPr>
        <w:spacing w:after="0" w:line="240" w:lineRule="auto"/>
        <w:contextualSpacing/>
        <w:mirrorIndents/>
        <w:jc w:val="center"/>
        <w:rPr>
          <w:rFonts w:ascii="Verdana" w:hAnsi="Verdana"/>
          <w:b/>
          <w:bCs/>
          <w:color w:val="0070C0"/>
          <w:sz w:val="20"/>
          <w:szCs w:val="20"/>
        </w:rPr>
      </w:pPr>
      <w:r w:rsidRPr="008632E8">
        <w:rPr>
          <w:rFonts w:ascii="Verdana" w:hAnsi="Verdana"/>
          <w:b/>
          <w:bCs/>
          <w:color w:val="0070C0"/>
          <w:sz w:val="20"/>
          <w:szCs w:val="20"/>
        </w:rPr>
        <w:t xml:space="preserve">More Households </w:t>
      </w:r>
      <w:r w:rsidR="00841148">
        <w:rPr>
          <w:rFonts w:ascii="Verdana" w:hAnsi="Verdana"/>
          <w:b/>
          <w:bCs/>
          <w:color w:val="0070C0"/>
          <w:sz w:val="20"/>
          <w:szCs w:val="20"/>
        </w:rPr>
        <w:t xml:space="preserve">Are </w:t>
      </w:r>
      <w:r w:rsidRPr="008632E8">
        <w:rPr>
          <w:rFonts w:ascii="Verdana" w:hAnsi="Verdana"/>
          <w:b/>
          <w:bCs/>
          <w:color w:val="0070C0"/>
          <w:sz w:val="20"/>
          <w:szCs w:val="20"/>
        </w:rPr>
        <w:t>Enjoying Outdoor Living</w:t>
      </w:r>
    </w:p>
    <w:p w14:paraId="286AC9F6" w14:textId="77777777" w:rsidR="00F94CE8" w:rsidRPr="002B7B47" w:rsidRDefault="00F94CE8" w:rsidP="002B7B47">
      <w:pPr>
        <w:pStyle w:val="NoSpacing"/>
        <w:contextualSpacing/>
        <w:mirrorIndents/>
        <w:rPr>
          <w:rFonts w:ascii="Verdana" w:hAnsi="Verdana"/>
          <w:sz w:val="20"/>
          <w:szCs w:val="20"/>
        </w:rPr>
      </w:pPr>
    </w:p>
    <w:p w14:paraId="23D2BAA2" w14:textId="4FBE2758" w:rsidR="00F94CE8" w:rsidRDefault="00524E86" w:rsidP="002B7B47">
      <w:pPr>
        <w:pStyle w:val="NoSpacing"/>
        <w:contextualSpacing/>
        <w:mirrorIndents/>
        <w:rPr>
          <w:rFonts w:ascii="Verdana" w:hAnsi="Verdana"/>
          <w:sz w:val="20"/>
          <w:szCs w:val="20"/>
        </w:rPr>
      </w:pPr>
      <w:r>
        <w:rPr>
          <w:rFonts w:ascii="Verdana" w:hAnsi="Verdana"/>
          <w:sz w:val="20"/>
          <w:szCs w:val="20"/>
        </w:rPr>
        <w:t xml:space="preserve">Other sub-sectors of the Outdoor Living Market have also suffered from supply-chain issues. Nonetheless, Nationwide Marketing Group reports </w:t>
      </w:r>
      <w:r w:rsidR="007C7E2C">
        <w:rPr>
          <w:rFonts w:ascii="Verdana" w:hAnsi="Verdana"/>
          <w:sz w:val="20"/>
          <w:szCs w:val="20"/>
        </w:rPr>
        <w:t>2021 sales for the grills sub-sector increased 15% during 2021 and it forecasts a 9% increase for 2022.</w:t>
      </w:r>
    </w:p>
    <w:p w14:paraId="4CF82C91" w14:textId="67D28918" w:rsidR="007C7E2C" w:rsidRDefault="007C7E2C" w:rsidP="002B7B47">
      <w:pPr>
        <w:pStyle w:val="NoSpacing"/>
        <w:contextualSpacing/>
        <w:mirrorIndents/>
        <w:rPr>
          <w:rFonts w:ascii="Verdana" w:hAnsi="Verdana"/>
          <w:sz w:val="20"/>
          <w:szCs w:val="20"/>
        </w:rPr>
      </w:pPr>
    </w:p>
    <w:p w14:paraId="12E2566E" w14:textId="37BDBC6C" w:rsidR="007C7E2C" w:rsidRDefault="007C7E2C" w:rsidP="002B7B47">
      <w:pPr>
        <w:pStyle w:val="NoSpacing"/>
        <w:contextualSpacing/>
        <w:mirrorIndents/>
        <w:rPr>
          <w:rFonts w:ascii="Verdana" w:hAnsi="Verdana"/>
          <w:sz w:val="20"/>
          <w:szCs w:val="20"/>
        </w:rPr>
      </w:pPr>
      <w:r>
        <w:rPr>
          <w:rFonts w:ascii="Verdana" w:hAnsi="Verdana"/>
          <w:sz w:val="20"/>
          <w:szCs w:val="20"/>
        </w:rPr>
        <w:t>Interestingly, gas grills were only popular with 57% of consumers, compared to 80% 10 years ago. Pellet grills have increased in popularity and will gain approximately a 22% share of the 2022 market, exceeding charcoal grills for the first time during the past 100 years.</w:t>
      </w:r>
    </w:p>
    <w:p w14:paraId="04F2462B" w14:textId="5D7A854F" w:rsidR="007C7E2C" w:rsidRDefault="007C7E2C" w:rsidP="002B7B47">
      <w:pPr>
        <w:pStyle w:val="NoSpacing"/>
        <w:contextualSpacing/>
        <w:mirrorIndents/>
        <w:rPr>
          <w:rFonts w:ascii="Verdana" w:hAnsi="Verdana"/>
          <w:sz w:val="20"/>
          <w:szCs w:val="20"/>
        </w:rPr>
      </w:pPr>
    </w:p>
    <w:p w14:paraId="40590F8D" w14:textId="69AEA6FE" w:rsidR="007C7E2C" w:rsidRPr="002B7B47" w:rsidRDefault="007C7E2C" w:rsidP="002B7B47">
      <w:pPr>
        <w:pStyle w:val="NoSpacing"/>
        <w:contextualSpacing/>
        <w:mirrorIndents/>
        <w:rPr>
          <w:rFonts w:ascii="Verdana" w:hAnsi="Verdana"/>
          <w:sz w:val="20"/>
          <w:szCs w:val="20"/>
        </w:rPr>
      </w:pPr>
      <w:r>
        <w:rPr>
          <w:rFonts w:ascii="Verdana" w:hAnsi="Verdana"/>
          <w:sz w:val="20"/>
          <w:szCs w:val="20"/>
        </w:rPr>
        <w:t xml:space="preserve">According to the National Kitchen &amp; Bath Association (NKBA), a majority (60%) of homeowners said they need an outdoor kitchen. Smokeless fire pits are popular and more outdoor furniture </w:t>
      </w:r>
      <w:r w:rsidR="00D056D3">
        <w:rPr>
          <w:rFonts w:ascii="Verdana" w:hAnsi="Verdana"/>
          <w:sz w:val="20"/>
          <w:szCs w:val="20"/>
        </w:rPr>
        <w:t>with the</w:t>
      </w:r>
      <w:r>
        <w:rPr>
          <w:rFonts w:ascii="Verdana" w:hAnsi="Verdana"/>
          <w:sz w:val="20"/>
          <w:szCs w:val="20"/>
        </w:rPr>
        <w:t xml:space="preserve"> Bohemian Style (Boho)</w:t>
      </w:r>
      <w:r w:rsidR="00D056D3">
        <w:rPr>
          <w:rFonts w:ascii="Verdana" w:hAnsi="Verdana"/>
          <w:sz w:val="20"/>
          <w:szCs w:val="20"/>
        </w:rPr>
        <w:t xml:space="preserve"> is being designed and purchased.</w:t>
      </w:r>
    </w:p>
    <w:p w14:paraId="664EB1A4" w14:textId="77777777" w:rsidR="00F94CE8" w:rsidRPr="002B7B47" w:rsidRDefault="00F94CE8" w:rsidP="002B7B47">
      <w:pPr>
        <w:pStyle w:val="NoSpacing"/>
        <w:contextualSpacing/>
        <w:mirrorIndents/>
        <w:rPr>
          <w:rFonts w:ascii="Verdana" w:hAnsi="Verdana"/>
          <w:sz w:val="20"/>
          <w:szCs w:val="20"/>
        </w:rPr>
      </w:pPr>
    </w:p>
    <w:p w14:paraId="7401C3C8" w14:textId="77777777" w:rsidR="00F94CE8" w:rsidRPr="002B7B47" w:rsidRDefault="00F94CE8" w:rsidP="002B7B47">
      <w:pPr>
        <w:pStyle w:val="NoSpacing"/>
        <w:contextualSpacing/>
        <w:mirrorIndents/>
        <w:rPr>
          <w:rFonts w:ascii="Verdana" w:hAnsi="Verdana"/>
          <w:sz w:val="20"/>
          <w:szCs w:val="20"/>
        </w:rPr>
      </w:pPr>
    </w:p>
    <w:p w14:paraId="02C0BC62" w14:textId="77777777" w:rsidR="00F94CE8" w:rsidRPr="002B7B47" w:rsidRDefault="00F94CE8" w:rsidP="002B7B47">
      <w:pPr>
        <w:pStyle w:val="NoSpacing"/>
        <w:contextualSpacing/>
        <w:mirrorIndents/>
        <w:rPr>
          <w:rFonts w:ascii="Verdana" w:hAnsi="Verdana"/>
          <w:sz w:val="20"/>
          <w:szCs w:val="20"/>
        </w:rPr>
      </w:pPr>
    </w:p>
    <w:p w14:paraId="37079E4B" w14:textId="77777777" w:rsidR="00F94CE8" w:rsidRPr="002B7B47" w:rsidRDefault="00F94CE8" w:rsidP="002B7B47">
      <w:pPr>
        <w:pStyle w:val="NoSpacing"/>
        <w:contextualSpacing/>
        <w:mirrorIndents/>
        <w:rPr>
          <w:rFonts w:ascii="Verdana" w:hAnsi="Verdana"/>
          <w:sz w:val="20"/>
          <w:szCs w:val="20"/>
        </w:rPr>
      </w:pPr>
    </w:p>
    <w:p w14:paraId="3A5080E9" w14:textId="77777777" w:rsidR="00F94CE8" w:rsidRPr="002B7B47" w:rsidRDefault="00F94CE8" w:rsidP="002B7B47">
      <w:pPr>
        <w:pStyle w:val="NoSpacing"/>
        <w:contextualSpacing/>
        <w:mirrorIndents/>
        <w:rPr>
          <w:rFonts w:ascii="Verdana" w:hAnsi="Verdana"/>
          <w:sz w:val="20"/>
          <w:szCs w:val="20"/>
        </w:rPr>
      </w:pPr>
    </w:p>
    <w:p w14:paraId="3D6E3712" w14:textId="77777777" w:rsidR="00F94CE8" w:rsidRPr="002B7B47" w:rsidRDefault="00F94CE8" w:rsidP="002B7B47">
      <w:pPr>
        <w:pStyle w:val="NoSpacing"/>
        <w:contextualSpacing/>
        <w:mirrorIndents/>
        <w:rPr>
          <w:rFonts w:ascii="Verdana" w:hAnsi="Verdana"/>
          <w:sz w:val="20"/>
          <w:szCs w:val="20"/>
        </w:rPr>
      </w:pPr>
    </w:p>
    <w:p w14:paraId="484391DE" w14:textId="77777777" w:rsidR="00F94CE8" w:rsidRPr="002B7B47" w:rsidRDefault="00F94CE8" w:rsidP="002B7B47">
      <w:pPr>
        <w:pStyle w:val="NoSpacing"/>
        <w:contextualSpacing/>
        <w:mirrorIndents/>
        <w:rPr>
          <w:rFonts w:ascii="Verdana" w:hAnsi="Verdana"/>
          <w:sz w:val="20"/>
          <w:szCs w:val="20"/>
        </w:rPr>
      </w:pPr>
    </w:p>
    <w:p w14:paraId="633FD3CD" w14:textId="77777777" w:rsidR="00F94CE8" w:rsidRPr="002B7B47" w:rsidRDefault="00F94CE8" w:rsidP="002B7B47">
      <w:pPr>
        <w:pStyle w:val="NoSpacing"/>
        <w:contextualSpacing/>
        <w:mirrorIndents/>
        <w:rPr>
          <w:rFonts w:ascii="Verdana" w:hAnsi="Verdana"/>
          <w:sz w:val="20"/>
          <w:szCs w:val="20"/>
        </w:rPr>
      </w:pPr>
    </w:p>
    <w:p w14:paraId="22AD5DBB" w14:textId="77777777" w:rsidR="00F94CE8" w:rsidRPr="002B7B47" w:rsidRDefault="00F94CE8" w:rsidP="002B7B47">
      <w:pPr>
        <w:pStyle w:val="NoSpacing"/>
        <w:contextualSpacing/>
        <w:mirrorIndents/>
        <w:rPr>
          <w:rFonts w:ascii="Verdana" w:hAnsi="Verdana"/>
          <w:sz w:val="20"/>
          <w:szCs w:val="20"/>
        </w:rPr>
      </w:pPr>
    </w:p>
    <w:p w14:paraId="6FF184E1" w14:textId="77777777" w:rsidR="00F94CE8" w:rsidRPr="002B7B47" w:rsidRDefault="00F94CE8" w:rsidP="002B7B47">
      <w:pPr>
        <w:pStyle w:val="NoSpacing"/>
        <w:contextualSpacing/>
        <w:mirrorIndents/>
        <w:rPr>
          <w:rFonts w:ascii="Verdana" w:hAnsi="Verdana"/>
          <w:sz w:val="20"/>
          <w:szCs w:val="20"/>
        </w:rPr>
      </w:pPr>
    </w:p>
    <w:p w14:paraId="1F83A38D" w14:textId="77777777" w:rsidR="00F94CE8" w:rsidRPr="002B7B47" w:rsidRDefault="00F94CE8" w:rsidP="002B7B47">
      <w:pPr>
        <w:pStyle w:val="NoSpacing"/>
        <w:contextualSpacing/>
        <w:mirrorIndents/>
        <w:rPr>
          <w:rFonts w:ascii="Verdana" w:hAnsi="Verdana"/>
          <w:sz w:val="20"/>
          <w:szCs w:val="20"/>
        </w:rPr>
      </w:pPr>
    </w:p>
    <w:p w14:paraId="18261CC9" w14:textId="77777777" w:rsidR="00F94CE8" w:rsidRPr="002B7B47" w:rsidRDefault="00F94CE8" w:rsidP="002B7B47">
      <w:pPr>
        <w:pStyle w:val="NoSpacing"/>
        <w:contextualSpacing/>
        <w:mirrorIndents/>
        <w:rPr>
          <w:rFonts w:ascii="Verdana" w:hAnsi="Verdana"/>
          <w:sz w:val="20"/>
          <w:szCs w:val="20"/>
        </w:rPr>
      </w:pPr>
    </w:p>
    <w:p w14:paraId="092B0637" w14:textId="77777777" w:rsidR="00F94CE8" w:rsidRPr="002B7B47" w:rsidRDefault="00F94CE8" w:rsidP="002B7B47">
      <w:pPr>
        <w:pStyle w:val="NoSpacing"/>
        <w:contextualSpacing/>
        <w:mirrorIndents/>
        <w:rPr>
          <w:rFonts w:ascii="Verdana" w:hAnsi="Verdana"/>
          <w:sz w:val="20"/>
          <w:szCs w:val="20"/>
        </w:rPr>
      </w:pPr>
    </w:p>
    <w:p w14:paraId="529A327D" w14:textId="77777777" w:rsidR="00F94CE8" w:rsidRPr="002B7B47" w:rsidRDefault="00F94CE8" w:rsidP="002B7B47">
      <w:pPr>
        <w:pStyle w:val="NoSpacing"/>
        <w:contextualSpacing/>
        <w:mirrorIndents/>
        <w:rPr>
          <w:rFonts w:ascii="Verdana" w:hAnsi="Verdana"/>
          <w:sz w:val="20"/>
          <w:szCs w:val="20"/>
        </w:rPr>
      </w:pPr>
    </w:p>
    <w:p w14:paraId="05B35E5D" w14:textId="3F5178E2" w:rsidR="00F94CE8" w:rsidRPr="00B75062" w:rsidRDefault="00FB418C" w:rsidP="00F94CE8">
      <w:pPr>
        <w:pStyle w:val="NoSpacing"/>
        <w:contextualSpacing/>
        <w:jc w:val="center"/>
        <w:rPr>
          <w:b/>
          <w:color w:val="0070C0"/>
          <w:sz w:val="20"/>
          <w:szCs w:val="20"/>
        </w:rPr>
      </w:pPr>
      <w:r>
        <w:rPr>
          <w:b/>
          <w:color w:val="0070C0"/>
          <w:sz w:val="20"/>
          <w:szCs w:val="20"/>
        </w:rPr>
        <w:lastRenderedPageBreak/>
        <w:t>More Valuable Insights</w:t>
      </w:r>
    </w:p>
    <w:p w14:paraId="718411C0" w14:textId="77777777" w:rsidR="00F94CE8" w:rsidRPr="00A22004" w:rsidRDefault="00F94CE8" w:rsidP="00A22004">
      <w:pPr>
        <w:pStyle w:val="NoSpacing"/>
        <w:contextualSpacing/>
        <w:mirrorIndents/>
        <w:rPr>
          <w:rFonts w:ascii="Verdana" w:hAnsi="Verdana"/>
          <w:sz w:val="20"/>
          <w:szCs w:val="20"/>
        </w:rPr>
      </w:pPr>
    </w:p>
    <w:p w14:paraId="0371E5CA" w14:textId="77777777" w:rsidR="00A22004" w:rsidRPr="00A22004" w:rsidRDefault="00A22004" w:rsidP="00A22004">
      <w:pPr>
        <w:spacing w:after="0" w:line="240" w:lineRule="auto"/>
        <w:contextualSpacing/>
        <w:mirrorIndents/>
        <w:rPr>
          <w:rFonts w:ascii="Verdana" w:hAnsi="Verdana"/>
          <w:sz w:val="20"/>
          <w:szCs w:val="20"/>
        </w:rPr>
      </w:pPr>
      <w:r w:rsidRPr="00A22004">
        <w:rPr>
          <w:rFonts w:ascii="Verdana" w:hAnsi="Verdana"/>
          <w:sz w:val="20"/>
          <w:szCs w:val="20"/>
        </w:rPr>
        <w:t xml:space="preserve">According to </w:t>
      </w:r>
      <w:r w:rsidRPr="001A4BD7">
        <w:rPr>
          <w:rFonts w:ascii="Verdana" w:hAnsi="Verdana"/>
          <w:i/>
          <w:iCs/>
          <w:sz w:val="20"/>
          <w:szCs w:val="20"/>
        </w:rPr>
        <w:t>Aqua</w:t>
      </w:r>
      <w:r w:rsidRPr="00A22004">
        <w:rPr>
          <w:rFonts w:ascii="Verdana" w:hAnsi="Verdana"/>
          <w:sz w:val="20"/>
          <w:szCs w:val="20"/>
        </w:rPr>
        <w:t xml:space="preserve"> magazine’s annual State of the Industry reports, the frantic pace of sales in this consumer vertical since 2020 has moderated. Fewer leads are coming from low- to middle-income households while project leads from more affluent customers haven’t changed much.</w:t>
      </w:r>
    </w:p>
    <w:p w14:paraId="438919E6" w14:textId="77777777" w:rsidR="00A22004" w:rsidRPr="00A22004" w:rsidRDefault="00A22004" w:rsidP="00A22004">
      <w:pPr>
        <w:spacing w:after="0" w:line="240" w:lineRule="auto"/>
        <w:contextualSpacing/>
        <w:mirrorIndents/>
        <w:rPr>
          <w:rFonts w:ascii="Verdana" w:hAnsi="Verdana"/>
          <w:sz w:val="20"/>
          <w:szCs w:val="20"/>
        </w:rPr>
      </w:pPr>
    </w:p>
    <w:p w14:paraId="7DB36A23" w14:textId="77777777" w:rsidR="00A22004" w:rsidRPr="00A22004" w:rsidRDefault="00A22004" w:rsidP="00A22004">
      <w:pPr>
        <w:spacing w:after="0" w:line="240" w:lineRule="auto"/>
        <w:contextualSpacing/>
        <w:mirrorIndents/>
        <w:rPr>
          <w:rFonts w:ascii="Verdana" w:hAnsi="Verdana"/>
          <w:sz w:val="20"/>
          <w:szCs w:val="20"/>
        </w:rPr>
      </w:pPr>
      <w:r w:rsidRPr="00A22004">
        <w:rPr>
          <w:rFonts w:ascii="Verdana" w:hAnsi="Verdana"/>
          <w:sz w:val="20"/>
          <w:szCs w:val="20"/>
        </w:rPr>
        <w:t>Analysis of data from The Media Audit’s 49-market 2021 Aggregate Report supports this trend. Four categories of affluent households who were planning to install a pool, hot tub or spa during the next 12 months over-indexed for heavy exposure to radio (180+ minutes during an average day).</w:t>
      </w:r>
    </w:p>
    <w:p w14:paraId="66FBBBE5" w14:textId="77777777" w:rsidR="00A22004" w:rsidRPr="00A22004" w:rsidRDefault="00A22004" w:rsidP="00A22004">
      <w:pPr>
        <w:spacing w:after="0" w:line="240" w:lineRule="auto"/>
        <w:contextualSpacing/>
        <w:mirrorIndents/>
        <w:rPr>
          <w:rFonts w:ascii="Verdana" w:hAnsi="Verdana"/>
          <w:sz w:val="20"/>
          <w:szCs w:val="20"/>
        </w:rPr>
      </w:pPr>
    </w:p>
    <w:p w14:paraId="23C81AFA" w14:textId="77777777" w:rsidR="00A22004" w:rsidRDefault="00A22004" w:rsidP="00A22004">
      <w:pPr>
        <w:pStyle w:val="ListParagraph"/>
        <w:numPr>
          <w:ilvl w:val="0"/>
          <w:numId w:val="1"/>
        </w:numPr>
        <w:mirrorIndents/>
      </w:pPr>
      <w:r w:rsidRPr="00A22004">
        <w:t>Affluent Baby Boomers with a household income of $250,000+ and various financial assets, such as stocks, savings and CDs – 118</w:t>
      </w:r>
    </w:p>
    <w:p w14:paraId="1F565F56" w14:textId="77777777" w:rsidR="00A22004" w:rsidRDefault="00A22004" w:rsidP="00A22004">
      <w:pPr>
        <w:pStyle w:val="ListParagraph"/>
        <w:numPr>
          <w:ilvl w:val="0"/>
          <w:numId w:val="1"/>
        </w:numPr>
        <w:mirrorIndents/>
      </w:pPr>
      <w:r w:rsidRPr="00A22004">
        <w:t>Affluent working women with a household income of $75,000+ – 112</w:t>
      </w:r>
    </w:p>
    <w:p w14:paraId="233CB3F2" w14:textId="77777777" w:rsidR="00A22004" w:rsidRDefault="00A22004" w:rsidP="00A22004">
      <w:pPr>
        <w:pStyle w:val="ListParagraph"/>
        <w:numPr>
          <w:ilvl w:val="0"/>
          <w:numId w:val="1"/>
        </w:numPr>
        <w:mirrorIndents/>
      </w:pPr>
      <w:r w:rsidRPr="00A22004">
        <w:t>Young adults, 18–34, with a household income of $100,000+ – 105</w:t>
      </w:r>
    </w:p>
    <w:p w14:paraId="5D42FDD4" w14:textId="0B6E5843" w:rsidR="00A22004" w:rsidRPr="00A22004" w:rsidRDefault="00A22004" w:rsidP="00A22004">
      <w:pPr>
        <w:pStyle w:val="ListParagraph"/>
        <w:numPr>
          <w:ilvl w:val="0"/>
          <w:numId w:val="1"/>
        </w:numPr>
        <w:mirrorIndents/>
      </w:pPr>
      <w:r w:rsidRPr="00A22004">
        <w:t>Affluent Full Nesters with a household income of $75,000+ and children at home – 103</w:t>
      </w:r>
    </w:p>
    <w:p w14:paraId="72A9D893" w14:textId="77777777" w:rsidR="00F94CE8" w:rsidRPr="00A22004" w:rsidRDefault="00F94CE8" w:rsidP="00A22004">
      <w:pPr>
        <w:pStyle w:val="NoSpacing"/>
        <w:contextualSpacing/>
        <w:mirrorIndents/>
        <w:rPr>
          <w:rFonts w:ascii="Verdana" w:hAnsi="Verdana"/>
          <w:sz w:val="20"/>
          <w:szCs w:val="20"/>
        </w:rPr>
      </w:pPr>
    </w:p>
    <w:p w14:paraId="78E679E8" w14:textId="77777777" w:rsidR="00F94CE8" w:rsidRPr="00A22004" w:rsidRDefault="00F94CE8" w:rsidP="00A22004">
      <w:pPr>
        <w:pStyle w:val="NoSpacing"/>
        <w:contextualSpacing/>
        <w:mirrorIndents/>
        <w:rPr>
          <w:rFonts w:ascii="Verdana" w:hAnsi="Verdana"/>
          <w:sz w:val="20"/>
          <w:szCs w:val="20"/>
        </w:rPr>
      </w:pPr>
    </w:p>
    <w:p w14:paraId="3CDFB8E2" w14:textId="77777777" w:rsidR="00F94CE8" w:rsidRPr="00A22004" w:rsidRDefault="00F94CE8" w:rsidP="00A22004">
      <w:pPr>
        <w:pStyle w:val="NoSpacing"/>
        <w:contextualSpacing/>
        <w:mirrorIndents/>
        <w:rPr>
          <w:rFonts w:ascii="Verdana" w:hAnsi="Verdana"/>
          <w:sz w:val="20"/>
          <w:szCs w:val="20"/>
        </w:rPr>
      </w:pPr>
    </w:p>
    <w:p w14:paraId="6DC49CD3" w14:textId="77777777" w:rsidR="00F94CE8" w:rsidRPr="00A22004" w:rsidRDefault="00F94CE8" w:rsidP="00A22004">
      <w:pPr>
        <w:pStyle w:val="NoSpacing"/>
        <w:contextualSpacing/>
        <w:mirrorIndents/>
        <w:rPr>
          <w:rFonts w:ascii="Verdana" w:hAnsi="Verdana"/>
          <w:sz w:val="20"/>
          <w:szCs w:val="20"/>
        </w:rPr>
      </w:pPr>
    </w:p>
    <w:p w14:paraId="2AC14BFB" w14:textId="77777777" w:rsidR="00F94CE8" w:rsidRPr="00A22004" w:rsidRDefault="00F94CE8" w:rsidP="00A22004">
      <w:pPr>
        <w:pStyle w:val="NoSpacing"/>
        <w:contextualSpacing/>
        <w:mirrorIndents/>
        <w:rPr>
          <w:rFonts w:ascii="Verdana" w:hAnsi="Verdana"/>
          <w:sz w:val="20"/>
          <w:szCs w:val="20"/>
        </w:rPr>
      </w:pPr>
    </w:p>
    <w:p w14:paraId="548CA371" w14:textId="77777777" w:rsidR="00F94CE8" w:rsidRPr="00A22004" w:rsidRDefault="00F94CE8" w:rsidP="00A22004">
      <w:pPr>
        <w:pStyle w:val="NoSpacing"/>
        <w:contextualSpacing/>
        <w:mirrorIndents/>
        <w:rPr>
          <w:rFonts w:ascii="Verdana" w:hAnsi="Verdana"/>
          <w:sz w:val="20"/>
          <w:szCs w:val="20"/>
        </w:rPr>
      </w:pPr>
    </w:p>
    <w:p w14:paraId="3266F5ED" w14:textId="77777777" w:rsidR="00F94CE8" w:rsidRPr="00A22004" w:rsidRDefault="00F94CE8" w:rsidP="00A22004">
      <w:pPr>
        <w:pStyle w:val="NoSpacing"/>
        <w:contextualSpacing/>
        <w:mirrorIndents/>
        <w:rPr>
          <w:rFonts w:ascii="Verdana" w:hAnsi="Verdana"/>
          <w:sz w:val="20"/>
          <w:szCs w:val="20"/>
        </w:rPr>
      </w:pPr>
    </w:p>
    <w:p w14:paraId="32F550B4" w14:textId="77777777" w:rsidR="00F94CE8" w:rsidRPr="00A22004" w:rsidRDefault="00F94CE8" w:rsidP="00A22004">
      <w:pPr>
        <w:pStyle w:val="NoSpacing"/>
        <w:contextualSpacing/>
        <w:mirrorIndents/>
        <w:rPr>
          <w:rFonts w:ascii="Verdana" w:hAnsi="Verdana"/>
          <w:sz w:val="20"/>
          <w:szCs w:val="20"/>
        </w:rPr>
      </w:pPr>
    </w:p>
    <w:p w14:paraId="0825C76F" w14:textId="77777777" w:rsidR="00F94CE8" w:rsidRPr="00A22004" w:rsidRDefault="00F94CE8" w:rsidP="00A22004">
      <w:pPr>
        <w:pStyle w:val="NoSpacing"/>
        <w:contextualSpacing/>
        <w:mirrorIndents/>
        <w:rPr>
          <w:rFonts w:ascii="Verdana" w:hAnsi="Verdana"/>
          <w:sz w:val="20"/>
          <w:szCs w:val="20"/>
        </w:rPr>
      </w:pPr>
    </w:p>
    <w:p w14:paraId="2C60B016" w14:textId="1FFECE23" w:rsidR="00F94CE8" w:rsidRDefault="00F94CE8" w:rsidP="00A22004">
      <w:pPr>
        <w:pStyle w:val="NoSpacing"/>
        <w:contextualSpacing/>
        <w:mirrorIndents/>
        <w:rPr>
          <w:rFonts w:ascii="Verdana" w:hAnsi="Verdana"/>
          <w:sz w:val="20"/>
          <w:szCs w:val="20"/>
        </w:rPr>
      </w:pPr>
    </w:p>
    <w:p w14:paraId="0D36D05C" w14:textId="0AE42361" w:rsidR="007F1415" w:rsidRDefault="007F1415" w:rsidP="00A22004">
      <w:pPr>
        <w:pStyle w:val="NoSpacing"/>
        <w:contextualSpacing/>
        <w:mirrorIndents/>
        <w:rPr>
          <w:rFonts w:ascii="Verdana" w:hAnsi="Verdana"/>
          <w:sz w:val="20"/>
          <w:szCs w:val="20"/>
        </w:rPr>
      </w:pPr>
    </w:p>
    <w:p w14:paraId="6D2DFE6D" w14:textId="188692A9" w:rsidR="007F1415" w:rsidRDefault="007F1415" w:rsidP="00A22004">
      <w:pPr>
        <w:pStyle w:val="NoSpacing"/>
        <w:contextualSpacing/>
        <w:mirrorIndents/>
        <w:rPr>
          <w:rFonts w:ascii="Verdana" w:hAnsi="Verdana"/>
          <w:sz w:val="20"/>
          <w:szCs w:val="20"/>
        </w:rPr>
      </w:pPr>
    </w:p>
    <w:p w14:paraId="7DB528FE" w14:textId="29F2A30B" w:rsidR="007F1415" w:rsidRDefault="007F1415" w:rsidP="00A22004">
      <w:pPr>
        <w:pStyle w:val="NoSpacing"/>
        <w:contextualSpacing/>
        <w:mirrorIndents/>
        <w:rPr>
          <w:rFonts w:ascii="Verdana" w:hAnsi="Verdana"/>
          <w:sz w:val="20"/>
          <w:szCs w:val="20"/>
        </w:rPr>
      </w:pPr>
    </w:p>
    <w:p w14:paraId="5C659FC1" w14:textId="41AEA93F" w:rsidR="007F1415" w:rsidRDefault="007F1415" w:rsidP="00A22004">
      <w:pPr>
        <w:pStyle w:val="NoSpacing"/>
        <w:contextualSpacing/>
        <w:mirrorIndents/>
        <w:rPr>
          <w:rFonts w:ascii="Verdana" w:hAnsi="Verdana"/>
          <w:sz w:val="20"/>
          <w:szCs w:val="20"/>
        </w:rPr>
      </w:pPr>
    </w:p>
    <w:p w14:paraId="649FB292" w14:textId="5D927F54" w:rsidR="007F1415" w:rsidRDefault="007F1415" w:rsidP="00A22004">
      <w:pPr>
        <w:pStyle w:val="NoSpacing"/>
        <w:contextualSpacing/>
        <w:mirrorIndents/>
        <w:rPr>
          <w:rFonts w:ascii="Verdana" w:hAnsi="Verdana"/>
          <w:sz w:val="20"/>
          <w:szCs w:val="20"/>
        </w:rPr>
      </w:pPr>
    </w:p>
    <w:p w14:paraId="582B8FC2" w14:textId="1A36E1F1" w:rsidR="007F1415" w:rsidRDefault="007F1415" w:rsidP="00A22004">
      <w:pPr>
        <w:pStyle w:val="NoSpacing"/>
        <w:contextualSpacing/>
        <w:mirrorIndents/>
        <w:rPr>
          <w:rFonts w:ascii="Verdana" w:hAnsi="Verdana"/>
          <w:sz w:val="20"/>
          <w:szCs w:val="20"/>
        </w:rPr>
      </w:pPr>
    </w:p>
    <w:p w14:paraId="46869392" w14:textId="33D82AA5" w:rsidR="007F1415" w:rsidRDefault="007F1415" w:rsidP="00A22004">
      <w:pPr>
        <w:pStyle w:val="NoSpacing"/>
        <w:contextualSpacing/>
        <w:mirrorIndents/>
        <w:rPr>
          <w:rFonts w:ascii="Verdana" w:hAnsi="Verdana"/>
          <w:sz w:val="20"/>
          <w:szCs w:val="20"/>
        </w:rPr>
      </w:pPr>
    </w:p>
    <w:p w14:paraId="06E8D748" w14:textId="2D97A8BE" w:rsidR="007F1415" w:rsidRDefault="007F1415" w:rsidP="00A22004">
      <w:pPr>
        <w:pStyle w:val="NoSpacing"/>
        <w:contextualSpacing/>
        <w:mirrorIndents/>
        <w:rPr>
          <w:rFonts w:ascii="Verdana" w:hAnsi="Verdana"/>
          <w:sz w:val="20"/>
          <w:szCs w:val="20"/>
        </w:rPr>
      </w:pPr>
    </w:p>
    <w:p w14:paraId="2E3154B8" w14:textId="358BEC90" w:rsidR="007F1415" w:rsidRDefault="007F1415" w:rsidP="00A22004">
      <w:pPr>
        <w:pStyle w:val="NoSpacing"/>
        <w:contextualSpacing/>
        <w:mirrorIndents/>
        <w:rPr>
          <w:rFonts w:ascii="Verdana" w:hAnsi="Verdana"/>
          <w:sz w:val="20"/>
          <w:szCs w:val="20"/>
        </w:rPr>
      </w:pPr>
    </w:p>
    <w:p w14:paraId="53FF225C" w14:textId="7DD5F949" w:rsidR="007F1415" w:rsidRDefault="007F1415" w:rsidP="00A22004">
      <w:pPr>
        <w:pStyle w:val="NoSpacing"/>
        <w:contextualSpacing/>
        <w:mirrorIndents/>
        <w:rPr>
          <w:rFonts w:ascii="Verdana" w:hAnsi="Verdana"/>
          <w:sz w:val="20"/>
          <w:szCs w:val="20"/>
        </w:rPr>
      </w:pPr>
    </w:p>
    <w:p w14:paraId="2CA6CB09" w14:textId="77777777" w:rsidR="007F1415" w:rsidRPr="00A22004" w:rsidRDefault="007F1415" w:rsidP="00A22004">
      <w:pPr>
        <w:pStyle w:val="NoSpacing"/>
        <w:contextualSpacing/>
        <w:mirrorIndents/>
        <w:rPr>
          <w:rFonts w:ascii="Verdana" w:hAnsi="Verdana"/>
          <w:sz w:val="20"/>
          <w:szCs w:val="20"/>
        </w:rPr>
      </w:pPr>
    </w:p>
    <w:p w14:paraId="14500FC4" w14:textId="77777777" w:rsidR="00F94CE8" w:rsidRPr="00A22004" w:rsidRDefault="00F94CE8" w:rsidP="00A22004">
      <w:pPr>
        <w:pStyle w:val="NoSpacing"/>
        <w:contextualSpacing/>
        <w:mirrorIndents/>
        <w:rPr>
          <w:rFonts w:ascii="Verdana" w:hAnsi="Verdana"/>
          <w:sz w:val="20"/>
          <w:szCs w:val="20"/>
        </w:rPr>
      </w:pPr>
    </w:p>
    <w:p w14:paraId="5E798886" w14:textId="77777777" w:rsidR="00F94CE8" w:rsidRPr="00A22004" w:rsidRDefault="00F94CE8" w:rsidP="00A22004">
      <w:pPr>
        <w:pStyle w:val="NoSpacing"/>
        <w:contextualSpacing/>
        <w:mirrorIndents/>
        <w:rPr>
          <w:rFonts w:ascii="Verdana" w:hAnsi="Verdana"/>
          <w:sz w:val="20"/>
          <w:szCs w:val="20"/>
        </w:rPr>
      </w:pPr>
    </w:p>
    <w:p w14:paraId="777770F7" w14:textId="77777777" w:rsidR="00F94CE8" w:rsidRPr="00A22004" w:rsidRDefault="00F94CE8" w:rsidP="00A22004">
      <w:pPr>
        <w:pStyle w:val="NoSpacing"/>
        <w:contextualSpacing/>
        <w:mirrorIndents/>
        <w:rPr>
          <w:rFonts w:ascii="Verdana" w:hAnsi="Verdana"/>
          <w:sz w:val="20"/>
          <w:szCs w:val="20"/>
        </w:rPr>
      </w:pPr>
    </w:p>
    <w:p w14:paraId="3C35B056" w14:textId="77777777" w:rsidR="00F94CE8" w:rsidRPr="00A22004" w:rsidRDefault="00F94CE8" w:rsidP="00A22004">
      <w:pPr>
        <w:pStyle w:val="NoSpacing"/>
        <w:contextualSpacing/>
        <w:mirrorIndents/>
        <w:rPr>
          <w:rFonts w:ascii="Verdana" w:hAnsi="Verdana"/>
          <w:sz w:val="20"/>
          <w:szCs w:val="20"/>
        </w:rPr>
      </w:pPr>
    </w:p>
    <w:p w14:paraId="72BAAFC7" w14:textId="69D54895" w:rsidR="00F94CE8" w:rsidRPr="0047596A" w:rsidRDefault="00F94CE8" w:rsidP="00F94CE8">
      <w:pPr>
        <w:spacing w:after="0" w:line="240" w:lineRule="auto"/>
        <w:rPr>
          <w:rFonts w:ascii="Verdana" w:hAnsi="Verdana"/>
          <w:sz w:val="16"/>
          <w:szCs w:val="16"/>
        </w:rPr>
      </w:pPr>
      <w:r w:rsidRPr="0047596A">
        <w:rPr>
          <w:rFonts w:ascii="Verdana" w:hAnsi="Verdana"/>
          <w:i/>
          <w:sz w:val="16"/>
          <w:szCs w:val="16"/>
        </w:rPr>
        <w:t>Sources:</w:t>
      </w:r>
      <w:r w:rsidRPr="0047596A">
        <w:rPr>
          <w:rFonts w:ascii="Verdana" w:hAnsi="Verdana"/>
          <w:sz w:val="16"/>
          <w:szCs w:val="16"/>
        </w:rPr>
        <w:t xml:space="preserve"> </w:t>
      </w:r>
      <w:r w:rsidR="0047596A" w:rsidRPr="0047596A">
        <w:rPr>
          <w:i/>
          <w:iCs/>
          <w:sz w:val="16"/>
          <w:szCs w:val="16"/>
        </w:rPr>
        <w:t>Aqua</w:t>
      </w:r>
      <w:r w:rsidR="0047596A" w:rsidRPr="0047596A">
        <w:rPr>
          <w:sz w:val="16"/>
          <w:szCs w:val="16"/>
        </w:rPr>
        <w:t xml:space="preserve"> Magazine </w:t>
      </w:r>
      <w:r w:rsidRPr="0047596A">
        <w:rPr>
          <w:rFonts w:ascii="Verdana" w:hAnsi="Verdana"/>
          <w:sz w:val="16"/>
          <w:szCs w:val="16"/>
        </w:rPr>
        <w:t xml:space="preserve">Website, </w:t>
      </w:r>
      <w:r w:rsidR="0047596A">
        <w:rPr>
          <w:rFonts w:ascii="Verdana" w:hAnsi="Verdana"/>
          <w:sz w:val="16"/>
          <w:szCs w:val="16"/>
        </w:rPr>
        <w:t>7</w:t>
      </w:r>
      <w:r w:rsidR="00306D88" w:rsidRPr="0047596A">
        <w:rPr>
          <w:rFonts w:ascii="Verdana" w:hAnsi="Verdana"/>
          <w:sz w:val="16"/>
          <w:szCs w:val="16"/>
        </w:rPr>
        <w:t>/</w:t>
      </w:r>
      <w:r w:rsidR="00AE6B2A" w:rsidRPr="0047596A">
        <w:rPr>
          <w:rFonts w:ascii="Verdana" w:hAnsi="Verdana"/>
          <w:sz w:val="16"/>
          <w:szCs w:val="16"/>
        </w:rPr>
        <w:t>2</w:t>
      </w:r>
      <w:r w:rsidR="00C8473A" w:rsidRPr="0047596A">
        <w:rPr>
          <w:rFonts w:ascii="Verdana" w:hAnsi="Verdana"/>
          <w:sz w:val="16"/>
          <w:szCs w:val="16"/>
        </w:rPr>
        <w:t>2</w:t>
      </w:r>
      <w:r w:rsidRPr="0047596A">
        <w:rPr>
          <w:rFonts w:ascii="Verdana" w:hAnsi="Verdana"/>
          <w:sz w:val="16"/>
          <w:szCs w:val="16"/>
        </w:rPr>
        <w:t xml:space="preserve">; </w:t>
      </w:r>
      <w:r w:rsidR="0047596A" w:rsidRPr="0047596A">
        <w:rPr>
          <w:sz w:val="16"/>
          <w:szCs w:val="16"/>
        </w:rPr>
        <w:t xml:space="preserve">Pool and Spa News </w:t>
      </w:r>
      <w:r w:rsidRPr="0047596A">
        <w:rPr>
          <w:rFonts w:ascii="Verdana" w:hAnsi="Verdana"/>
          <w:sz w:val="16"/>
          <w:szCs w:val="16"/>
        </w:rPr>
        <w:t xml:space="preserve">Website, </w:t>
      </w:r>
      <w:r w:rsidR="0047596A">
        <w:rPr>
          <w:rFonts w:ascii="Verdana" w:hAnsi="Verdana"/>
          <w:sz w:val="16"/>
          <w:szCs w:val="16"/>
        </w:rPr>
        <w:t>7</w:t>
      </w:r>
      <w:r w:rsidR="004E421A" w:rsidRPr="0047596A">
        <w:rPr>
          <w:rFonts w:ascii="Verdana" w:hAnsi="Verdana"/>
          <w:sz w:val="16"/>
          <w:szCs w:val="16"/>
        </w:rPr>
        <w:t>/</w:t>
      </w:r>
      <w:r w:rsidR="00AE6B2A" w:rsidRPr="0047596A">
        <w:rPr>
          <w:rFonts w:ascii="Verdana" w:hAnsi="Verdana"/>
          <w:sz w:val="16"/>
          <w:szCs w:val="16"/>
        </w:rPr>
        <w:t>2</w:t>
      </w:r>
      <w:r w:rsidR="00C8473A" w:rsidRPr="0047596A">
        <w:rPr>
          <w:rFonts w:ascii="Verdana" w:hAnsi="Verdana"/>
          <w:sz w:val="16"/>
          <w:szCs w:val="16"/>
        </w:rPr>
        <w:t>2</w:t>
      </w:r>
      <w:r w:rsidRPr="0047596A">
        <w:rPr>
          <w:rFonts w:ascii="Verdana" w:hAnsi="Verdana"/>
          <w:sz w:val="16"/>
          <w:szCs w:val="16"/>
        </w:rPr>
        <w:t xml:space="preserve">; </w:t>
      </w:r>
      <w:r w:rsidR="0047596A" w:rsidRPr="0047596A">
        <w:rPr>
          <w:sz w:val="16"/>
          <w:szCs w:val="16"/>
        </w:rPr>
        <w:t>TWICE</w:t>
      </w:r>
      <w:r w:rsidR="0047596A" w:rsidRPr="0047596A">
        <w:rPr>
          <w:rFonts w:ascii="Verdana" w:hAnsi="Verdana"/>
          <w:sz w:val="16"/>
          <w:szCs w:val="16"/>
        </w:rPr>
        <w:t xml:space="preserve"> </w:t>
      </w:r>
      <w:r w:rsidRPr="0047596A">
        <w:rPr>
          <w:rFonts w:ascii="Verdana" w:hAnsi="Verdana"/>
          <w:sz w:val="16"/>
          <w:szCs w:val="16"/>
        </w:rPr>
        <w:t>Website</w:t>
      </w:r>
      <w:r w:rsidR="00A00453" w:rsidRPr="0047596A">
        <w:rPr>
          <w:rFonts w:ascii="Verdana" w:hAnsi="Verdana"/>
          <w:sz w:val="16"/>
          <w:szCs w:val="16"/>
        </w:rPr>
        <w:t xml:space="preserve">, </w:t>
      </w:r>
      <w:r w:rsidR="0047596A">
        <w:rPr>
          <w:rFonts w:ascii="Verdana" w:hAnsi="Verdana"/>
          <w:sz w:val="16"/>
          <w:szCs w:val="16"/>
        </w:rPr>
        <w:t>7</w:t>
      </w:r>
      <w:r w:rsidR="00306D88" w:rsidRPr="0047596A">
        <w:rPr>
          <w:rFonts w:ascii="Verdana" w:hAnsi="Verdana"/>
          <w:sz w:val="16"/>
          <w:szCs w:val="16"/>
        </w:rPr>
        <w:t>/</w:t>
      </w:r>
      <w:r w:rsidR="00AE6B2A" w:rsidRPr="0047596A">
        <w:rPr>
          <w:rFonts w:ascii="Verdana" w:hAnsi="Verdana"/>
          <w:sz w:val="16"/>
          <w:szCs w:val="16"/>
        </w:rPr>
        <w:t>2</w:t>
      </w:r>
      <w:r w:rsidR="00C8473A" w:rsidRPr="0047596A">
        <w:rPr>
          <w:rFonts w:ascii="Verdana" w:hAnsi="Verdana"/>
          <w:sz w:val="16"/>
          <w:szCs w:val="16"/>
        </w:rPr>
        <w:t>2</w:t>
      </w:r>
      <w:r w:rsidR="0047596A">
        <w:rPr>
          <w:rFonts w:ascii="Verdana" w:hAnsi="Verdana"/>
          <w:sz w:val="16"/>
          <w:szCs w:val="16"/>
        </w:rPr>
        <w:t>;</w:t>
      </w:r>
      <w:r w:rsidR="0047596A" w:rsidRPr="0047596A">
        <w:rPr>
          <w:rFonts w:ascii="Verdana" w:hAnsi="Verdana"/>
          <w:sz w:val="16"/>
          <w:szCs w:val="16"/>
        </w:rPr>
        <w:t xml:space="preserve"> </w:t>
      </w:r>
      <w:r w:rsidR="0047596A" w:rsidRPr="0047596A">
        <w:rPr>
          <w:sz w:val="16"/>
          <w:szCs w:val="16"/>
        </w:rPr>
        <w:t>The Media Audit Website</w:t>
      </w:r>
      <w:r w:rsidR="0047596A">
        <w:rPr>
          <w:sz w:val="16"/>
          <w:szCs w:val="16"/>
        </w:rPr>
        <w:t>, 7/22.</w:t>
      </w:r>
    </w:p>
    <w:p w14:paraId="7EF64BA4" w14:textId="77777777" w:rsidR="00F94CE8" w:rsidRPr="00690E6A" w:rsidRDefault="00F94CE8" w:rsidP="00F94CE8">
      <w:pPr>
        <w:spacing w:after="0" w:line="240" w:lineRule="auto"/>
        <w:rPr>
          <w:rFonts w:ascii="Verdana" w:hAnsi="Verdana"/>
          <w:sz w:val="16"/>
        </w:rPr>
      </w:pPr>
    </w:p>
    <w:p w14:paraId="49C0D793" w14:textId="1003B016" w:rsidR="00F94CE8" w:rsidRPr="00690E6A" w:rsidRDefault="00F94CE8" w:rsidP="00F94CE8">
      <w:pPr>
        <w:spacing w:after="0" w:line="240" w:lineRule="auto"/>
        <w:rPr>
          <w:rFonts w:ascii="Verdana" w:hAnsi="Verdana"/>
          <w:strike/>
          <w:sz w:val="16"/>
        </w:rPr>
      </w:pPr>
      <w:r w:rsidRPr="00690E6A">
        <w:rPr>
          <w:rFonts w:ascii="Verdana" w:hAnsi="Verdana"/>
          <w:i/>
          <w:sz w:val="16"/>
        </w:rPr>
        <w:t>Updated</w:t>
      </w:r>
      <w:r w:rsidR="003F0FE1">
        <w:rPr>
          <w:rFonts w:ascii="Verdana" w:hAnsi="Verdana"/>
          <w:sz w:val="16"/>
        </w:rPr>
        <w:t xml:space="preserve">: </w:t>
      </w:r>
      <w:r w:rsidR="009D070C">
        <w:rPr>
          <w:rFonts w:ascii="Verdana" w:hAnsi="Verdana"/>
          <w:sz w:val="16"/>
        </w:rPr>
        <w:t>Ju</w:t>
      </w:r>
      <w:r w:rsidR="0047596A">
        <w:rPr>
          <w:rFonts w:ascii="Verdana" w:hAnsi="Verdana"/>
          <w:sz w:val="16"/>
        </w:rPr>
        <w:t>ly</w:t>
      </w:r>
      <w:r w:rsidR="00C8473A">
        <w:rPr>
          <w:rFonts w:ascii="Verdana" w:hAnsi="Verdana"/>
          <w:sz w:val="16"/>
        </w:rPr>
        <w:t xml:space="preserve"> 2022</w:t>
      </w:r>
    </w:p>
    <w:p w14:paraId="061B0C21" w14:textId="77777777" w:rsidR="00F94CE8" w:rsidRDefault="00F94CE8" w:rsidP="00F94CE8">
      <w:pPr>
        <w:pStyle w:val="NoSpacing"/>
        <w:contextualSpacing/>
        <w:rPr>
          <w:sz w:val="20"/>
          <w:szCs w:val="20"/>
        </w:rPr>
      </w:pPr>
    </w:p>
    <w:p w14:paraId="56AD0CC7" w14:textId="00868E95" w:rsidR="00F94CE8" w:rsidRPr="00FF1EBA" w:rsidRDefault="00F94CE8" w:rsidP="00F94CE8">
      <w:pPr>
        <w:pStyle w:val="NoSpacing"/>
        <w:contextualSpacing/>
        <w:rPr>
          <w:sz w:val="16"/>
          <w:szCs w:val="16"/>
        </w:rPr>
      </w:pPr>
      <w:r w:rsidRPr="00FF1EBA">
        <w:rPr>
          <w:rFonts w:ascii="Verdana" w:hAnsi="Verdana"/>
          <w:sz w:val="16"/>
          <w:szCs w:val="16"/>
        </w:rPr>
        <w:t>©</w:t>
      </w:r>
      <w:r w:rsidR="00306D88">
        <w:rPr>
          <w:sz w:val="16"/>
          <w:szCs w:val="16"/>
        </w:rPr>
        <w:t xml:space="preserve"> 20</w:t>
      </w:r>
      <w:r w:rsidR="00AE6B2A">
        <w:rPr>
          <w:sz w:val="16"/>
          <w:szCs w:val="16"/>
        </w:rPr>
        <w:t>2</w:t>
      </w:r>
      <w:r w:rsidR="00C8473A">
        <w:rPr>
          <w:sz w:val="16"/>
          <w:szCs w:val="16"/>
        </w:rPr>
        <w:t>2</w:t>
      </w:r>
      <w:r>
        <w:rPr>
          <w:sz w:val="16"/>
          <w:szCs w:val="16"/>
        </w:rPr>
        <w:t xml:space="preserve"> Media Group Online, Inc</w:t>
      </w:r>
      <w:r w:rsidRPr="00FF1EBA">
        <w:rPr>
          <w:sz w:val="16"/>
          <w:szCs w:val="16"/>
        </w:rPr>
        <w:t>. All rights reserved.</w:t>
      </w:r>
    </w:p>
    <w:p w14:paraId="47D01060" w14:textId="64A6C5D5" w:rsidR="00F94CE8" w:rsidRDefault="00F94CE8" w:rsidP="00260DE9">
      <w:pPr>
        <w:pStyle w:val="NoSpacing"/>
        <w:rPr>
          <w:sz w:val="20"/>
          <w:szCs w:val="20"/>
        </w:rPr>
      </w:pPr>
    </w:p>
    <w:p w14:paraId="6D0066ED" w14:textId="4379772D" w:rsidR="00AE1F72" w:rsidRDefault="00AE1F72" w:rsidP="00260DE9">
      <w:pPr>
        <w:pStyle w:val="NoSpacing"/>
        <w:rPr>
          <w:sz w:val="20"/>
          <w:szCs w:val="20"/>
        </w:rPr>
      </w:pPr>
    </w:p>
    <w:p w14:paraId="25DDD48A" w14:textId="4A2F67C8" w:rsidR="00AE1F72" w:rsidRDefault="00AE1F72">
      <w:pPr>
        <w:rPr>
          <w:sz w:val="20"/>
          <w:szCs w:val="20"/>
        </w:rPr>
      </w:pPr>
      <w:r>
        <w:rPr>
          <w:sz w:val="20"/>
          <w:szCs w:val="20"/>
        </w:rPr>
        <w:br w:type="page"/>
      </w:r>
    </w:p>
    <w:p w14:paraId="392FDD45" w14:textId="1FFC3855" w:rsidR="00AE1F72" w:rsidRPr="00720E0B" w:rsidRDefault="00AE1F72" w:rsidP="00AE1F72">
      <w:pPr>
        <w:pStyle w:val="NoSpacing"/>
        <w:jc w:val="center"/>
        <w:rPr>
          <w:b/>
          <w:color w:val="0070C0"/>
          <w:sz w:val="20"/>
          <w:szCs w:val="20"/>
        </w:rPr>
      </w:pPr>
      <w:r w:rsidRPr="00720E0B">
        <w:rPr>
          <w:b/>
          <w:color w:val="0070C0"/>
          <w:sz w:val="20"/>
          <w:szCs w:val="20"/>
        </w:rPr>
        <w:lastRenderedPageBreak/>
        <w:t xml:space="preserve">Local </w:t>
      </w:r>
      <w:r w:rsidR="0050254D">
        <w:rPr>
          <w:b/>
          <w:color w:val="0070C0"/>
          <w:sz w:val="20"/>
          <w:szCs w:val="20"/>
        </w:rPr>
        <w:t xml:space="preserve">Market </w:t>
      </w:r>
      <w:r w:rsidRPr="00720E0B">
        <w:rPr>
          <w:b/>
          <w:color w:val="0070C0"/>
          <w:sz w:val="20"/>
          <w:szCs w:val="20"/>
        </w:rPr>
        <w:t>and Station Information</w:t>
      </w:r>
    </w:p>
    <w:p w14:paraId="17AD3F99" w14:textId="77777777" w:rsidR="00AE1F72" w:rsidRPr="00260DE9" w:rsidRDefault="00AE1F72" w:rsidP="00260DE9">
      <w:pPr>
        <w:pStyle w:val="NoSpacing"/>
        <w:rPr>
          <w:sz w:val="20"/>
          <w:szCs w:val="20"/>
        </w:rPr>
      </w:pPr>
    </w:p>
    <w:sectPr w:rsidR="00AE1F72" w:rsidRPr="00260DE9" w:rsidSect="00260DE9">
      <w:headerReference w:type="default" r:id="rId8"/>
      <w:footerReference w:type="default" r:id="rId9"/>
      <w:pgSz w:w="12240" w:h="15840" w:code="1"/>
      <w:pgMar w:top="2160" w:right="1440" w:bottom="1440" w:left="1440" w:header="144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D824C" w14:textId="77777777" w:rsidR="00CD2B68" w:rsidRDefault="00CD2B68" w:rsidP="00260DE9">
      <w:pPr>
        <w:spacing w:after="0" w:line="240" w:lineRule="auto"/>
      </w:pPr>
      <w:r>
        <w:separator/>
      </w:r>
    </w:p>
  </w:endnote>
  <w:endnote w:type="continuationSeparator" w:id="0">
    <w:p w14:paraId="0EF61BE8" w14:textId="77777777" w:rsidR="00CD2B68" w:rsidRDefault="00CD2B68" w:rsidP="0026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63B7" w14:textId="77777777" w:rsidR="003E2E9B" w:rsidRDefault="003E2E9B" w:rsidP="003E2E9B">
    <w:pPr>
      <w:pStyle w:val="Footer"/>
      <w:jc w:val="center"/>
      <w:rPr>
        <w:rFonts w:ascii="Arial" w:hAnsi="Arial" w:cs="Arial"/>
        <w:sz w:val="16"/>
        <w:szCs w:val="16"/>
      </w:rPr>
    </w:pPr>
    <w:r>
      <w:rPr>
        <w:rFonts w:ascii="Arial" w:hAnsi="Arial" w:cs="Arial"/>
        <w:noProof/>
        <w:sz w:val="16"/>
        <w:szCs w:val="16"/>
      </w:rPr>
      <w:drawing>
        <wp:inline distT="0" distB="0" distL="0" distR="0" wp14:anchorId="4724D9F8" wp14:editId="6BCACCF1">
          <wp:extent cx="300990" cy="300990"/>
          <wp:effectExtent l="19050" t="0" r="3810" b="0"/>
          <wp:docPr id="4" name="Picture 3" descr="MGOlogoBlack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OlogoBlackC.png"/>
                  <pic:cNvPicPr/>
                </pic:nvPicPr>
                <pic:blipFill>
                  <a:blip r:embed="rId1"/>
                  <a:stretch>
                    <a:fillRect/>
                  </a:stretch>
                </pic:blipFill>
                <pic:spPr>
                  <a:xfrm>
                    <a:off x="0" y="0"/>
                    <a:ext cx="300942" cy="300942"/>
                  </a:xfrm>
                  <a:prstGeom prst="rect">
                    <a:avLst/>
                  </a:prstGeom>
                </pic:spPr>
              </pic:pic>
            </a:graphicData>
          </a:graphic>
        </wp:inline>
      </w:drawing>
    </w:r>
  </w:p>
  <w:p w14:paraId="688D5080" w14:textId="77777777" w:rsidR="00260DE9" w:rsidRPr="0097480E" w:rsidRDefault="00EF6AB9" w:rsidP="00EF6AB9">
    <w:pPr>
      <w:pStyle w:val="Footer"/>
      <w:jc w:val="center"/>
      <w:rPr>
        <w:rFonts w:ascii="Arial" w:hAnsi="Arial" w:cs="Arial"/>
        <w:sz w:val="16"/>
        <w:szCs w:val="16"/>
      </w:rPr>
    </w:pPr>
    <w:r w:rsidRPr="0097480E">
      <w:rPr>
        <w:rFonts w:ascii="Arial" w:hAnsi="Arial" w:cs="Arial"/>
        <w:sz w:val="16"/>
        <w:szCs w:val="16"/>
        <w:shd w:val="clear" w:color="auto" w:fill="FFFFFF"/>
      </w:rPr>
      <w:t>Media Group Online, Inc.</w:t>
    </w:r>
    <w:r w:rsidRPr="0097480E">
      <w:rPr>
        <w:rFonts w:ascii="Arial" w:hAnsi="Arial" w:cs="Arial"/>
        <w:sz w:val="16"/>
        <w:szCs w:val="16"/>
      </w:rPr>
      <w:t xml:space="preserve">• </w:t>
    </w:r>
    <w:r w:rsidRPr="0097480E">
      <w:rPr>
        <w:rFonts w:ascii="Arial" w:hAnsi="Arial" w:cs="Arial"/>
        <w:sz w:val="16"/>
        <w:szCs w:val="16"/>
        <w:shd w:val="clear" w:color="auto" w:fill="FFFFFF"/>
      </w:rPr>
      <w:t>103 Sterling Mine Rd.</w:t>
    </w:r>
    <w:r w:rsidRPr="0097480E">
      <w:rPr>
        <w:rFonts w:ascii="Arial" w:hAnsi="Arial" w:cs="Arial"/>
        <w:sz w:val="16"/>
        <w:szCs w:val="16"/>
      </w:rPr>
      <w:t xml:space="preserve">• </w:t>
    </w:r>
    <w:r w:rsidRPr="0097480E">
      <w:rPr>
        <w:rFonts w:ascii="Arial" w:hAnsi="Arial" w:cs="Arial"/>
        <w:sz w:val="16"/>
        <w:szCs w:val="16"/>
        <w:shd w:val="clear" w:color="auto" w:fill="FFFFFF"/>
      </w:rPr>
      <w:t xml:space="preserve">Sloatsburg, NY </w:t>
    </w:r>
    <w:r w:rsidR="0097480E" w:rsidRPr="0097480E">
      <w:rPr>
        <w:rFonts w:ascii="Arial" w:hAnsi="Arial" w:cs="Arial"/>
        <w:sz w:val="16"/>
        <w:szCs w:val="16"/>
        <w:shd w:val="clear" w:color="auto" w:fill="FFFFFF"/>
      </w:rPr>
      <w:t>10974</w:t>
    </w:r>
    <w:r w:rsidRPr="0097480E">
      <w:rPr>
        <w:rFonts w:ascii="Arial" w:hAnsi="Arial" w:cs="Arial"/>
        <w:sz w:val="16"/>
        <w:szCs w:val="16"/>
        <w:shd w:val="clear" w:color="auto" w:fill="FFFFFF"/>
      </w:rPr>
      <w:t xml:space="preserve"> </w:t>
    </w:r>
    <w:r w:rsidRPr="0097480E">
      <w:rPr>
        <w:rFonts w:ascii="Arial" w:hAnsi="Arial" w:cs="Arial"/>
        <w:sz w:val="16"/>
        <w:szCs w:val="16"/>
      </w:rPr>
      <w:t>• Tel 866-921-1026 • Fax 845-712-5168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01D00" w14:textId="77777777" w:rsidR="00CD2B68" w:rsidRDefault="00CD2B68" w:rsidP="00260DE9">
      <w:pPr>
        <w:spacing w:after="0" w:line="240" w:lineRule="auto"/>
      </w:pPr>
      <w:r>
        <w:separator/>
      </w:r>
    </w:p>
  </w:footnote>
  <w:footnote w:type="continuationSeparator" w:id="0">
    <w:p w14:paraId="3972D070" w14:textId="77777777" w:rsidR="00CD2B68" w:rsidRDefault="00CD2B68" w:rsidP="0026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DC73" w14:textId="77777777" w:rsidR="00260DE9" w:rsidRDefault="00635FF3">
    <w:pPr>
      <w:pStyle w:val="Header"/>
    </w:pPr>
    <w:r>
      <w:rPr>
        <w:noProof/>
      </w:rPr>
      <w:drawing>
        <wp:anchor distT="0" distB="0" distL="114300" distR="114300" simplePos="0" relativeHeight="251658240" behindDoc="1" locked="0" layoutInCell="1" allowOverlap="1" wp14:anchorId="67BDB21C" wp14:editId="7366BB1A">
          <wp:simplePos x="0" y="0"/>
          <wp:positionH relativeFrom="column">
            <wp:posOffset>-638175</wp:posOffset>
          </wp:positionH>
          <wp:positionV relativeFrom="paragraph">
            <wp:posOffset>-771525</wp:posOffset>
          </wp:positionV>
          <wp:extent cx="5943600" cy="1192530"/>
          <wp:effectExtent l="0" t="0" r="0" b="0"/>
          <wp:wrapTight wrapText="bothSides">
            <wp:wrapPolygon edited="0">
              <wp:start x="1454" y="0"/>
              <wp:lineTo x="1038" y="690"/>
              <wp:lineTo x="69" y="4486"/>
              <wp:lineTo x="0" y="7936"/>
              <wp:lineTo x="0" y="13802"/>
              <wp:lineTo x="138" y="17252"/>
              <wp:lineTo x="1177" y="21393"/>
              <wp:lineTo x="1385" y="21393"/>
              <wp:lineTo x="2838" y="21393"/>
              <wp:lineTo x="8931" y="16907"/>
              <wp:lineTo x="21531" y="15872"/>
              <wp:lineTo x="21531" y="6901"/>
              <wp:lineTo x="19938" y="4831"/>
              <wp:lineTo x="2838" y="0"/>
              <wp:lineTo x="14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OProfilerHeaderSmall.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925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B0828"/>
    <w:multiLevelType w:val="hybridMultilevel"/>
    <w:tmpl w:val="879CF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46480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DE9"/>
    <w:rsid w:val="00004575"/>
    <w:rsid w:val="000052A8"/>
    <w:rsid w:val="00006EB7"/>
    <w:rsid w:val="00030B4A"/>
    <w:rsid w:val="0003466E"/>
    <w:rsid w:val="00052024"/>
    <w:rsid w:val="0005633E"/>
    <w:rsid w:val="000577D6"/>
    <w:rsid w:val="0007198D"/>
    <w:rsid w:val="000830D7"/>
    <w:rsid w:val="000B774D"/>
    <w:rsid w:val="000C4B96"/>
    <w:rsid w:val="000C7821"/>
    <w:rsid w:val="000D2F3A"/>
    <w:rsid w:val="000D7C07"/>
    <w:rsid w:val="00112A85"/>
    <w:rsid w:val="00112C17"/>
    <w:rsid w:val="0012010F"/>
    <w:rsid w:val="001207F0"/>
    <w:rsid w:val="001251BF"/>
    <w:rsid w:val="00142DEE"/>
    <w:rsid w:val="001531C2"/>
    <w:rsid w:val="00154344"/>
    <w:rsid w:val="00160474"/>
    <w:rsid w:val="00161442"/>
    <w:rsid w:val="0016492E"/>
    <w:rsid w:val="00177D0F"/>
    <w:rsid w:val="001A05E7"/>
    <w:rsid w:val="001A4BD7"/>
    <w:rsid w:val="001B64B0"/>
    <w:rsid w:val="001C2831"/>
    <w:rsid w:val="001D53A3"/>
    <w:rsid w:val="001F5DFA"/>
    <w:rsid w:val="002171EA"/>
    <w:rsid w:val="002331F3"/>
    <w:rsid w:val="00237E69"/>
    <w:rsid w:val="00260DE9"/>
    <w:rsid w:val="00294474"/>
    <w:rsid w:val="002A4A73"/>
    <w:rsid w:val="002A6286"/>
    <w:rsid w:val="002B0BCF"/>
    <w:rsid w:val="002B3E1A"/>
    <w:rsid w:val="002B428E"/>
    <w:rsid w:val="002B7B47"/>
    <w:rsid w:val="002E1F38"/>
    <w:rsid w:val="002E6361"/>
    <w:rsid w:val="002E662C"/>
    <w:rsid w:val="00303405"/>
    <w:rsid w:val="00306D88"/>
    <w:rsid w:val="00327C87"/>
    <w:rsid w:val="003630CD"/>
    <w:rsid w:val="0038459A"/>
    <w:rsid w:val="003A7348"/>
    <w:rsid w:val="003B417B"/>
    <w:rsid w:val="003C15ED"/>
    <w:rsid w:val="003D6958"/>
    <w:rsid w:val="003E2E9B"/>
    <w:rsid w:val="003F0FE1"/>
    <w:rsid w:val="00400606"/>
    <w:rsid w:val="00403F66"/>
    <w:rsid w:val="00412473"/>
    <w:rsid w:val="00422A36"/>
    <w:rsid w:val="00424E79"/>
    <w:rsid w:val="00432903"/>
    <w:rsid w:val="0045212B"/>
    <w:rsid w:val="00452C42"/>
    <w:rsid w:val="0045797F"/>
    <w:rsid w:val="0046193A"/>
    <w:rsid w:val="0047596A"/>
    <w:rsid w:val="0048482F"/>
    <w:rsid w:val="00493426"/>
    <w:rsid w:val="00494CA5"/>
    <w:rsid w:val="004D4671"/>
    <w:rsid w:val="004D4829"/>
    <w:rsid w:val="004E421A"/>
    <w:rsid w:val="004F7F58"/>
    <w:rsid w:val="0050254D"/>
    <w:rsid w:val="00513E27"/>
    <w:rsid w:val="00520014"/>
    <w:rsid w:val="00524E86"/>
    <w:rsid w:val="005610BD"/>
    <w:rsid w:val="0056258A"/>
    <w:rsid w:val="0057012D"/>
    <w:rsid w:val="00571D6A"/>
    <w:rsid w:val="00574378"/>
    <w:rsid w:val="00592462"/>
    <w:rsid w:val="00596832"/>
    <w:rsid w:val="005C3BA5"/>
    <w:rsid w:val="005F19E9"/>
    <w:rsid w:val="00600CFD"/>
    <w:rsid w:val="00601F2D"/>
    <w:rsid w:val="00635FF3"/>
    <w:rsid w:val="00637CB9"/>
    <w:rsid w:val="006557DC"/>
    <w:rsid w:val="00657B52"/>
    <w:rsid w:val="0067102D"/>
    <w:rsid w:val="0068770F"/>
    <w:rsid w:val="0069436D"/>
    <w:rsid w:val="006B3A10"/>
    <w:rsid w:val="006D1053"/>
    <w:rsid w:val="006E6275"/>
    <w:rsid w:val="006F0672"/>
    <w:rsid w:val="00707104"/>
    <w:rsid w:val="007139CE"/>
    <w:rsid w:val="007257B5"/>
    <w:rsid w:val="00763CE5"/>
    <w:rsid w:val="007651A4"/>
    <w:rsid w:val="007862CF"/>
    <w:rsid w:val="00793BD0"/>
    <w:rsid w:val="007A6B4E"/>
    <w:rsid w:val="007B6E29"/>
    <w:rsid w:val="007C63EF"/>
    <w:rsid w:val="007C7E2C"/>
    <w:rsid w:val="007D3185"/>
    <w:rsid w:val="007F1415"/>
    <w:rsid w:val="008058FD"/>
    <w:rsid w:val="0082749D"/>
    <w:rsid w:val="00841148"/>
    <w:rsid w:val="008632E8"/>
    <w:rsid w:val="00864694"/>
    <w:rsid w:val="00874AAE"/>
    <w:rsid w:val="00875007"/>
    <w:rsid w:val="0088350D"/>
    <w:rsid w:val="0088505B"/>
    <w:rsid w:val="0089324F"/>
    <w:rsid w:val="008B4E85"/>
    <w:rsid w:val="008E2E3F"/>
    <w:rsid w:val="00912FCD"/>
    <w:rsid w:val="009229BB"/>
    <w:rsid w:val="00923C8D"/>
    <w:rsid w:val="009311F0"/>
    <w:rsid w:val="00931A86"/>
    <w:rsid w:val="00940805"/>
    <w:rsid w:val="009419F0"/>
    <w:rsid w:val="00943026"/>
    <w:rsid w:val="0097289D"/>
    <w:rsid w:val="0097480E"/>
    <w:rsid w:val="00984DF0"/>
    <w:rsid w:val="0099377F"/>
    <w:rsid w:val="009A3728"/>
    <w:rsid w:val="009A3EBE"/>
    <w:rsid w:val="009A4526"/>
    <w:rsid w:val="009A6479"/>
    <w:rsid w:val="009C44A2"/>
    <w:rsid w:val="009C6A17"/>
    <w:rsid w:val="009D070C"/>
    <w:rsid w:val="009F3C8C"/>
    <w:rsid w:val="00A00453"/>
    <w:rsid w:val="00A031C1"/>
    <w:rsid w:val="00A12BB9"/>
    <w:rsid w:val="00A22004"/>
    <w:rsid w:val="00A30B01"/>
    <w:rsid w:val="00A55AAE"/>
    <w:rsid w:val="00A55AB4"/>
    <w:rsid w:val="00A61F9B"/>
    <w:rsid w:val="00A71026"/>
    <w:rsid w:val="00A75C53"/>
    <w:rsid w:val="00A820F9"/>
    <w:rsid w:val="00AB01D8"/>
    <w:rsid w:val="00AE087E"/>
    <w:rsid w:val="00AE1F72"/>
    <w:rsid w:val="00AE6AAD"/>
    <w:rsid w:val="00AE6B2A"/>
    <w:rsid w:val="00AE71B7"/>
    <w:rsid w:val="00AF1596"/>
    <w:rsid w:val="00B12A59"/>
    <w:rsid w:val="00B14875"/>
    <w:rsid w:val="00B33B46"/>
    <w:rsid w:val="00B36421"/>
    <w:rsid w:val="00B4203D"/>
    <w:rsid w:val="00B6421F"/>
    <w:rsid w:val="00BC0DB8"/>
    <w:rsid w:val="00BC2144"/>
    <w:rsid w:val="00BE4BEC"/>
    <w:rsid w:val="00BE6652"/>
    <w:rsid w:val="00C11931"/>
    <w:rsid w:val="00C147E3"/>
    <w:rsid w:val="00C20878"/>
    <w:rsid w:val="00C21D13"/>
    <w:rsid w:val="00C412D4"/>
    <w:rsid w:val="00C54007"/>
    <w:rsid w:val="00C65128"/>
    <w:rsid w:val="00C77B54"/>
    <w:rsid w:val="00C8473A"/>
    <w:rsid w:val="00CD1A19"/>
    <w:rsid w:val="00CD2B68"/>
    <w:rsid w:val="00CE3B31"/>
    <w:rsid w:val="00CE7889"/>
    <w:rsid w:val="00D056D3"/>
    <w:rsid w:val="00D129B2"/>
    <w:rsid w:val="00D16971"/>
    <w:rsid w:val="00D17DB0"/>
    <w:rsid w:val="00D22E81"/>
    <w:rsid w:val="00D26223"/>
    <w:rsid w:val="00D37649"/>
    <w:rsid w:val="00D427B1"/>
    <w:rsid w:val="00D8342E"/>
    <w:rsid w:val="00D93E11"/>
    <w:rsid w:val="00DA1474"/>
    <w:rsid w:val="00DC4F7C"/>
    <w:rsid w:val="00DD5A41"/>
    <w:rsid w:val="00DE0FDD"/>
    <w:rsid w:val="00E13B28"/>
    <w:rsid w:val="00E20F93"/>
    <w:rsid w:val="00E21202"/>
    <w:rsid w:val="00E31C88"/>
    <w:rsid w:val="00E45F8D"/>
    <w:rsid w:val="00E80C14"/>
    <w:rsid w:val="00E926A9"/>
    <w:rsid w:val="00E93CC0"/>
    <w:rsid w:val="00EA19E6"/>
    <w:rsid w:val="00ED42A4"/>
    <w:rsid w:val="00EF6801"/>
    <w:rsid w:val="00EF6AB9"/>
    <w:rsid w:val="00F056FA"/>
    <w:rsid w:val="00F2704A"/>
    <w:rsid w:val="00F55ABF"/>
    <w:rsid w:val="00F66EA8"/>
    <w:rsid w:val="00F70E29"/>
    <w:rsid w:val="00F94CE8"/>
    <w:rsid w:val="00F963BA"/>
    <w:rsid w:val="00FA495C"/>
    <w:rsid w:val="00FB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0252B"/>
  <w15:docId w15:val="{00033884-83A0-4105-8CD5-C8A13830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05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DE9"/>
  </w:style>
  <w:style w:type="paragraph" w:styleId="Footer">
    <w:name w:val="footer"/>
    <w:basedOn w:val="Normal"/>
    <w:link w:val="FooterChar"/>
    <w:uiPriority w:val="99"/>
    <w:unhideWhenUsed/>
    <w:rsid w:val="0026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DE9"/>
  </w:style>
  <w:style w:type="paragraph" w:styleId="NoSpacing">
    <w:name w:val="No Spacing"/>
    <w:uiPriority w:val="1"/>
    <w:qFormat/>
    <w:rsid w:val="00260DE9"/>
    <w:pPr>
      <w:spacing w:after="0" w:line="240" w:lineRule="auto"/>
    </w:pPr>
  </w:style>
  <w:style w:type="paragraph" w:styleId="BalloonText">
    <w:name w:val="Balloon Text"/>
    <w:basedOn w:val="Normal"/>
    <w:link w:val="BalloonTextChar"/>
    <w:uiPriority w:val="99"/>
    <w:semiHidden/>
    <w:unhideWhenUsed/>
    <w:rsid w:val="003E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E9B"/>
    <w:rPr>
      <w:rFonts w:ascii="Tahoma" w:hAnsi="Tahoma" w:cs="Tahoma"/>
      <w:sz w:val="16"/>
      <w:szCs w:val="16"/>
    </w:rPr>
  </w:style>
  <w:style w:type="paragraph" w:styleId="ListParagraph">
    <w:name w:val="List Paragraph"/>
    <w:basedOn w:val="Normal"/>
    <w:uiPriority w:val="34"/>
    <w:qFormat/>
    <w:rsid w:val="00A22004"/>
    <w:pPr>
      <w:spacing w:after="0" w:line="240" w:lineRule="auto"/>
      <w:ind w:left="720"/>
      <w:contextualSpacing/>
    </w:pPr>
    <w:rPr>
      <w:rFonts w:ascii="Verdana"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ABECD-D5BF-8A47-B41B-5E66C68C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Whelan</dc:creator>
  <cp:lastModifiedBy>Bob Sillick</cp:lastModifiedBy>
  <cp:revision>2</cp:revision>
  <dcterms:created xsi:type="dcterms:W3CDTF">2022-07-13T16:09:00Z</dcterms:created>
  <dcterms:modified xsi:type="dcterms:W3CDTF">2022-07-13T16:09:00Z</dcterms:modified>
</cp:coreProperties>
</file>