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6655651A" w:rsidR="00F94CE8" w:rsidRPr="005F19E9" w:rsidRDefault="00C110FD" w:rsidP="00C11931">
      <w:pPr>
        <w:pStyle w:val="NoSpacing"/>
        <w:contextualSpacing/>
        <w:mirrorIndents/>
        <w:rPr>
          <w:rFonts w:ascii="Verdana" w:hAnsi="Verdana"/>
          <w:b/>
          <w:bCs/>
          <w:color w:val="FF0000"/>
          <w:sz w:val="20"/>
          <w:szCs w:val="20"/>
        </w:rPr>
      </w:pPr>
      <w:r>
        <w:rPr>
          <w:rFonts w:ascii="Verdana" w:hAnsi="Verdana"/>
          <w:b/>
          <w:bCs/>
          <w:color w:val="FF0000"/>
          <w:sz w:val="20"/>
          <w:szCs w:val="20"/>
        </w:rPr>
        <w:t>Shopping Malls</w:t>
      </w:r>
      <w:r w:rsidR="005F19E9" w:rsidRPr="005F19E9">
        <w:rPr>
          <w:rFonts w:ascii="Verdana" w:hAnsi="Verdana"/>
          <w:b/>
          <w:bCs/>
          <w:color w:val="FF0000"/>
          <w:sz w:val="20"/>
          <w:szCs w:val="20"/>
        </w:rPr>
        <w:t xml:space="preserve"> 2022</w:t>
      </w:r>
    </w:p>
    <w:p w14:paraId="11DB62D2" w14:textId="77777777" w:rsidR="00F94CE8" w:rsidRPr="001C220F" w:rsidRDefault="00F94CE8" w:rsidP="001C220F">
      <w:pPr>
        <w:pStyle w:val="NoSpacing"/>
        <w:contextualSpacing/>
        <w:mirrorIndents/>
        <w:rPr>
          <w:rFonts w:ascii="Verdana" w:hAnsi="Verdana"/>
          <w:sz w:val="20"/>
          <w:szCs w:val="20"/>
        </w:rPr>
      </w:pPr>
    </w:p>
    <w:p w14:paraId="085547B6" w14:textId="27274716" w:rsidR="001C220F" w:rsidRPr="001C220F" w:rsidRDefault="001C220F" w:rsidP="001C220F">
      <w:pPr>
        <w:spacing w:after="0" w:line="240" w:lineRule="auto"/>
        <w:contextualSpacing/>
        <w:mirrorIndents/>
        <w:jc w:val="center"/>
        <w:rPr>
          <w:rFonts w:ascii="Verdana" w:hAnsi="Verdana"/>
          <w:b/>
          <w:bCs/>
          <w:color w:val="0070C0"/>
          <w:sz w:val="20"/>
          <w:szCs w:val="20"/>
        </w:rPr>
      </w:pPr>
      <w:r w:rsidRPr="001C220F">
        <w:rPr>
          <w:rFonts w:ascii="Verdana" w:hAnsi="Verdana"/>
          <w:b/>
          <w:bCs/>
          <w:color w:val="0070C0"/>
          <w:sz w:val="20"/>
          <w:szCs w:val="20"/>
        </w:rPr>
        <w:t>Back on Track, But Challenges Persist</w:t>
      </w:r>
    </w:p>
    <w:p w14:paraId="4AACC917" w14:textId="77777777" w:rsidR="001C220F" w:rsidRPr="001C220F" w:rsidRDefault="001C220F" w:rsidP="0030144D">
      <w:pPr>
        <w:spacing w:after="0" w:line="240" w:lineRule="auto"/>
        <w:contextualSpacing/>
        <w:mirrorIndents/>
        <w:rPr>
          <w:rFonts w:ascii="Verdana" w:hAnsi="Verdana"/>
          <w:sz w:val="20"/>
          <w:szCs w:val="20"/>
        </w:rPr>
      </w:pPr>
    </w:p>
    <w:p w14:paraId="289DB894" w14:textId="3A00474F" w:rsidR="001C220F" w:rsidRDefault="001C220F" w:rsidP="0030144D">
      <w:pPr>
        <w:spacing w:after="0" w:line="240" w:lineRule="auto"/>
        <w:contextualSpacing/>
      </w:pPr>
      <w:r>
        <w:rPr>
          <w:sz w:val="20"/>
        </w:rPr>
        <w:t xml:space="preserve">According to the </w:t>
      </w:r>
      <w:r w:rsidRPr="00404462">
        <w:rPr>
          <w:sz w:val="20"/>
        </w:rPr>
        <w:t>International Council of Shopping Centers</w:t>
      </w:r>
      <w:r>
        <w:rPr>
          <w:sz w:val="20"/>
        </w:rPr>
        <w:t xml:space="preserve"> (ICSC), the Q1 2022 tenant occupancy rate for all </w:t>
      </w:r>
      <w:r w:rsidR="00DC2946">
        <w:rPr>
          <w:sz w:val="20"/>
        </w:rPr>
        <w:t>shopping centers</w:t>
      </w:r>
      <w:r>
        <w:rPr>
          <w:sz w:val="20"/>
        </w:rPr>
        <w:t xml:space="preserve"> was 90.5%, the most since 2020. </w:t>
      </w:r>
      <w:r w:rsidR="00DC2946">
        <w:rPr>
          <w:sz w:val="20"/>
        </w:rPr>
        <w:t>The open-air mall rate was 91.9%, but the 84.5% rate for malls was only 0.01% more than Q1 2021.</w:t>
      </w:r>
    </w:p>
    <w:p w14:paraId="20D5FB77" w14:textId="77777777" w:rsidR="0030144D" w:rsidRDefault="0030144D" w:rsidP="0030144D">
      <w:pPr>
        <w:spacing w:after="0" w:line="240" w:lineRule="auto"/>
        <w:contextualSpacing/>
        <w:mirrorIndents/>
        <w:rPr>
          <w:rFonts w:ascii="Verdana" w:hAnsi="Verdana"/>
          <w:sz w:val="20"/>
          <w:szCs w:val="20"/>
        </w:rPr>
      </w:pPr>
    </w:p>
    <w:p w14:paraId="0640CCD0" w14:textId="66B3F54A" w:rsidR="001C220F" w:rsidRDefault="00DC2946" w:rsidP="0030144D">
      <w:pPr>
        <w:spacing w:after="0" w:line="240" w:lineRule="auto"/>
        <w:contextualSpacing/>
        <w:mirrorIndents/>
        <w:rPr>
          <w:rFonts w:ascii="Verdana" w:hAnsi="Verdana"/>
          <w:sz w:val="20"/>
          <w:szCs w:val="20"/>
        </w:rPr>
      </w:pPr>
      <w:r>
        <w:rPr>
          <w:rFonts w:ascii="Verdana" w:hAnsi="Verdana"/>
          <w:sz w:val="20"/>
          <w:szCs w:val="20"/>
        </w:rPr>
        <w:t>The continued reduction of gross leasable area (GLA) for retail space is a persistent challenge. The ICSC reports that GLA was 64.9% during Q1 2022, compared to 65.8% during 2020 and 70.6% during 2016.</w:t>
      </w:r>
    </w:p>
    <w:p w14:paraId="7046E3CB" w14:textId="77777777" w:rsidR="001C220F" w:rsidRDefault="001C220F" w:rsidP="0030144D">
      <w:pPr>
        <w:spacing w:after="0" w:line="240" w:lineRule="auto"/>
        <w:contextualSpacing/>
        <w:mirrorIndents/>
        <w:rPr>
          <w:rFonts w:ascii="Verdana" w:hAnsi="Verdana"/>
          <w:sz w:val="20"/>
          <w:szCs w:val="20"/>
        </w:rPr>
      </w:pPr>
    </w:p>
    <w:p w14:paraId="45775D44" w14:textId="4C39095C" w:rsidR="001C220F" w:rsidRDefault="0058738D" w:rsidP="0030144D">
      <w:pPr>
        <w:spacing w:after="0" w:line="240" w:lineRule="auto"/>
        <w:contextualSpacing/>
        <w:mirrorIndents/>
        <w:rPr>
          <w:rFonts w:ascii="Verdana" w:hAnsi="Verdana"/>
          <w:sz w:val="20"/>
          <w:szCs w:val="20"/>
        </w:rPr>
      </w:pPr>
      <w:r>
        <w:rPr>
          <w:rFonts w:ascii="Verdana" w:hAnsi="Verdana"/>
          <w:sz w:val="20"/>
          <w:szCs w:val="20"/>
        </w:rPr>
        <w:t xml:space="preserve">The rapid decline in retail store closures is good news for malls. Following the 4,974 store closures during 2020, just 589 closed during 2021 and none closed during Q1 and Q2 2022. </w:t>
      </w:r>
    </w:p>
    <w:p w14:paraId="4328FC44" w14:textId="1662A17C" w:rsidR="0058738D" w:rsidRDefault="0058738D" w:rsidP="0030144D">
      <w:pPr>
        <w:spacing w:after="0" w:line="240" w:lineRule="auto"/>
        <w:contextualSpacing/>
        <w:mirrorIndents/>
        <w:rPr>
          <w:rFonts w:ascii="Verdana" w:hAnsi="Verdana"/>
          <w:sz w:val="20"/>
          <w:szCs w:val="20"/>
        </w:rPr>
      </w:pPr>
    </w:p>
    <w:p w14:paraId="0DCD7CEF" w14:textId="2CC0FD30" w:rsidR="00BA7568" w:rsidRPr="00502F18" w:rsidRDefault="00BA7568" w:rsidP="00BA7568">
      <w:pPr>
        <w:pStyle w:val="Header"/>
        <w:contextualSpacing/>
        <w:jc w:val="center"/>
        <w:rPr>
          <w:rFonts w:ascii="Verdana" w:hAnsi="Verdana"/>
          <w:b/>
          <w:sz w:val="20"/>
          <w:szCs w:val="20"/>
        </w:rPr>
      </w:pPr>
      <w:r>
        <w:rPr>
          <w:rFonts w:ascii="Verdana" w:hAnsi="Verdana"/>
          <w:b/>
          <w:sz w:val="20"/>
          <w:szCs w:val="20"/>
        </w:rPr>
        <w:t>Major Retail Store Sectors’ Sales Change from 20</w:t>
      </w:r>
      <w:r w:rsidR="00A509F3">
        <w:rPr>
          <w:rFonts w:ascii="Verdana" w:hAnsi="Verdana"/>
          <w:b/>
          <w:sz w:val="20"/>
          <w:szCs w:val="20"/>
        </w:rPr>
        <w:t>21</w:t>
      </w:r>
      <w:r>
        <w:rPr>
          <w:rFonts w:ascii="Verdana" w:hAnsi="Verdana"/>
          <w:b/>
          <w:sz w:val="20"/>
          <w:szCs w:val="20"/>
        </w:rPr>
        <w:t xml:space="preserve">, January–April </w:t>
      </w:r>
      <w:r w:rsidRPr="00502F18">
        <w:rPr>
          <w:rFonts w:ascii="Verdana" w:hAnsi="Verdana"/>
          <w:b/>
          <w:sz w:val="20"/>
          <w:szCs w:val="20"/>
        </w:rPr>
        <w:t>202</w:t>
      </w:r>
      <w:r w:rsidR="00A509F3">
        <w:rPr>
          <w:rFonts w:ascii="Verdana" w:hAnsi="Verdana"/>
          <w:b/>
          <w:sz w:val="20"/>
          <w:szCs w:val="20"/>
        </w:rPr>
        <w:t>2</w:t>
      </w:r>
    </w:p>
    <w:tbl>
      <w:tblPr>
        <w:tblW w:w="9016" w:type="dxa"/>
        <w:jc w:val="center"/>
        <w:tblBorders>
          <w:left w:val="single" w:sz="8" w:space="0" w:color="000000"/>
          <w:right w:val="single" w:sz="8" w:space="0" w:color="000000"/>
        </w:tblBorders>
        <w:tblLayout w:type="fixed"/>
        <w:tblLook w:val="0000" w:firstRow="0" w:lastRow="0" w:firstColumn="0" w:lastColumn="0" w:noHBand="0" w:noVBand="0"/>
      </w:tblPr>
      <w:tblGrid>
        <w:gridCol w:w="3211"/>
        <w:gridCol w:w="1296"/>
        <w:gridCol w:w="3213"/>
        <w:gridCol w:w="1296"/>
      </w:tblGrid>
      <w:tr w:rsidR="00A509F3" w:rsidRPr="00502F18" w14:paraId="3BB0D121" w14:textId="77777777" w:rsidTr="00A509F3">
        <w:trPr>
          <w:jc w:val="center"/>
        </w:trPr>
        <w:tc>
          <w:tcPr>
            <w:tcW w:w="3211" w:type="dxa"/>
            <w:tcBorders>
              <w:top w:val="single" w:sz="12" w:space="0" w:color="000000"/>
              <w:left w:val="single" w:sz="12" w:space="0" w:color="000000"/>
              <w:bottom w:val="single" w:sz="18" w:space="0" w:color="C0504D" w:themeColor="accent2"/>
              <w:right w:val="single" w:sz="8" w:space="0" w:color="0070C0"/>
            </w:tcBorders>
            <w:vAlign w:val="center"/>
          </w:tcPr>
          <w:p w14:paraId="1F3EA07D" w14:textId="77777777" w:rsidR="00A509F3" w:rsidRPr="00502F18" w:rsidRDefault="00A509F3"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Sector</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409F8FB6" w14:textId="0133A1C7" w:rsidR="00A509F3" w:rsidRPr="00502F18" w:rsidRDefault="00A509F3"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2021</w:t>
            </w:r>
          </w:p>
        </w:tc>
        <w:tc>
          <w:tcPr>
            <w:tcW w:w="3213" w:type="dxa"/>
            <w:tcBorders>
              <w:top w:val="single" w:sz="12" w:space="0" w:color="000000"/>
              <w:left w:val="single" w:sz="18" w:space="0" w:color="0070C0"/>
              <w:bottom w:val="single" w:sz="18" w:space="0" w:color="C0504D" w:themeColor="accent2"/>
              <w:right w:val="single" w:sz="8" w:space="0" w:color="0070C0"/>
            </w:tcBorders>
            <w:vAlign w:val="center"/>
          </w:tcPr>
          <w:p w14:paraId="26FCE0E7" w14:textId="77777777" w:rsidR="00A509F3" w:rsidRPr="00502F18" w:rsidRDefault="00A509F3"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Sector</w:t>
            </w:r>
          </w:p>
        </w:tc>
        <w:tc>
          <w:tcPr>
            <w:tcW w:w="1296" w:type="dxa"/>
            <w:tcBorders>
              <w:top w:val="single" w:sz="12" w:space="0" w:color="000000"/>
              <w:left w:val="single" w:sz="8" w:space="0" w:color="0070C0"/>
              <w:bottom w:val="single" w:sz="18" w:space="0" w:color="C0504D" w:themeColor="accent2"/>
              <w:right w:val="single" w:sz="12" w:space="0" w:color="000000"/>
            </w:tcBorders>
            <w:vAlign w:val="center"/>
          </w:tcPr>
          <w:p w14:paraId="73DE8C14" w14:textId="0128A235" w:rsidR="00A509F3" w:rsidRPr="00502F18" w:rsidRDefault="00A509F3" w:rsidP="00120BB0">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2021</w:t>
            </w:r>
          </w:p>
        </w:tc>
      </w:tr>
      <w:tr w:rsidR="00A509F3" w:rsidRPr="00502F18" w14:paraId="4BCDBF04" w14:textId="77777777" w:rsidTr="00975591">
        <w:trPr>
          <w:trHeight w:val="243"/>
          <w:jc w:val="center"/>
        </w:trPr>
        <w:tc>
          <w:tcPr>
            <w:tcW w:w="3211" w:type="dxa"/>
            <w:tcBorders>
              <w:top w:val="single" w:sz="18" w:space="0" w:color="C0504D" w:themeColor="accent2"/>
              <w:left w:val="single" w:sz="12" w:space="0" w:color="000000"/>
              <w:bottom w:val="single" w:sz="4" w:space="0" w:color="auto"/>
              <w:right w:val="single" w:sz="8" w:space="0" w:color="0070C0"/>
            </w:tcBorders>
            <w:vAlign w:val="center"/>
          </w:tcPr>
          <w:p w14:paraId="0953AE31" w14:textId="3617D19D" w:rsidR="00A509F3" w:rsidRPr="00502F18" w:rsidRDefault="00A509F3"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Furniture/Home furnishings</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6A4E410D" w14:textId="4D7D10A1" w:rsidR="00A509F3" w:rsidRPr="00502F18" w:rsidRDefault="00975591"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+2.59%</w:t>
            </w:r>
          </w:p>
        </w:tc>
        <w:tc>
          <w:tcPr>
            <w:tcW w:w="3213"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5F9CFAF2" w14:textId="49104B51" w:rsidR="00A509F3" w:rsidRPr="00502F18" w:rsidRDefault="00A509F3"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Clothing/Clothing accessories</w:t>
            </w:r>
          </w:p>
        </w:tc>
        <w:tc>
          <w:tcPr>
            <w:tcW w:w="1296"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46F8A48E" w14:textId="7FDC8876" w:rsidR="00A509F3" w:rsidRPr="00502F18" w:rsidRDefault="00975591"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+15.25%</w:t>
            </w:r>
          </w:p>
        </w:tc>
      </w:tr>
      <w:tr w:rsidR="00A509F3" w:rsidRPr="00502F18" w14:paraId="40232881" w14:textId="77777777" w:rsidTr="00975591">
        <w:trPr>
          <w:trHeight w:val="243"/>
          <w:jc w:val="center"/>
        </w:trPr>
        <w:tc>
          <w:tcPr>
            <w:tcW w:w="3211" w:type="dxa"/>
            <w:tcBorders>
              <w:top w:val="single" w:sz="4" w:space="0" w:color="auto"/>
              <w:left w:val="single" w:sz="12" w:space="0" w:color="000000"/>
              <w:bottom w:val="single" w:sz="4" w:space="0" w:color="000000"/>
              <w:right w:val="single" w:sz="8" w:space="0" w:color="0070C0"/>
            </w:tcBorders>
            <w:vAlign w:val="center"/>
          </w:tcPr>
          <w:p w14:paraId="2F25D7B8" w14:textId="77777777" w:rsidR="00A509F3" w:rsidRPr="00502F18" w:rsidRDefault="00A509F3"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Electronics/Appliances</w:t>
            </w:r>
          </w:p>
        </w:tc>
        <w:tc>
          <w:tcPr>
            <w:tcW w:w="1296"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59D16A76" w14:textId="6F06CA99" w:rsidR="00A509F3" w:rsidRPr="00502F18" w:rsidRDefault="00975591"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-1.17%</w:t>
            </w:r>
          </w:p>
        </w:tc>
        <w:tc>
          <w:tcPr>
            <w:tcW w:w="321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3CFF6EB" w14:textId="77777777" w:rsidR="00A509F3" w:rsidRPr="00502F18" w:rsidRDefault="00A509F3"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Sporting Goods</w:t>
            </w:r>
          </w:p>
        </w:tc>
        <w:tc>
          <w:tcPr>
            <w:tcW w:w="1296"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5E5363A9" w14:textId="38F43D36" w:rsidR="00A509F3" w:rsidRPr="00502F18" w:rsidRDefault="00975591"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-2.16%</w:t>
            </w:r>
          </w:p>
        </w:tc>
      </w:tr>
      <w:tr w:rsidR="00A509F3" w:rsidRPr="00502F18" w14:paraId="657E2AF1" w14:textId="77777777" w:rsidTr="00975591">
        <w:trPr>
          <w:trHeight w:val="243"/>
          <w:jc w:val="center"/>
        </w:trPr>
        <w:tc>
          <w:tcPr>
            <w:tcW w:w="3211" w:type="dxa"/>
            <w:tcBorders>
              <w:top w:val="single" w:sz="4" w:space="0" w:color="auto"/>
              <w:left w:val="single" w:sz="12" w:space="0" w:color="000000"/>
              <w:bottom w:val="single" w:sz="4" w:space="0" w:color="000000"/>
              <w:right w:val="single" w:sz="8" w:space="0" w:color="0070C0"/>
            </w:tcBorders>
            <w:vAlign w:val="center"/>
          </w:tcPr>
          <w:p w14:paraId="1FD5BC19" w14:textId="77777777" w:rsidR="00A509F3" w:rsidRPr="00502F18" w:rsidRDefault="00A509F3"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Food/Beverage</w:t>
            </w:r>
          </w:p>
        </w:tc>
        <w:tc>
          <w:tcPr>
            <w:tcW w:w="129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59DDFC0" w14:textId="72974A76" w:rsidR="00A509F3" w:rsidRPr="00502F18" w:rsidRDefault="00975591"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+7.93%</w:t>
            </w:r>
          </w:p>
        </w:tc>
        <w:tc>
          <w:tcPr>
            <w:tcW w:w="321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FE8FBB7" w14:textId="77777777" w:rsidR="00A509F3" w:rsidRPr="00502F18" w:rsidRDefault="00A509F3"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General Merchandise</w:t>
            </w:r>
          </w:p>
        </w:tc>
        <w:tc>
          <w:tcPr>
            <w:tcW w:w="1296"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077D1AEA" w14:textId="6F1C0670" w:rsidR="00A509F3" w:rsidRPr="00502F18" w:rsidRDefault="00975591"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+2.44%</w:t>
            </w:r>
          </w:p>
        </w:tc>
      </w:tr>
      <w:tr w:rsidR="00A509F3" w:rsidRPr="00502F18" w14:paraId="194B43A5" w14:textId="77777777" w:rsidTr="00975591">
        <w:trPr>
          <w:trHeight w:val="243"/>
          <w:jc w:val="center"/>
        </w:trPr>
        <w:tc>
          <w:tcPr>
            <w:tcW w:w="3211"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344258A3" w14:textId="77777777" w:rsidR="00A509F3" w:rsidRPr="00502F18" w:rsidRDefault="00A509F3"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Health/Personal Care</w:t>
            </w:r>
          </w:p>
        </w:tc>
        <w:tc>
          <w:tcPr>
            <w:tcW w:w="1296"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704F2D12" w14:textId="7E860D42" w:rsidR="00A509F3" w:rsidRPr="00502F18" w:rsidRDefault="00975591"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+4.78%</w:t>
            </w:r>
          </w:p>
        </w:tc>
        <w:tc>
          <w:tcPr>
            <w:tcW w:w="3213"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75091F41" w14:textId="77777777" w:rsidR="00A509F3" w:rsidRPr="00502F18" w:rsidRDefault="00A509F3"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Food Service/Drinking Places</w:t>
            </w:r>
          </w:p>
        </w:tc>
        <w:tc>
          <w:tcPr>
            <w:tcW w:w="1296" w:type="dxa"/>
            <w:tcBorders>
              <w:top w:val="single" w:sz="4" w:space="0" w:color="000000"/>
              <w:left w:val="single" w:sz="8" w:space="0" w:color="0070C0"/>
              <w:bottom w:val="single" w:sz="12" w:space="0" w:color="000000"/>
              <w:right w:val="single" w:sz="12" w:space="0" w:color="000000"/>
            </w:tcBorders>
            <w:shd w:val="clear" w:color="auto" w:fill="00B050"/>
            <w:vAlign w:val="center"/>
          </w:tcPr>
          <w:p w14:paraId="11E85681" w14:textId="5017DECF" w:rsidR="00A509F3" w:rsidRPr="00502F18" w:rsidRDefault="00975591"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+25.70%</w:t>
            </w:r>
          </w:p>
        </w:tc>
      </w:tr>
    </w:tbl>
    <w:p w14:paraId="776ECDEE" w14:textId="0C82391C" w:rsidR="00BA7568" w:rsidRDefault="00975591" w:rsidP="00975591">
      <w:pPr>
        <w:tabs>
          <w:tab w:val="left" w:pos="180"/>
        </w:tabs>
        <w:spacing w:after="0" w:line="240" w:lineRule="auto"/>
        <w:contextualSpacing/>
        <w:rPr>
          <w:rFonts w:ascii="Verdana" w:hAnsi="Verdana"/>
          <w:sz w:val="20"/>
          <w:szCs w:val="20"/>
        </w:rPr>
      </w:pPr>
      <w:r>
        <w:rPr>
          <w:rFonts w:ascii="Verdana" w:hAnsi="Verdana"/>
          <w:iCs/>
          <w:sz w:val="16"/>
          <w:szCs w:val="16"/>
        </w:rPr>
        <w:tab/>
      </w:r>
      <w:r w:rsidR="00BA7568">
        <w:rPr>
          <w:rFonts w:ascii="Verdana" w:hAnsi="Verdana"/>
          <w:iCs/>
          <w:sz w:val="16"/>
          <w:szCs w:val="16"/>
        </w:rPr>
        <w:t>US Census Bureau</w:t>
      </w:r>
      <w:r w:rsidR="00BA7568" w:rsidRPr="00502F18">
        <w:rPr>
          <w:rFonts w:ascii="Verdana" w:hAnsi="Verdana"/>
          <w:sz w:val="16"/>
          <w:szCs w:val="16"/>
        </w:rPr>
        <w:t xml:space="preserve">, </w:t>
      </w:r>
      <w:r w:rsidR="00BA7568">
        <w:rPr>
          <w:rFonts w:ascii="Verdana" w:hAnsi="Verdana"/>
          <w:sz w:val="16"/>
          <w:szCs w:val="16"/>
        </w:rPr>
        <w:t>July 202</w:t>
      </w:r>
      <w:r>
        <w:rPr>
          <w:rFonts w:ascii="Verdana" w:hAnsi="Verdana"/>
          <w:sz w:val="16"/>
          <w:szCs w:val="16"/>
        </w:rPr>
        <w:t>2</w:t>
      </w:r>
      <w:r w:rsidR="00BA7568" w:rsidRPr="00502F18">
        <w:rPr>
          <w:rFonts w:ascii="Verdana" w:hAnsi="Verdana"/>
          <w:sz w:val="16"/>
          <w:szCs w:val="16"/>
        </w:rPr>
        <w:tab/>
      </w:r>
    </w:p>
    <w:p w14:paraId="4EFC18F9" w14:textId="77777777" w:rsidR="00F96E2C" w:rsidRDefault="00F96E2C" w:rsidP="001C220F">
      <w:pPr>
        <w:spacing w:after="0" w:line="240" w:lineRule="auto"/>
        <w:contextualSpacing/>
        <w:mirrorIndents/>
        <w:rPr>
          <w:rFonts w:ascii="Verdana" w:hAnsi="Verdana"/>
          <w:sz w:val="20"/>
          <w:szCs w:val="20"/>
        </w:rPr>
      </w:pPr>
    </w:p>
    <w:p w14:paraId="61AB4521" w14:textId="34F5A65D" w:rsidR="001C220F" w:rsidRPr="00F96E2C" w:rsidRDefault="001C220F" w:rsidP="00F96E2C">
      <w:pPr>
        <w:spacing w:after="0" w:line="240" w:lineRule="auto"/>
        <w:contextualSpacing/>
        <w:mirrorIndents/>
        <w:jc w:val="center"/>
        <w:rPr>
          <w:rFonts w:ascii="Verdana" w:hAnsi="Verdana"/>
          <w:b/>
          <w:bCs/>
          <w:color w:val="0070C0"/>
          <w:sz w:val="20"/>
          <w:szCs w:val="20"/>
        </w:rPr>
      </w:pPr>
      <w:r w:rsidRPr="00F96E2C">
        <w:rPr>
          <w:rFonts w:ascii="Verdana" w:hAnsi="Verdana"/>
          <w:b/>
          <w:bCs/>
          <w:color w:val="0070C0"/>
          <w:sz w:val="20"/>
          <w:szCs w:val="20"/>
        </w:rPr>
        <w:t>Inflation Stymies Foot Traffic</w:t>
      </w:r>
    </w:p>
    <w:p w14:paraId="0287F1A9" w14:textId="77777777" w:rsidR="001C220F" w:rsidRPr="001C220F" w:rsidRDefault="001C220F" w:rsidP="001C220F">
      <w:pPr>
        <w:spacing w:after="0" w:line="240" w:lineRule="auto"/>
        <w:contextualSpacing/>
        <w:mirrorIndents/>
        <w:rPr>
          <w:rFonts w:ascii="Verdana" w:hAnsi="Verdana"/>
          <w:sz w:val="20"/>
          <w:szCs w:val="20"/>
        </w:rPr>
      </w:pPr>
    </w:p>
    <w:p w14:paraId="2703092A" w14:textId="0D395A17" w:rsidR="00F96E2C" w:rsidRDefault="00F96E2C" w:rsidP="001C220F">
      <w:pPr>
        <w:spacing w:after="0" w:line="240" w:lineRule="auto"/>
        <w:contextualSpacing/>
        <w:mirrorIndents/>
        <w:rPr>
          <w:rFonts w:ascii="Verdana" w:hAnsi="Verdana"/>
          <w:sz w:val="20"/>
          <w:szCs w:val="20"/>
        </w:rPr>
      </w:pPr>
      <w:r>
        <w:rPr>
          <w:rFonts w:ascii="Verdana" w:hAnsi="Verdana"/>
          <w:sz w:val="20"/>
          <w:szCs w:val="20"/>
        </w:rPr>
        <w:t xml:space="preserve">Placer.ai’s June 2022 report of shopping mall visits shows a decrease from January through June in parallel with the increase in inflation. During January, indoor mall visits increased 26.7%, open-air lifestyle </w:t>
      </w:r>
      <w:r w:rsidR="00E50CAF">
        <w:rPr>
          <w:rFonts w:ascii="Verdana" w:hAnsi="Verdana"/>
          <w:sz w:val="20"/>
          <w:szCs w:val="20"/>
        </w:rPr>
        <w:t>center</w:t>
      </w:r>
      <w:r>
        <w:rPr>
          <w:rFonts w:ascii="Verdana" w:hAnsi="Verdana"/>
          <w:sz w:val="20"/>
          <w:szCs w:val="20"/>
        </w:rPr>
        <w:t>s increased 28.3% and outlet malls increased 5.2% YOY.</w:t>
      </w:r>
    </w:p>
    <w:p w14:paraId="1A8E8AFB" w14:textId="69768BD5" w:rsidR="00F96E2C" w:rsidRDefault="00F96E2C" w:rsidP="001C220F">
      <w:pPr>
        <w:spacing w:after="0" w:line="240" w:lineRule="auto"/>
        <w:contextualSpacing/>
        <w:mirrorIndents/>
        <w:rPr>
          <w:rFonts w:ascii="Verdana" w:hAnsi="Verdana"/>
          <w:sz w:val="20"/>
          <w:szCs w:val="20"/>
        </w:rPr>
      </w:pPr>
    </w:p>
    <w:p w14:paraId="03DF639E" w14:textId="227DA3E0" w:rsidR="00F96E2C" w:rsidRDefault="00E50CAF" w:rsidP="001C220F">
      <w:pPr>
        <w:spacing w:after="0" w:line="240" w:lineRule="auto"/>
        <w:contextualSpacing/>
        <w:mirrorIndents/>
        <w:rPr>
          <w:rFonts w:ascii="Verdana" w:hAnsi="Verdana"/>
          <w:sz w:val="20"/>
          <w:szCs w:val="20"/>
        </w:rPr>
      </w:pPr>
      <w:r>
        <w:rPr>
          <w:rFonts w:ascii="Verdana" w:hAnsi="Verdana"/>
          <w:sz w:val="20"/>
          <w:szCs w:val="20"/>
        </w:rPr>
        <w:t>During May, indoor mall visits increased 6.3%, open-air lifestyle centers increased 4.0% and outlet malls decreased 6.6% YOY, respectively. June’ visits decreased further: indoor malls at +1.5%, open-air lifestyle centers at +0.5% and outlet malls at -6.7%.</w:t>
      </w:r>
    </w:p>
    <w:p w14:paraId="5D5C4055" w14:textId="49048F42" w:rsidR="00F96E2C" w:rsidRDefault="00F96E2C" w:rsidP="001C220F">
      <w:pPr>
        <w:spacing w:after="0" w:line="240" w:lineRule="auto"/>
        <w:contextualSpacing/>
        <w:mirrorIndents/>
        <w:rPr>
          <w:rFonts w:ascii="Verdana" w:hAnsi="Verdana"/>
          <w:sz w:val="20"/>
          <w:szCs w:val="20"/>
        </w:rPr>
      </w:pPr>
    </w:p>
    <w:p w14:paraId="4EF8AA5F" w14:textId="01C191E4" w:rsidR="00E50CAF" w:rsidRDefault="00E50CAF" w:rsidP="001C220F">
      <w:pPr>
        <w:spacing w:after="0" w:line="240" w:lineRule="auto"/>
        <w:contextualSpacing/>
        <w:mirrorIndents/>
        <w:rPr>
          <w:rFonts w:ascii="Verdana" w:hAnsi="Verdana"/>
          <w:sz w:val="20"/>
          <w:szCs w:val="20"/>
        </w:rPr>
      </w:pPr>
      <w:r>
        <w:rPr>
          <w:rFonts w:ascii="Verdana" w:hAnsi="Verdana"/>
          <w:sz w:val="20"/>
          <w:szCs w:val="20"/>
        </w:rPr>
        <w:t xml:space="preserve">A month-to-month comparison </w:t>
      </w:r>
      <w:r w:rsidR="007F4CAD">
        <w:rPr>
          <w:rFonts w:ascii="Verdana" w:hAnsi="Verdana"/>
          <w:sz w:val="20"/>
          <w:szCs w:val="20"/>
        </w:rPr>
        <w:t>reveals a different pattern</w:t>
      </w:r>
      <w:r>
        <w:rPr>
          <w:rFonts w:ascii="Verdana" w:hAnsi="Verdana"/>
          <w:sz w:val="20"/>
          <w:szCs w:val="20"/>
        </w:rPr>
        <w:t xml:space="preserve">. </w:t>
      </w:r>
      <w:r w:rsidR="007F4CAD">
        <w:rPr>
          <w:rFonts w:ascii="Verdana" w:hAnsi="Verdana"/>
          <w:sz w:val="20"/>
          <w:szCs w:val="20"/>
        </w:rPr>
        <w:t xml:space="preserve">After visits to all three mall </w:t>
      </w:r>
      <w:r w:rsidR="002C2D3D">
        <w:rPr>
          <w:rFonts w:ascii="Verdana" w:hAnsi="Verdana"/>
          <w:sz w:val="20"/>
          <w:szCs w:val="20"/>
        </w:rPr>
        <w:t>types</w:t>
      </w:r>
      <w:r w:rsidR="007F4CAD">
        <w:rPr>
          <w:rFonts w:ascii="Verdana" w:hAnsi="Verdana"/>
          <w:sz w:val="20"/>
          <w:szCs w:val="20"/>
        </w:rPr>
        <w:t xml:space="preserve"> increased from April to May, </w:t>
      </w:r>
      <w:r>
        <w:rPr>
          <w:rFonts w:ascii="Verdana" w:hAnsi="Verdana"/>
          <w:sz w:val="20"/>
          <w:szCs w:val="20"/>
        </w:rPr>
        <w:t xml:space="preserve">visits </w:t>
      </w:r>
      <w:r w:rsidR="007F4CAD">
        <w:rPr>
          <w:rFonts w:ascii="Verdana" w:hAnsi="Verdana"/>
          <w:sz w:val="20"/>
          <w:szCs w:val="20"/>
        </w:rPr>
        <w:t>to</w:t>
      </w:r>
      <w:r>
        <w:rPr>
          <w:rFonts w:ascii="Verdana" w:hAnsi="Verdana"/>
          <w:sz w:val="20"/>
          <w:szCs w:val="20"/>
        </w:rPr>
        <w:t xml:space="preserve"> indoor malls</w:t>
      </w:r>
      <w:r w:rsidR="007F4CAD">
        <w:rPr>
          <w:rFonts w:ascii="Verdana" w:hAnsi="Verdana"/>
          <w:sz w:val="20"/>
          <w:szCs w:val="20"/>
        </w:rPr>
        <w:t xml:space="preserve"> decreased 3.7%</w:t>
      </w:r>
      <w:r>
        <w:rPr>
          <w:rFonts w:ascii="Verdana" w:hAnsi="Verdana"/>
          <w:sz w:val="20"/>
          <w:szCs w:val="20"/>
        </w:rPr>
        <w:t xml:space="preserve"> </w:t>
      </w:r>
      <w:r w:rsidR="007F4CAD">
        <w:rPr>
          <w:rFonts w:ascii="Verdana" w:hAnsi="Verdana"/>
          <w:sz w:val="20"/>
          <w:szCs w:val="20"/>
        </w:rPr>
        <w:t xml:space="preserve">and </w:t>
      </w:r>
      <w:r>
        <w:rPr>
          <w:rFonts w:ascii="Verdana" w:hAnsi="Verdana"/>
          <w:sz w:val="20"/>
          <w:szCs w:val="20"/>
        </w:rPr>
        <w:t>open-air lifestyle centers</w:t>
      </w:r>
      <w:r>
        <w:rPr>
          <w:rFonts w:ascii="Verdana" w:hAnsi="Verdana"/>
          <w:sz w:val="20"/>
          <w:szCs w:val="20"/>
        </w:rPr>
        <w:t xml:space="preserve"> decreased </w:t>
      </w:r>
      <w:r w:rsidR="007F4CAD">
        <w:rPr>
          <w:rFonts w:ascii="Verdana" w:hAnsi="Verdana"/>
          <w:sz w:val="20"/>
          <w:szCs w:val="20"/>
        </w:rPr>
        <w:t>2.4</w:t>
      </w:r>
      <w:r>
        <w:rPr>
          <w:rFonts w:ascii="Verdana" w:hAnsi="Verdana"/>
          <w:sz w:val="20"/>
          <w:szCs w:val="20"/>
        </w:rPr>
        <w:t>%</w:t>
      </w:r>
      <w:r w:rsidR="007F4CAD">
        <w:rPr>
          <w:rFonts w:ascii="Verdana" w:hAnsi="Verdana"/>
          <w:sz w:val="20"/>
          <w:szCs w:val="20"/>
        </w:rPr>
        <w:t>, but</w:t>
      </w:r>
      <w:r>
        <w:rPr>
          <w:rFonts w:ascii="Verdana" w:hAnsi="Verdana"/>
          <w:sz w:val="20"/>
          <w:szCs w:val="20"/>
        </w:rPr>
        <w:t xml:space="preserve"> outlet malls </w:t>
      </w:r>
      <w:r w:rsidR="007F4CAD">
        <w:rPr>
          <w:rFonts w:ascii="Verdana" w:hAnsi="Verdana"/>
          <w:sz w:val="20"/>
          <w:szCs w:val="20"/>
        </w:rPr>
        <w:t>increased</w:t>
      </w:r>
      <w:r>
        <w:rPr>
          <w:rFonts w:ascii="Verdana" w:hAnsi="Verdana"/>
          <w:sz w:val="20"/>
          <w:szCs w:val="20"/>
        </w:rPr>
        <w:t xml:space="preserve"> </w:t>
      </w:r>
      <w:r w:rsidR="007F4CAD">
        <w:rPr>
          <w:rFonts w:ascii="Verdana" w:hAnsi="Verdana"/>
          <w:sz w:val="20"/>
          <w:szCs w:val="20"/>
        </w:rPr>
        <w:t>0.6</w:t>
      </w:r>
      <w:r>
        <w:rPr>
          <w:rFonts w:ascii="Verdana" w:hAnsi="Verdana"/>
          <w:sz w:val="20"/>
          <w:szCs w:val="20"/>
        </w:rPr>
        <w:t>%</w:t>
      </w:r>
      <w:r w:rsidR="0005616B">
        <w:rPr>
          <w:rFonts w:ascii="Verdana" w:hAnsi="Verdana"/>
          <w:sz w:val="20"/>
          <w:szCs w:val="20"/>
        </w:rPr>
        <w:t>,</w:t>
      </w:r>
      <w:r w:rsidR="007F4CAD">
        <w:rPr>
          <w:rFonts w:ascii="Verdana" w:hAnsi="Verdana"/>
          <w:sz w:val="20"/>
          <w:szCs w:val="20"/>
        </w:rPr>
        <w:t xml:space="preserve"> from May to June.</w:t>
      </w:r>
    </w:p>
    <w:p w14:paraId="596F53F8" w14:textId="1EF52BC2" w:rsidR="007F4CAD" w:rsidRDefault="007F4CAD" w:rsidP="001C220F">
      <w:pPr>
        <w:spacing w:after="0" w:line="240" w:lineRule="auto"/>
        <w:contextualSpacing/>
        <w:mirrorIndents/>
        <w:rPr>
          <w:rFonts w:ascii="Verdana" w:hAnsi="Verdana"/>
          <w:sz w:val="20"/>
          <w:szCs w:val="20"/>
        </w:rPr>
      </w:pPr>
    </w:p>
    <w:p w14:paraId="493DE86F" w14:textId="14A87573" w:rsidR="00CC6B88" w:rsidRPr="005D1511" w:rsidRDefault="00CC6B88" w:rsidP="00CC6B88">
      <w:pPr>
        <w:spacing w:after="0" w:line="240" w:lineRule="auto"/>
        <w:contextualSpacing/>
        <w:mirrorIndents/>
        <w:jc w:val="center"/>
        <w:rPr>
          <w:b/>
          <w:bCs/>
          <w:sz w:val="20"/>
          <w:szCs w:val="20"/>
        </w:rPr>
      </w:pPr>
      <w:r>
        <w:rPr>
          <w:b/>
          <w:bCs/>
          <w:sz w:val="20"/>
          <w:szCs w:val="20"/>
        </w:rPr>
        <w:t xml:space="preserve">2022 </w:t>
      </w:r>
      <w:r w:rsidR="002C2D3D">
        <w:rPr>
          <w:b/>
          <w:bCs/>
          <w:sz w:val="20"/>
          <w:szCs w:val="20"/>
        </w:rPr>
        <w:t xml:space="preserve">Visits to Three Primary Mall Types, Compared to </w:t>
      </w:r>
      <w:r>
        <w:rPr>
          <w:b/>
          <w:bCs/>
          <w:sz w:val="20"/>
          <w:szCs w:val="20"/>
        </w:rPr>
        <w:t>the Same Months of 2019</w:t>
      </w:r>
    </w:p>
    <w:tbl>
      <w:tblPr>
        <w:tblW w:w="593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823"/>
        <w:gridCol w:w="1368"/>
        <w:gridCol w:w="1374"/>
        <w:gridCol w:w="1368"/>
      </w:tblGrid>
      <w:tr w:rsidR="002C2D3D" w:rsidRPr="005D1511" w14:paraId="58251C9F" w14:textId="77777777" w:rsidTr="0005616B">
        <w:trPr>
          <w:jc w:val="center"/>
        </w:trPr>
        <w:tc>
          <w:tcPr>
            <w:tcW w:w="1823" w:type="dxa"/>
            <w:tcBorders>
              <w:top w:val="single" w:sz="12" w:space="0" w:color="000000"/>
              <w:left w:val="single" w:sz="12" w:space="0" w:color="000000"/>
              <w:bottom w:val="single" w:sz="18" w:space="0" w:color="C0504D" w:themeColor="accent2"/>
              <w:right w:val="single" w:sz="18" w:space="0" w:color="0070C0"/>
            </w:tcBorders>
            <w:vAlign w:val="center"/>
          </w:tcPr>
          <w:p w14:paraId="381B9CFC" w14:textId="52A5360E" w:rsidR="002C2D3D" w:rsidRPr="005D1511" w:rsidRDefault="00CC6B88" w:rsidP="0005616B">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Month</w:t>
            </w:r>
          </w:p>
        </w:tc>
        <w:tc>
          <w:tcPr>
            <w:tcW w:w="1368" w:type="dxa"/>
            <w:tcBorders>
              <w:top w:val="single" w:sz="12" w:space="0" w:color="000000"/>
              <w:left w:val="single" w:sz="18" w:space="0" w:color="0070C0"/>
              <w:bottom w:val="single" w:sz="18" w:space="0" w:color="C0504D" w:themeColor="accent2"/>
              <w:right w:val="single" w:sz="8" w:space="0" w:color="0070C0"/>
            </w:tcBorders>
            <w:vAlign w:val="center"/>
          </w:tcPr>
          <w:p w14:paraId="166247D1" w14:textId="0ACB2260" w:rsidR="002C2D3D" w:rsidRPr="005D1511" w:rsidRDefault="00CC6B88" w:rsidP="0005616B">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Indoor Malls</w:t>
            </w:r>
          </w:p>
        </w:tc>
        <w:tc>
          <w:tcPr>
            <w:tcW w:w="1374" w:type="dxa"/>
            <w:tcBorders>
              <w:top w:val="single" w:sz="12" w:space="0" w:color="000000"/>
              <w:left w:val="single" w:sz="8" w:space="0" w:color="0070C0"/>
              <w:bottom w:val="single" w:sz="18" w:space="0" w:color="C0504D" w:themeColor="accent2"/>
              <w:right w:val="single" w:sz="8" w:space="0" w:color="0070C0"/>
            </w:tcBorders>
            <w:vAlign w:val="center"/>
          </w:tcPr>
          <w:p w14:paraId="6AC46E46" w14:textId="67322BE7" w:rsidR="002C2D3D" w:rsidRPr="005D1511" w:rsidRDefault="00CC6B88" w:rsidP="0005616B">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Open-Air Lifestyle Centers</w:t>
            </w:r>
          </w:p>
        </w:tc>
        <w:tc>
          <w:tcPr>
            <w:tcW w:w="1368" w:type="dxa"/>
            <w:tcBorders>
              <w:top w:val="single" w:sz="12" w:space="0" w:color="000000"/>
              <w:left w:val="single" w:sz="8" w:space="0" w:color="0070C0"/>
              <w:bottom w:val="single" w:sz="18" w:space="0" w:color="C0504D" w:themeColor="accent2"/>
              <w:right w:val="single" w:sz="12" w:space="0" w:color="000000"/>
            </w:tcBorders>
            <w:vAlign w:val="center"/>
          </w:tcPr>
          <w:p w14:paraId="0CC762C7" w14:textId="2ADFCFC3" w:rsidR="002C2D3D" w:rsidRPr="005D1511" w:rsidRDefault="00CC6B88" w:rsidP="0005616B">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Outlet Malls</w:t>
            </w:r>
          </w:p>
        </w:tc>
      </w:tr>
      <w:tr w:rsidR="002C2D3D" w:rsidRPr="005D1511" w14:paraId="16FD9EB0" w14:textId="77777777" w:rsidTr="00CC6B88">
        <w:tblPrEx>
          <w:tblBorders>
            <w:top w:val="none" w:sz="0" w:space="0" w:color="auto"/>
          </w:tblBorders>
        </w:tblPrEx>
        <w:trPr>
          <w:jc w:val="center"/>
        </w:trPr>
        <w:tc>
          <w:tcPr>
            <w:tcW w:w="1823" w:type="dxa"/>
            <w:tcBorders>
              <w:top w:val="single" w:sz="4" w:space="0" w:color="000000"/>
              <w:left w:val="single" w:sz="12" w:space="0" w:color="000000"/>
              <w:bottom w:val="single" w:sz="4" w:space="0" w:color="000000"/>
              <w:right w:val="single" w:sz="18" w:space="0" w:color="0070C0"/>
            </w:tcBorders>
            <w:vAlign w:val="center"/>
          </w:tcPr>
          <w:p w14:paraId="22C7DFAC" w14:textId="5E823DAF" w:rsidR="002C2D3D" w:rsidRPr="005D1511" w:rsidRDefault="00CC6B88"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January 2022</w:t>
            </w:r>
          </w:p>
        </w:tc>
        <w:tc>
          <w:tcPr>
            <w:tcW w:w="1368"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68DC9024" w14:textId="54981A41"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-10.0%</w:t>
            </w:r>
          </w:p>
        </w:tc>
        <w:tc>
          <w:tcPr>
            <w:tcW w:w="1374"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772E1063" w14:textId="1F54AB45"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-10.3%</w:t>
            </w:r>
          </w:p>
        </w:tc>
        <w:tc>
          <w:tcPr>
            <w:tcW w:w="136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3D378BDE" w14:textId="49D1534B"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-5.6%</w:t>
            </w:r>
          </w:p>
        </w:tc>
      </w:tr>
      <w:tr w:rsidR="002C2D3D" w:rsidRPr="005D1511" w14:paraId="74D83A2B" w14:textId="77777777" w:rsidTr="00CC6B88">
        <w:tblPrEx>
          <w:tblBorders>
            <w:top w:val="none" w:sz="0" w:space="0" w:color="auto"/>
          </w:tblBorders>
        </w:tblPrEx>
        <w:trPr>
          <w:jc w:val="center"/>
        </w:trPr>
        <w:tc>
          <w:tcPr>
            <w:tcW w:w="1823" w:type="dxa"/>
            <w:tcBorders>
              <w:top w:val="single" w:sz="4" w:space="0" w:color="000000"/>
              <w:left w:val="single" w:sz="12" w:space="0" w:color="000000"/>
              <w:bottom w:val="single" w:sz="4" w:space="0" w:color="000000"/>
              <w:right w:val="single" w:sz="18" w:space="0" w:color="0070C0"/>
            </w:tcBorders>
            <w:vAlign w:val="center"/>
          </w:tcPr>
          <w:p w14:paraId="1ABD9404" w14:textId="2B3F8A03" w:rsidR="002C2D3D" w:rsidRPr="005D1511" w:rsidRDefault="00CC6B88"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February 2022</w:t>
            </w:r>
          </w:p>
        </w:tc>
        <w:tc>
          <w:tcPr>
            <w:tcW w:w="1368"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75E41B44" w14:textId="058B872F"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-3.3%</w:t>
            </w:r>
          </w:p>
        </w:tc>
        <w:tc>
          <w:tcPr>
            <w:tcW w:w="137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428BC3B" w14:textId="23FA8622"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-4.1%</w:t>
            </w:r>
          </w:p>
        </w:tc>
        <w:tc>
          <w:tcPr>
            <w:tcW w:w="136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19C9FC14" w14:textId="7A172672"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w:t>
            </w:r>
          </w:p>
        </w:tc>
      </w:tr>
      <w:tr w:rsidR="002C2D3D" w:rsidRPr="005D1511" w14:paraId="5DB403AA" w14:textId="77777777" w:rsidTr="00CC6B88">
        <w:tblPrEx>
          <w:tblBorders>
            <w:top w:val="none" w:sz="0" w:space="0" w:color="auto"/>
          </w:tblBorders>
        </w:tblPrEx>
        <w:trPr>
          <w:jc w:val="center"/>
        </w:trPr>
        <w:tc>
          <w:tcPr>
            <w:tcW w:w="1823" w:type="dxa"/>
            <w:tcBorders>
              <w:top w:val="single" w:sz="4" w:space="0" w:color="000000"/>
              <w:left w:val="single" w:sz="12" w:space="0" w:color="000000"/>
              <w:bottom w:val="single" w:sz="4" w:space="0" w:color="000000"/>
              <w:right w:val="single" w:sz="18" w:space="0" w:color="0070C0"/>
            </w:tcBorders>
            <w:vAlign w:val="center"/>
          </w:tcPr>
          <w:p w14:paraId="263C7896" w14:textId="28DDFC68" w:rsidR="002C2D3D" w:rsidRDefault="00CC6B88"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March 2022</w:t>
            </w:r>
          </w:p>
        </w:tc>
        <w:tc>
          <w:tcPr>
            <w:tcW w:w="1368" w:type="dxa"/>
            <w:tcBorders>
              <w:top w:val="single" w:sz="4" w:space="0" w:color="auto"/>
              <w:left w:val="single" w:sz="18" w:space="0" w:color="0070C0"/>
              <w:bottom w:val="single" w:sz="4" w:space="0" w:color="000000"/>
              <w:right w:val="single" w:sz="8" w:space="0" w:color="0070C0"/>
            </w:tcBorders>
            <w:shd w:val="clear" w:color="auto" w:fill="E5B8B7" w:themeFill="accent2" w:themeFillTint="66"/>
            <w:vAlign w:val="center"/>
          </w:tcPr>
          <w:p w14:paraId="78EADACB" w14:textId="377AAACA" w:rsidR="002C2D3D"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-10.4%</w:t>
            </w:r>
          </w:p>
        </w:tc>
        <w:tc>
          <w:tcPr>
            <w:tcW w:w="1374"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7DB3F1CF" w14:textId="0D891553" w:rsidR="002C2D3D"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-10.1%</w:t>
            </w:r>
          </w:p>
        </w:tc>
        <w:tc>
          <w:tcPr>
            <w:tcW w:w="1368" w:type="dxa"/>
            <w:tcBorders>
              <w:top w:val="single" w:sz="4" w:space="0" w:color="auto"/>
              <w:left w:val="single" w:sz="8" w:space="0" w:color="0070C0"/>
              <w:bottom w:val="single" w:sz="4" w:space="0" w:color="000000"/>
              <w:right w:val="single" w:sz="12" w:space="0" w:color="000000"/>
            </w:tcBorders>
            <w:shd w:val="clear" w:color="auto" w:fill="D99594" w:themeFill="accent2" w:themeFillTint="99"/>
            <w:vAlign w:val="center"/>
          </w:tcPr>
          <w:p w14:paraId="7B5096BE" w14:textId="2859AEDB" w:rsidR="002C2D3D"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-15.6%</w:t>
            </w:r>
          </w:p>
        </w:tc>
      </w:tr>
      <w:tr w:rsidR="002C2D3D" w:rsidRPr="005D1511" w14:paraId="213D3C8F" w14:textId="77777777" w:rsidTr="00CC6B88">
        <w:tblPrEx>
          <w:tblBorders>
            <w:top w:val="none" w:sz="0" w:space="0" w:color="auto"/>
          </w:tblBorders>
        </w:tblPrEx>
        <w:trPr>
          <w:jc w:val="center"/>
        </w:trPr>
        <w:tc>
          <w:tcPr>
            <w:tcW w:w="1823" w:type="dxa"/>
            <w:tcBorders>
              <w:top w:val="single" w:sz="4" w:space="0" w:color="000000"/>
              <w:left w:val="single" w:sz="12" w:space="0" w:color="000000"/>
              <w:bottom w:val="single" w:sz="4" w:space="0" w:color="000000"/>
              <w:right w:val="single" w:sz="18" w:space="0" w:color="0070C0"/>
            </w:tcBorders>
            <w:vAlign w:val="center"/>
          </w:tcPr>
          <w:p w14:paraId="5DFD6859" w14:textId="22A6BD6E" w:rsidR="002C2D3D" w:rsidRDefault="00CC6B88"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April 2022</w:t>
            </w:r>
          </w:p>
        </w:tc>
        <w:tc>
          <w:tcPr>
            <w:tcW w:w="1368"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5D990522" w14:textId="348ABDF2" w:rsidR="002C2D3D"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-1.8%</w:t>
            </w:r>
          </w:p>
        </w:tc>
        <w:tc>
          <w:tcPr>
            <w:tcW w:w="137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02E2A78B" w14:textId="6DF73451" w:rsidR="002C2D3D"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-4.8%</w:t>
            </w:r>
          </w:p>
        </w:tc>
        <w:tc>
          <w:tcPr>
            <w:tcW w:w="136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4C422975" w14:textId="05F0177E" w:rsidR="002C2D3D"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-5.1%</w:t>
            </w:r>
          </w:p>
        </w:tc>
      </w:tr>
      <w:tr w:rsidR="002C2D3D" w:rsidRPr="005D1511" w14:paraId="220F39FD" w14:textId="77777777" w:rsidTr="00CC6B88">
        <w:tblPrEx>
          <w:tblBorders>
            <w:top w:val="none" w:sz="0" w:space="0" w:color="auto"/>
          </w:tblBorders>
        </w:tblPrEx>
        <w:trPr>
          <w:jc w:val="center"/>
        </w:trPr>
        <w:tc>
          <w:tcPr>
            <w:tcW w:w="1823" w:type="dxa"/>
            <w:tcBorders>
              <w:top w:val="single" w:sz="4" w:space="0" w:color="000000"/>
              <w:left w:val="single" w:sz="12" w:space="0" w:color="000000"/>
              <w:bottom w:val="single" w:sz="4" w:space="0" w:color="000000"/>
              <w:right w:val="single" w:sz="18" w:space="0" w:color="0070C0"/>
            </w:tcBorders>
            <w:vAlign w:val="center"/>
          </w:tcPr>
          <w:p w14:paraId="4548F644" w14:textId="74E43D99" w:rsidR="002C2D3D" w:rsidRPr="005D1511" w:rsidRDefault="00CC6B88"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May 2022</w:t>
            </w:r>
          </w:p>
        </w:tc>
        <w:tc>
          <w:tcPr>
            <w:tcW w:w="1368"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1B1C7103" w14:textId="5DDB6CC4"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-4.6%</w:t>
            </w:r>
          </w:p>
        </w:tc>
        <w:tc>
          <w:tcPr>
            <w:tcW w:w="1374"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2A8453B" w14:textId="212F9472"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-6.0%</w:t>
            </w:r>
          </w:p>
        </w:tc>
        <w:tc>
          <w:tcPr>
            <w:tcW w:w="136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7C74A5F2" w14:textId="16516FB0"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-8.0%</w:t>
            </w:r>
          </w:p>
        </w:tc>
      </w:tr>
      <w:tr w:rsidR="002C2D3D" w:rsidRPr="005D1511" w14:paraId="428EB2DE" w14:textId="77777777" w:rsidTr="00CC6B88">
        <w:tblPrEx>
          <w:tblBorders>
            <w:top w:val="none" w:sz="0" w:space="0" w:color="auto"/>
          </w:tblBorders>
        </w:tblPrEx>
        <w:trPr>
          <w:jc w:val="center"/>
        </w:trPr>
        <w:tc>
          <w:tcPr>
            <w:tcW w:w="1823" w:type="dxa"/>
            <w:tcBorders>
              <w:top w:val="single" w:sz="4" w:space="0" w:color="000000"/>
              <w:left w:val="single" w:sz="12" w:space="0" w:color="000000"/>
              <w:bottom w:val="single" w:sz="12" w:space="0" w:color="auto"/>
              <w:right w:val="single" w:sz="18" w:space="0" w:color="0070C0"/>
            </w:tcBorders>
            <w:vAlign w:val="center"/>
          </w:tcPr>
          <w:p w14:paraId="3D30692A" w14:textId="2DB3B9F4" w:rsidR="002C2D3D" w:rsidRPr="005D1511" w:rsidRDefault="00CC6B88"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June 2022</w:t>
            </w:r>
          </w:p>
        </w:tc>
        <w:tc>
          <w:tcPr>
            <w:tcW w:w="1368" w:type="dxa"/>
            <w:tcBorders>
              <w:top w:val="single" w:sz="4" w:space="0" w:color="000000"/>
              <w:left w:val="single" w:sz="18" w:space="0" w:color="0070C0"/>
              <w:bottom w:val="single" w:sz="12" w:space="0" w:color="auto"/>
              <w:right w:val="single" w:sz="8" w:space="0" w:color="0070C0"/>
            </w:tcBorders>
            <w:shd w:val="clear" w:color="auto" w:fill="E5B8B7" w:themeFill="accent2" w:themeFillTint="66"/>
            <w:vAlign w:val="center"/>
          </w:tcPr>
          <w:p w14:paraId="053F4A53" w14:textId="56FCB99F"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-9.5%</w:t>
            </w:r>
          </w:p>
        </w:tc>
        <w:tc>
          <w:tcPr>
            <w:tcW w:w="1374"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2ACD26B3" w14:textId="05DA8A5F"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-9.4%</w:t>
            </w:r>
          </w:p>
        </w:tc>
        <w:tc>
          <w:tcPr>
            <w:tcW w:w="1368" w:type="dxa"/>
            <w:tcBorders>
              <w:top w:val="single" w:sz="4" w:space="0" w:color="000000"/>
              <w:left w:val="single" w:sz="8" w:space="0" w:color="0070C0"/>
              <w:bottom w:val="single" w:sz="12" w:space="0" w:color="auto"/>
              <w:right w:val="single" w:sz="12" w:space="0" w:color="000000"/>
            </w:tcBorders>
            <w:shd w:val="clear" w:color="auto" w:fill="D99594" w:themeFill="accent2" w:themeFillTint="99"/>
            <w:vAlign w:val="center"/>
          </w:tcPr>
          <w:p w14:paraId="1B526238" w14:textId="05105D12" w:rsidR="002C2D3D" w:rsidRPr="005D1511" w:rsidRDefault="00CC6B88"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-14.3%</w:t>
            </w:r>
          </w:p>
        </w:tc>
      </w:tr>
    </w:tbl>
    <w:p w14:paraId="7770D526" w14:textId="53B8D638" w:rsidR="002C2D3D" w:rsidRDefault="00CC6B88" w:rsidP="00CC6B88">
      <w:pPr>
        <w:tabs>
          <w:tab w:val="left" w:pos="1710"/>
        </w:tabs>
        <w:spacing w:after="0" w:line="240" w:lineRule="auto"/>
        <w:contextualSpacing/>
        <w:mirrorIndents/>
        <w:rPr>
          <w:sz w:val="16"/>
          <w:szCs w:val="16"/>
        </w:rPr>
      </w:pPr>
      <w:r>
        <w:rPr>
          <w:sz w:val="16"/>
          <w:szCs w:val="16"/>
        </w:rPr>
        <w:tab/>
        <w:t>Placer.ai, July 2022</w:t>
      </w:r>
    </w:p>
    <w:p w14:paraId="344E9EBC" w14:textId="371CE0FC" w:rsidR="001C220F" w:rsidRPr="00F34755" w:rsidRDefault="001C220F" w:rsidP="00F34755">
      <w:pPr>
        <w:spacing w:after="0" w:line="240" w:lineRule="auto"/>
        <w:contextualSpacing/>
        <w:mirrorIndents/>
        <w:jc w:val="center"/>
        <w:rPr>
          <w:rFonts w:ascii="Verdana" w:hAnsi="Verdana"/>
          <w:b/>
          <w:bCs/>
          <w:color w:val="0070C0"/>
          <w:sz w:val="20"/>
          <w:szCs w:val="20"/>
        </w:rPr>
      </w:pPr>
      <w:r w:rsidRPr="00F34755">
        <w:rPr>
          <w:rFonts w:ascii="Verdana" w:hAnsi="Verdana"/>
          <w:b/>
          <w:bCs/>
          <w:color w:val="0070C0"/>
          <w:sz w:val="20"/>
          <w:szCs w:val="20"/>
        </w:rPr>
        <w:lastRenderedPageBreak/>
        <w:t>The Outlet Mall Outlook</w:t>
      </w:r>
    </w:p>
    <w:p w14:paraId="472C70EF" w14:textId="77777777" w:rsidR="001C220F" w:rsidRPr="001C220F" w:rsidRDefault="001C220F" w:rsidP="001C220F">
      <w:pPr>
        <w:spacing w:after="0" w:line="240" w:lineRule="auto"/>
        <w:contextualSpacing/>
        <w:mirrorIndents/>
        <w:rPr>
          <w:rFonts w:ascii="Verdana" w:hAnsi="Verdana"/>
          <w:sz w:val="20"/>
          <w:szCs w:val="20"/>
        </w:rPr>
      </w:pPr>
    </w:p>
    <w:p w14:paraId="458D4C3E" w14:textId="587BA3A0" w:rsidR="006443EC" w:rsidRDefault="006443EC" w:rsidP="001C220F">
      <w:pPr>
        <w:spacing w:after="0" w:line="240" w:lineRule="auto"/>
        <w:contextualSpacing/>
        <w:mirrorIndents/>
        <w:rPr>
          <w:rFonts w:ascii="Verdana" w:hAnsi="Verdana"/>
          <w:sz w:val="20"/>
          <w:szCs w:val="20"/>
        </w:rPr>
      </w:pPr>
      <w:r>
        <w:rPr>
          <w:rFonts w:ascii="Verdana" w:hAnsi="Verdana"/>
          <w:sz w:val="20"/>
          <w:szCs w:val="20"/>
        </w:rPr>
        <w:t>Many major outlet mall owners, such as Tanger and Simon</w:t>
      </w:r>
      <w:r w:rsidR="00304570">
        <w:rPr>
          <w:rFonts w:ascii="Verdana" w:hAnsi="Verdana"/>
          <w:sz w:val="20"/>
          <w:szCs w:val="20"/>
        </w:rPr>
        <w:t xml:space="preserve"> Property Group</w:t>
      </w:r>
      <w:r>
        <w:rPr>
          <w:rFonts w:ascii="Verdana" w:hAnsi="Verdana"/>
          <w:sz w:val="20"/>
          <w:szCs w:val="20"/>
        </w:rPr>
        <w:t xml:space="preserve">, have returned to </w:t>
      </w:r>
      <w:r w:rsidR="00685489">
        <w:rPr>
          <w:rFonts w:ascii="Verdana" w:hAnsi="Verdana"/>
          <w:sz w:val="20"/>
          <w:szCs w:val="20"/>
        </w:rPr>
        <w:t xml:space="preserve">the </w:t>
      </w:r>
      <w:r>
        <w:rPr>
          <w:rFonts w:ascii="Verdana" w:hAnsi="Verdana"/>
          <w:sz w:val="20"/>
          <w:szCs w:val="20"/>
        </w:rPr>
        <w:t xml:space="preserve">active development of planned, new properties, which have been delayed for several years. </w:t>
      </w:r>
      <w:r w:rsidR="00461D2C">
        <w:rPr>
          <w:rFonts w:ascii="Verdana" w:hAnsi="Verdana"/>
          <w:sz w:val="20"/>
          <w:szCs w:val="20"/>
        </w:rPr>
        <w:t>Many shoppers are more comfortable shopping at outlet malls than indoor malls.</w:t>
      </w:r>
    </w:p>
    <w:p w14:paraId="5EBDE81C" w14:textId="77777777" w:rsidR="006443EC" w:rsidRDefault="006443EC" w:rsidP="001C220F">
      <w:pPr>
        <w:spacing w:after="0" w:line="240" w:lineRule="auto"/>
        <w:contextualSpacing/>
        <w:mirrorIndents/>
        <w:rPr>
          <w:rFonts w:ascii="Verdana" w:hAnsi="Verdana"/>
          <w:sz w:val="20"/>
          <w:szCs w:val="20"/>
        </w:rPr>
      </w:pPr>
    </w:p>
    <w:p w14:paraId="6D7B6155" w14:textId="1BAE2CD6" w:rsidR="00F34755" w:rsidRDefault="006443EC" w:rsidP="001C220F">
      <w:pPr>
        <w:spacing w:after="0" w:line="240" w:lineRule="auto"/>
        <w:contextualSpacing/>
        <w:mirrorIndents/>
        <w:rPr>
          <w:rFonts w:ascii="Verdana" w:hAnsi="Verdana"/>
          <w:sz w:val="20"/>
          <w:szCs w:val="20"/>
        </w:rPr>
      </w:pPr>
      <w:r>
        <w:rPr>
          <w:rFonts w:ascii="Verdana" w:hAnsi="Verdana"/>
          <w:sz w:val="20"/>
          <w:szCs w:val="20"/>
        </w:rPr>
        <w:t>Just these two developers’ outlet mall projects will total 1.8 million square feet</w:t>
      </w:r>
      <w:r w:rsidR="00461D2C">
        <w:rPr>
          <w:rFonts w:ascii="Verdana" w:hAnsi="Verdana"/>
          <w:sz w:val="20"/>
          <w:szCs w:val="20"/>
        </w:rPr>
        <w:t>, a substantial increase when compared to the 1.2 million square feet of all outlet mall space that opened from 2019 to 2021.</w:t>
      </w:r>
    </w:p>
    <w:p w14:paraId="2CCC393A" w14:textId="77777777" w:rsidR="00F34755" w:rsidRDefault="00F34755" w:rsidP="001C220F">
      <w:pPr>
        <w:spacing w:after="0" w:line="240" w:lineRule="auto"/>
        <w:contextualSpacing/>
        <w:mirrorIndents/>
        <w:rPr>
          <w:rFonts w:ascii="Verdana" w:hAnsi="Verdana"/>
          <w:sz w:val="20"/>
          <w:szCs w:val="20"/>
        </w:rPr>
      </w:pPr>
    </w:p>
    <w:p w14:paraId="1D7104E1" w14:textId="6BF4E0F2" w:rsidR="00F34755" w:rsidRDefault="00C3736A" w:rsidP="001C220F">
      <w:pPr>
        <w:spacing w:after="0" w:line="240" w:lineRule="auto"/>
        <w:contextualSpacing/>
        <w:mirrorIndents/>
        <w:rPr>
          <w:rFonts w:ascii="Verdana" w:hAnsi="Verdana"/>
          <w:sz w:val="20"/>
          <w:szCs w:val="20"/>
        </w:rPr>
      </w:pPr>
      <w:r>
        <w:rPr>
          <w:rFonts w:ascii="Verdana" w:hAnsi="Verdana"/>
          <w:sz w:val="20"/>
          <w:szCs w:val="20"/>
        </w:rPr>
        <w:t>Approximately 65% of outlet mall tenants are apparel and apparel-related retai</w:t>
      </w:r>
      <w:r w:rsidR="0005616B">
        <w:rPr>
          <w:rFonts w:ascii="Verdana" w:hAnsi="Verdana"/>
          <w:sz w:val="20"/>
          <w:szCs w:val="20"/>
        </w:rPr>
        <w:t>l</w:t>
      </w:r>
      <w:r>
        <w:rPr>
          <w:rFonts w:ascii="Verdana" w:hAnsi="Verdana"/>
          <w:sz w:val="20"/>
          <w:szCs w:val="20"/>
        </w:rPr>
        <w:t>ers. Although consumers must purchase clothing, inflationary pressures could negatively affect outlet mall sales. Many in the sector are calling for a more diverse tenant mix.</w:t>
      </w:r>
    </w:p>
    <w:p w14:paraId="1BF4E0F9" w14:textId="1C6771F2" w:rsidR="00C3736A" w:rsidRDefault="00C3736A" w:rsidP="001C220F">
      <w:pPr>
        <w:spacing w:after="0" w:line="240" w:lineRule="auto"/>
        <w:contextualSpacing/>
        <w:mirrorIndents/>
        <w:rPr>
          <w:rFonts w:ascii="Verdana" w:hAnsi="Verdana"/>
          <w:sz w:val="20"/>
          <w:szCs w:val="20"/>
        </w:rPr>
      </w:pPr>
    </w:p>
    <w:p w14:paraId="4C572DC6" w14:textId="4783D913" w:rsidR="00D415EF" w:rsidRPr="00502F18" w:rsidRDefault="005A46CE" w:rsidP="00D415EF">
      <w:pPr>
        <w:pStyle w:val="Header"/>
        <w:contextualSpacing/>
        <w:jc w:val="center"/>
        <w:rPr>
          <w:rFonts w:ascii="Verdana" w:hAnsi="Verdana"/>
          <w:b/>
          <w:sz w:val="20"/>
          <w:szCs w:val="20"/>
        </w:rPr>
      </w:pPr>
      <w:r>
        <w:rPr>
          <w:rFonts w:ascii="Verdana" w:hAnsi="Verdana"/>
          <w:b/>
          <w:sz w:val="20"/>
          <w:szCs w:val="20"/>
        </w:rPr>
        <w:t>Consumers’ Expected Spending Reduction</w:t>
      </w:r>
      <w:r w:rsidR="00D415EF">
        <w:rPr>
          <w:rFonts w:ascii="Verdana" w:hAnsi="Verdana"/>
          <w:b/>
          <w:sz w:val="20"/>
          <w:szCs w:val="20"/>
        </w:rPr>
        <w:t>s During the Second Half of 2022</w:t>
      </w:r>
    </w:p>
    <w:tbl>
      <w:tblPr>
        <w:tblW w:w="10793" w:type="dxa"/>
        <w:jc w:val="center"/>
        <w:tblBorders>
          <w:left w:val="single" w:sz="8" w:space="0" w:color="000000"/>
          <w:right w:val="single" w:sz="8" w:space="0" w:color="000000"/>
        </w:tblBorders>
        <w:tblLayout w:type="fixed"/>
        <w:tblLook w:val="0000" w:firstRow="0" w:lastRow="0" w:firstColumn="0" w:lastColumn="0" w:noHBand="0" w:noVBand="0"/>
      </w:tblPr>
      <w:tblGrid>
        <w:gridCol w:w="4126"/>
        <w:gridCol w:w="1267"/>
        <w:gridCol w:w="4133"/>
        <w:gridCol w:w="1267"/>
      </w:tblGrid>
      <w:tr w:rsidR="005A46CE" w:rsidRPr="00502F18" w14:paraId="2272354B" w14:textId="77777777" w:rsidTr="0005616B">
        <w:trPr>
          <w:jc w:val="center"/>
        </w:trPr>
        <w:tc>
          <w:tcPr>
            <w:tcW w:w="4126" w:type="dxa"/>
            <w:tcBorders>
              <w:top w:val="single" w:sz="12" w:space="0" w:color="000000"/>
              <w:left w:val="single" w:sz="12" w:space="0" w:color="000000"/>
              <w:bottom w:val="single" w:sz="18" w:space="0" w:color="C0504D" w:themeColor="accent2"/>
              <w:right w:val="single" w:sz="8" w:space="0" w:color="0070C0"/>
            </w:tcBorders>
            <w:vAlign w:val="center"/>
          </w:tcPr>
          <w:p w14:paraId="2D9BB283" w14:textId="1A7E71F1" w:rsidR="005A46CE" w:rsidRPr="00502F18" w:rsidRDefault="00D415EF" w:rsidP="0005616B">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Product Category</w:t>
            </w:r>
          </w:p>
        </w:tc>
        <w:tc>
          <w:tcPr>
            <w:tcW w:w="1267" w:type="dxa"/>
            <w:tcBorders>
              <w:top w:val="single" w:sz="12" w:space="0" w:color="000000"/>
              <w:left w:val="single" w:sz="8" w:space="0" w:color="0070C0"/>
              <w:bottom w:val="single" w:sz="18" w:space="0" w:color="C0504D" w:themeColor="accent2"/>
              <w:right w:val="single" w:sz="8" w:space="0" w:color="0070C0"/>
            </w:tcBorders>
            <w:vAlign w:val="center"/>
          </w:tcPr>
          <w:p w14:paraId="491C1911" w14:textId="7A6BF982" w:rsidR="005A46CE" w:rsidRPr="00502F18" w:rsidRDefault="00D415EF" w:rsidP="0005616B">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133" w:type="dxa"/>
            <w:tcBorders>
              <w:top w:val="single" w:sz="12" w:space="0" w:color="000000"/>
              <w:left w:val="single" w:sz="18" w:space="0" w:color="0070C0"/>
              <w:bottom w:val="single" w:sz="18" w:space="0" w:color="C0504D" w:themeColor="accent2"/>
              <w:right w:val="single" w:sz="8" w:space="0" w:color="0070C0"/>
            </w:tcBorders>
            <w:vAlign w:val="center"/>
          </w:tcPr>
          <w:p w14:paraId="55FA73F8" w14:textId="319812BA" w:rsidR="005A46CE" w:rsidRPr="00502F18" w:rsidRDefault="00D415EF" w:rsidP="0005616B">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Product Category</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043FE649" w14:textId="588491DA" w:rsidR="005A46CE" w:rsidRPr="00502F18" w:rsidRDefault="00D415EF" w:rsidP="0005616B">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5A46CE" w:rsidRPr="00502F18" w14:paraId="49B10209" w14:textId="77777777" w:rsidTr="00D415EF">
        <w:trPr>
          <w:trHeight w:val="243"/>
          <w:jc w:val="center"/>
        </w:trPr>
        <w:tc>
          <w:tcPr>
            <w:tcW w:w="4126" w:type="dxa"/>
            <w:tcBorders>
              <w:top w:val="single" w:sz="18" w:space="0" w:color="C0504D" w:themeColor="accent2"/>
              <w:left w:val="single" w:sz="12" w:space="0" w:color="000000"/>
              <w:bottom w:val="single" w:sz="4" w:space="0" w:color="auto"/>
              <w:right w:val="single" w:sz="8" w:space="0" w:color="0070C0"/>
            </w:tcBorders>
            <w:vAlign w:val="center"/>
          </w:tcPr>
          <w:p w14:paraId="12734F9F" w14:textId="243693CA" w:rsidR="005A46CE"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sidR="00532B18">
              <w:rPr>
                <w:rFonts w:ascii="Verdana" w:eastAsia="Times New Roman" w:hAnsi="Verdana"/>
                <w:sz w:val="20"/>
                <w:szCs w:val="20"/>
              </w:rPr>
              <w:t>R</w:t>
            </w:r>
            <w:r>
              <w:rPr>
                <w:rFonts w:ascii="Verdana" w:eastAsia="Times New Roman" w:hAnsi="Verdana"/>
                <w:sz w:val="20"/>
                <w:szCs w:val="20"/>
              </w:rPr>
              <w:t>estaurants, bars or food delivery</w:t>
            </w:r>
          </w:p>
        </w:tc>
        <w:tc>
          <w:tcPr>
            <w:tcW w:w="1267" w:type="dxa"/>
            <w:tcBorders>
              <w:top w:val="single" w:sz="18" w:space="0" w:color="C0504D" w:themeColor="accent2"/>
              <w:left w:val="single" w:sz="8" w:space="0" w:color="0070C0"/>
              <w:bottom w:val="single" w:sz="4" w:space="0" w:color="auto"/>
              <w:right w:val="single" w:sz="8" w:space="0" w:color="0070C0"/>
            </w:tcBorders>
            <w:shd w:val="clear" w:color="auto" w:fill="FF0000"/>
            <w:vAlign w:val="center"/>
          </w:tcPr>
          <w:p w14:paraId="6CC24447" w14:textId="38A17799" w:rsidR="005A46CE"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c>
          <w:tcPr>
            <w:tcW w:w="4133"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73C23680" w14:textId="111214E8" w:rsidR="005A46CE"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Alcohol</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5B8B7" w:themeFill="accent2" w:themeFillTint="66"/>
            <w:vAlign w:val="center"/>
          </w:tcPr>
          <w:p w14:paraId="7CB1BD1D" w14:textId="78B164B2" w:rsidR="005A46CE"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w:t>
            </w:r>
          </w:p>
        </w:tc>
      </w:tr>
      <w:tr w:rsidR="005A46CE" w:rsidRPr="00502F18" w14:paraId="67313FF8" w14:textId="77777777" w:rsidTr="00D415EF">
        <w:trPr>
          <w:trHeight w:val="243"/>
          <w:jc w:val="center"/>
        </w:trPr>
        <w:tc>
          <w:tcPr>
            <w:tcW w:w="4126" w:type="dxa"/>
            <w:tcBorders>
              <w:top w:val="single" w:sz="4" w:space="0" w:color="auto"/>
              <w:left w:val="single" w:sz="12" w:space="0" w:color="000000"/>
              <w:bottom w:val="single" w:sz="4" w:space="0" w:color="000000"/>
              <w:right w:val="single" w:sz="8" w:space="0" w:color="0070C0"/>
            </w:tcBorders>
            <w:vAlign w:val="center"/>
          </w:tcPr>
          <w:p w14:paraId="26A800E4" w14:textId="702ED825" w:rsidR="005A46CE"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Travel</w:t>
            </w:r>
          </w:p>
        </w:tc>
        <w:tc>
          <w:tcPr>
            <w:tcW w:w="1267" w:type="dxa"/>
            <w:tcBorders>
              <w:top w:val="single" w:sz="4" w:space="0" w:color="auto"/>
              <w:left w:val="single" w:sz="8" w:space="0" w:color="0070C0"/>
              <w:bottom w:val="single" w:sz="4" w:space="0" w:color="000000"/>
              <w:right w:val="single" w:sz="8" w:space="0" w:color="0070C0"/>
            </w:tcBorders>
            <w:shd w:val="clear" w:color="auto" w:fill="FF0000"/>
            <w:vAlign w:val="center"/>
          </w:tcPr>
          <w:p w14:paraId="1636FAB4" w14:textId="3C80BED6" w:rsidR="005A46CE"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49%</w:t>
            </w:r>
          </w:p>
        </w:tc>
        <w:tc>
          <w:tcPr>
            <w:tcW w:w="413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63C96FE" w14:textId="2D72F0E3" w:rsidR="005A46CE"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Home or garden supplies</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6D7972AD" w14:textId="3F050717" w:rsidR="005A46CE"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w:t>
            </w:r>
          </w:p>
        </w:tc>
      </w:tr>
      <w:tr w:rsidR="00D415EF" w:rsidRPr="00502F18" w14:paraId="4CB34896" w14:textId="77777777" w:rsidTr="00D415EF">
        <w:trPr>
          <w:trHeight w:val="243"/>
          <w:jc w:val="center"/>
        </w:trPr>
        <w:tc>
          <w:tcPr>
            <w:tcW w:w="4126" w:type="dxa"/>
            <w:tcBorders>
              <w:top w:val="single" w:sz="4" w:space="0" w:color="auto"/>
              <w:left w:val="single" w:sz="12" w:space="0" w:color="000000"/>
              <w:bottom w:val="single" w:sz="4" w:space="0" w:color="000000"/>
              <w:right w:val="single" w:sz="8" w:space="0" w:color="0070C0"/>
            </w:tcBorders>
            <w:vAlign w:val="center"/>
          </w:tcPr>
          <w:p w14:paraId="7308ABFB" w14:textId="379213AB" w:rsidR="00D415EF"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Electronics</w:t>
            </w:r>
          </w:p>
        </w:tc>
        <w:tc>
          <w:tcPr>
            <w:tcW w:w="1267"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2EBABB57" w14:textId="1DF6247D" w:rsidR="00D415EF"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w:t>
            </w:r>
          </w:p>
        </w:tc>
        <w:tc>
          <w:tcPr>
            <w:tcW w:w="413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CB1B586" w14:textId="36E14BE8" w:rsidR="00D415EF"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Gas or other fuel</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588DA301" w14:textId="483A42BF" w:rsidR="00D415EF"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w:t>
            </w:r>
          </w:p>
        </w:tc>
      </w:tr>
      <w:tr w:rsidR="00D415EF" w:rsidRPr="00502F18" w14:paraId="56B99D83" w14:textId="77777777" w:rsidTr="00D415EF">
        <w:trPr>
          <w:trHeight w:val="243"/>
          <w:jc w:val="center"/>
        </w:trPr>
        <w:tc>
          <w:tcPr>
            <w:tcW w:w="4126" w:type="dxa"/>
            <w:tcBorders>
              <w:top w:val="single" w:sz="4" w:space="0" w:color="auto"/>
              <w:left w:val="single" w:sz="12" w:space="0" w:color="000000"/>
              <w:bottom w:val="single" w:sz="4" w:space="0" w:color="000000"/>
              <w:right w:val="single" w:sz="8" w:space="0" w:color="0070C0"/>
            </w:tcBorders>
            <w:vAlign w:val="center"/>
          </w:tcPr>
          <w:p w14:paraId="51D4F971" w14:textId="768967C6" w:rsidR="00D415EF"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Apparel</w:t>
            </w:r>
          </w:p>
        </w:tc>
        <w:tc>
          <w:tcPr>
            <w:tcW w:w="1267"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72724874" w14:textId="2D414A02" w:rsidR="00D415EF"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c>
          <w:tcPr>
            <w:tcW w:w="413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5527344" w14:textId="49FB17DA" w:rsidR="00D415EF"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Health &amp; beauty products</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671CCB8C" w14:textId="70A70E74" w:rsidR="00D415EF"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w:t>
            </w:r>
          </w:p>
        </w:tc>
      </w:tr>
      <w:tr w:rsidR="005A46CE" w:rsidRPr="00502F18" w14:paraId="0565703B" w14:textId="77777777" w:rsidTr="00D415EF">
        <w:trPr>
          <w:trHeight w:val="243"/>
          <w:jc w:val="center"/>
        </w:trPr>
        <w:tc>
          <w:tcPr>
            <w:tcW w:w="4126" w:type="dxa"/>
            <w:tcBorders>
              <w:top w:val="single" w:sz="4" w:space="0" w:color="auto"/>
              <w:left w:val="single" w:sz="12" w:space="0" w:color="000000"/>
              <w:bottom w:val="single" w:sz="4" w:space="0" w:color="000000"/>
              <w:right w:val="single" w:sz="8" w:space="0" w:color="0070C0"/>
            </w:tcBorders>
            <w:vAlign w:val="center"/>
          </w:tcPr>
          <w:p w14:paraId="6770074D" w14:textId="1ABF100A" w:rsidR="005A46CE"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Toys, games or arts &amp; crafts</w:t>
            </w:r>
          </w:p>
        </w:tc>
        <w:tc>
          <w:tcPr>
            <w:tcW w:w="1267"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4FD4F8A0" w14:textId="3B6537C6" w:rsidR="005A46CE"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36%</w:t>
            </w:r>
          </w:p>
        </w:tc>
        <w:tc>
          <w:tcPr>
            <w:tcW w:w="413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853024B" w14:textId="5F6AC0AB" w:rsidR="005A46CE"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Don’t expect to reduce spending</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638BCDDD" w14:textId="439EBAD6" w:rsidR="005A46CE"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w:t>
            </w:r>
          </w:p>
        </w:tc>
      </w:tr>
      <w:tr w:rsidR="005A46CE" w:rsidRPr="00502F18" w14:paraId="7A4E0CC0" w14:textId="77777777" w:rsidTr="00D415EF">
        <w:trPr>
          <w:trHeight w:val="243"/>
          <w:jc w:val="center"/>
        </w:trPr>
        <w:tc>
          <w:tcPr>
            <w:tcW w:w="4126"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1F8F2BDA" w14:textId="5F3D2B9B" w:rsidR="005A46CE" w:rsidRPr="00502F18" w:rsidRDefault="00D415EF"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Snacks &amp; candy</w:t>
            </w:r>
          </w:p>
        </w:tc>
        <w:tc>
          <w:tcPr>
            <w:tcW w:w="1267" w:type="dxa"/>
            <w:tcBorders>
              <w:top w:val="single" w:sz="4" w:space="0" w:color="000000"/>
              <w:left w:val="single" w:sz="8" w:space="0" w:color="0070C0"/>
              <w:bottom w:val="single" w:sz="12" w:space="0" w:color="000000"/>
              <w:right w:val="single" w:sz="8" w:space="0" w:color="0070C0"/>
            </w:tcBorders>
            <w:shd w:val="clear" w:color="auto" w:fill="D99594" w:themeFill="accent2" w:themeFillTint="99"/>
            <w:vAlign w:val="center"/>
          </w:tcPr>
          <w:p w14:paraId="5292084F" w14:textId="714AD3E9" w:rsidR="005A46CE" w:rsidRPr="00502F18" w:rsidRDefault="00D415EF"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w:t>
            </w:r>
          </w:p>
        </w:tc>
        <w:tc>
          <w:tcPr>
            <w:tcW w:w="4133"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4755AECB" w14:textId="1154D48D" w:rsidR="005A46CE" w:rsidRPr="00502F18" w:rsidRDefault="005A46CE" w:rsidP="00120BB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3D1F7165" w14:textId="58856A88" w:rsidR="005A46CE" w:rsidRPr="00502F18" w:rsidRDefault="005A46CE" w:rsidP="00120BB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478B2150" w14:textId="06FC7364" w:rsidR="00C3736A" w:rsidRDefault="00D415EF" w:rsidP="00D415EF">
      <w:pPr>
        <w:spacing w:after="0" w:line="240" w:lineRule="auto"/>
        <w:contextualSpacing/>
        <w:mirrorIndents/>
        <w:rPr>
          <w:rFonts w:ascii="Verdana" w:hAnsi="Verdana"/>
          <w:sz w:val="20"/>
          <w:szCs w:val="20"/>
        </w:rPr>
      </w:pPr>
      <w:r>
        <w:rPr>
          <w:rFonts w:ascii="Verdana" w:hAnsi="Verdana"/>
          <w:iCs/>
          <w:sz w:val="16"/>
          <w:szCs w:val="16"/>
        </w:rPr>
        <w:t>Numerator</w:t>
      </w:r>
      <w:r w:rsidR="005A46CE" w:rsidRPr="00502F18">
        <w:rPr>
          <w:rFonts w:ascii="Verdana" w:hAnsi="Verdana"/>
          <w:sz w:val="16"/>
          <w:szCs w:val="16"/>
        </w:rPr>
        <w:t xml:space="preserve">, </w:t>
      </w:r>
      <w:r w:rsidR="005A46CE">
        <w:rPr>
          <w:rFonts w:ascii="Verdana" w:hAnsi="Verdana"/>
          <w:sz w:val="16"/>
          <w:szCs w:val="16"/>
        </w:rPr>
        <w:t>Ju</w:t>
      </w:r>
      <w:r>
        <w:rPr>
          <w:rFonts w:ascii="Verdana" w:hAnsi="Verdana"/>
          <w:sz w:val="16"/>
          <w:szCs w:val="16"/>
        </w:rPr>
        <w:t>ne</w:t>
      </w:r>
      <w:r w:rsidR="005A46CE">
        <w:rPr>
          <w:rFonts w:ascii="Verdana" w:hAnsi="Verdana"/>
          <w:sz w:val="16"/>
          <w:szCs w:val="16"/>
        </w:rPr>
        <w:t xml:space="preserve"> 2022</w:t>
      </w:r>
    </w:p>
    <w:p w14:paraId="6C020A6E" w14:textId="77777777" w:rsidR="00F34755" w:rsidRDefault="00F34755" w:rsidP="001C220F">
      <w:pPr>
        <w:spacing w:after="0" w:line="240" w:lineRule="auto"/>
        <w:contextualSpacing/>
        <w:mirrorIndents/>
        <w:rPr>
          <w:rFonts w:ascii="Verdana" w:hAnsi="Verdana"/>
          <w:sz w:val="20"/>
          <w:szCs w:val="20"/>
        </w:rPr>
      </w:pPr>
    </w:p>
    <w:p w14:paraId="0EF55B1E" w14:textId="13D4F685" w:rsidR="001C220F" w:rsidRPr="001C4C3A" w:rsidRDefault="001C220F" w:rsidP="001C4C3A">
      <w:pPr>
        <w:spacing w:after="0" w:line="240" w:lineRule="auto"/>
        <w:contextualSpacing/>
        <w:mirrorIndents/>
        <w:jc w:val="center"/>
        <w:rPr>
          <w:rFonts w:ascii="Verdana" w:hAnsi="Verdana"/>
          <w:b/>
          <w:bCs/>
          <w:color w:val="0070C0"/>
          <w:sz w:val="20"/>
          <w:szCs w:val="20"/>
        </w:rPr>
      </w:pPr>
      <w:r w:rsidRPr="001C4C3A">
        <w:rPr>
          <w:rFonts w:ascii="Verdana" w:hAnsi="Verdana"/>
          <w:b/>
          <w:bCs/>
          <w:color w:val="0070C0"/>
          <w:sz w:val="20"/>
          <w:szCs w:val="20"/>
        </w:rPr>
        <w:t>The Impact of Work-from Home Shoppers</w:t>
      </w:r>
    </w:p>
    <w:p w14:paraId="75B53CA7" w14:textId="77777777" w:rsidR="001C220F" w:rsidRPr="001C220F" w:rsidRDefault="001C220F" w:rsidP="001C220F">
      <w:pPr>
        <w:spacing w:after="0" w:line="240" w:lineRule="auto"/>
        <w:contextualSpacing/>
        <w:mirrorIndents/>
        <w:rPr>
          <w:rFonts w:ascii="Verdana" w:hAnsi="Verdana"/>
          <w:sz w:val="20"/>
          <w:szCs w:val="20"/>
        </w:rPr>
      </w:pPr>
    </w:p>
    <w:p w14:paraId="1D0AAA6B" w14:textId="068446D2" w:rsidR="001C4C3A" w:rsidRDefault="00834CD2" w:rsidP="001C220F">
      <w:pPr>
        <w:spacing w:after="0" w:line="240" w:lineRule="auto"/>
        <w:contextualSpacing/>
        <w:mirrorIndents/>
        <w:rPr>
          <w:rFonts w:ascii="Verdana" w:hAnsi="Verdana"/>
          <w:sz w:val="20"/>
          <w:szCs w:val="20"/>
        </w:rPr>
      </w:pPr>
      <w:r>
        <w:rPr>
          <w:rFonts w:ascii="Verdana" w:hAnsi="Verdana"/>
          <w:sz w:val="20"/>
          <w:szCs w:val="20"/>
        </w:rPr>
        <w:t xml:space="preserve">Although many companies have asked/required employees to return to the workplace at least a few days per week, there is stiff resistance from many workers who find working from home more productive. This trend has </w:t>
      </w:r>
      <w:r w:rsidR="00685489">
        <w:rPr>
          <w:rFonts w:ascii="Verdana" w:hAnsi="Verdana"/>
          <w:sz w:val="20"/>
          <w:szCs w:val="20"/>
        </w:rPr>
        <w:t>affected</w:t>
      </w:r>
      <w:r>
        <w:rPr>
          <w:rFonts w:ascii="Verdana" w:hAnsi="Verdana"/>
          <w:sz w:val="20"/>
          <w:szCs w:val="20"/>
        </w:rPr>
        <w:t xml:space="preserve"> shopping malls.</w:t>
      </w:r>
    </w:p>
    <w:p w14:paraId="3EE04523" w14:textId="77777777" w:rsidR="001C4C3A" w:rsidRDefault="001C4C3A" w:rsidP="001C220F">
      <w:pPr>
        <w:spacing w:after="0" w:line="240" w:lineRule="auto"/>
        <w:contextualSpacing/>
        <w:mirrorIndents/>
        <w:rPr>
          <w:rFonts w:ascii="Verdana" w:hAnsi="Verdana"/>
          <w:sz w:val="20"/>
          <w:szCs w:val="20"/>
        </w:rPr>
      </w:pPr>
    </w:p>
    <w:p w14:paraId="0C8B3B6B" w14:textId="3BDB05CF" w:rsidR="001C4C3A" w:rsidRDefault="00834CD2" w:rsidP="001C220F">
      <w:pPr>
        <w:spacing w:after="0" w:line="240" w:lineRule="auto"/>
        <w:contextualSpacing/>
        <w:mirrorIndents/>
        <w:rPr>
          <w:rFonts w:ascii="Verdana" w:hAnsi="Verdana"/>
          <w:sz w:val="20"/>
          <w:szCs w:val="20"/>
        </w:rPr>
      </w:pPr>
      <w:r>
        <w:rPr>
          <w:rFonts w:ascii="Verdana" w:hAnsi="Verdana"/>
          <w:sz w:val="20"/>
          <w:szCs w:val="20"/>
        </w:rPr>
        <w:t>The combination of more workers at home during the day and many urban households moving to the suburbs during 2020 to escape the pandemic moved daytime shopping from urban to suburban shopping centers and areas.</w:t>
      </w:r>
    </w:p>
    <w:p w14:paraId="057820E0" w14:textId="709CFDB4" w:rsidR="00834CD2" w:rsidRDefault="00834CD2" w:rsidP="001C220F">
      <w:pPr>
        <w:spacing w:after="0" w:line="240" w:lineRule="auto"/>
        <w:contextualSpacing/>
        <w:mirrorIndents/>
        <w:rPr>
          <w:rFonts w:ascii="Verdana" w:hAnsi="Verdana"/>
          <w:sz w:val="20"/>
          <w:szCs w:val="20"/>
        </w:rPr>
      </w:pPr>
    </w:p>
    <w:p w14:paraId="51BDC97E" w14:textId="172C947F" w:rsidR="00834CD2" w:rsidRDefault="00834CD2" w:rsidP="001C220F">
      <w:pPr>
        <w:spacing w:after="0" w:line="240" w:lineRule="auto"/>
        <w:contextualSpacing/>
        <w:mirrorIndents/>
        <w:rPr>
          <w:rFonts w:ascii="Verdana" w:hAnsi="Verdana"/>
          <w:sz w:val="20"/>
          <w:szCs w:val="20"/>
        </w:rPr>
      </w:pPr>
      <w:r>
        <w:rPr>
          <w:rFonts w:ascii="Verdana" w:hAnsi="Verdana"/>
          <w:sz w:val="20"/>
          <w:szCs w:val="20"/>
        </w:rPr>
        <w:t xml:space="preserve">This trend </w:t>
      </w:r>
      <w:r w:rsidR="004075EB">
        <w:rPr>
          <w:rFonts w:ascii="Verdana" w:hAnsi="Verdana"/>
          <w:sz w:val="20"/>
          <w:szCs w:val="20"/>
        </w:rPr>
        <w:t>has resulted in vacancy rates at suburban malls be</w:t>
      </w:r>
      <w:r w:rsidR="00685489">
        <w:rPr>
          <w:rFonts w:ascii="Verdana" w:hAnsi="Verdana"/>
          <w:sz w:val="20"/>
          <w:szCs w:val="20"/>
        </w:rPr>
        <w:t>ing</w:t>
      </w:r>
      <w:r w:rsidR="004075EB">
        <w:rPr>
          <w:rFonts w:ascii="Verdana" w:hAnsi="Verdana"/>
          <w:sz w:val="20"/>
          <w:szCs w:val="20"/>
        </w:rPr>
        <w:t xml:space="preserve"> lower than those at urban malls for the first time during the past 15 years, but rental rates have increased faster at suburban malls than urban malls. </w:t>
      </w:r>
    </w:p>
    <w:p w14:paraId="738FBDD9" w14:textId="6C732FAE" w:rsidR="004075EB" w:rsidRDefault="004075EB" w:rsidP="001C220F">
      <w:pPr>
        <w:spacing w:after="0" w:line="240" w:lineRule="auto"/>
        <w:contextualSpacing/>
        <w:mirrorIndents/>
        <w:rPr>
          <w:rFonts w:ascii="Verdana" w:hAnsi="Verdana"/>
          <w:sz w:val="20"/>
          <w:szCs w:val="20"/>
        </w:rPr>
      </w:pPr>
    </w:p>
    <w:p w14:paraId="63497429" w14:textId="13FA316C" w:rsidR="002B7A39" w:rsidRPr="005D1511" w:rsidRDefault="002B7A39" w:rsidP="002B7A39">
      <w:pPr>
        <w:spacing w:after="0" w:line="240" w:lineRule="auto"/>
        <w:contextualSpacing/>
        <w:mirrorIndents/>
        <w:jc w:val="center"/>
        <w:rPr>
          <w:b/>
          <w:bCs/>
          <w:sz w:val="20"/>
          <w:szCs w:val="20"/>
        </w:rPr>
      </w:pPr>
      <w:r>
        <w:rPr>
          <w:b/>
          <w:bCs/>
          <w:sz w:val="20"/>
          <w:szCs w:val="20"/>
        </w:rPr>
        <w:t>Largest Categories of People Working from Home, January 2022</w:t>
      </w:r>
    </w:p>
    <w:tbl>
      <w:tblPr>
        <w:tblW w:w="589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628"/>
        <w:gridCol w:w="1267"/>
      </w:tblGrid>
      <w:tr w:rsidR="002B7A39" w:rsidRPr="005D1511" w14:paraId="656FAA70" w14:textId="77777777" w:rsidTr="002B7A39">
        <w:trPr>
          <w:jc w:val="center"/>
        </w:trPr>
        <w:tc>
          <w:tcPr>
            <w:tcW w:w="4628" w:type="dxa"/>
            <w:tcBorders>
              <w:top w:val="single" w:sz="12" w:space="0" w:color="000000"/>
              <w:left w:val="single" w:sz="12" w:space="0" w:color="000000"/>
              <w:bottom w:val="single" w:sz="18" w:space="0" w:color="C0504D" w:themeColor="accent2"/>
              <w:right w:val="single" w:sz="18" w:space="0" w:color="0070C0"/>
            </w:tcBorders>
            <w:vAlign w:val="center"/>
          </w:tcPr>
          <w:p w14:paraId="59C77BE6" w14:textId="5B65D2B8" w:rsidR="002B7A39" w:rsidRPr="005D1511" w:rsidRDefault="002B7A39"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Category</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21055A8E" w14:textId="20291E0D" w:rsidR="002B7A39" w:rsidRPr="005D1511" w:rsidRDefault="002B7A39"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Percent</w:t>
            </w:r>
          </w:p>
        </w:tc>
      </w:tr>
      <w:tr w:rsidR="002B7A39" w:rsidRPr="005D1511" w14:paraId="13BBC719" w14:textId="77777777" w:rsidTr="00A6271C">
        <w:tblPrEx>
          <w:tblBorders>
            <w:top w:val="none" w:sz="0" w:space="0" w:color="auto"/>
          </w:tblBorders>
        </w:tblPrEx>
        <w:trPr>
          <w:jc w:val="center"/>
        </w:trPr>
        <w:tc>
          <w:tcPr>
            <w:tcW w:w="4628" w:type="dxa"/>
            <w:tcBorders>
              <w:top w:val="single" w:sz="4" w:space="0" w:color="000000"/>
              <w:left w:val="single" w:sz="12" w:space="0" w:color="000000"/>
              <w:bottom w:val="single" w:sz="4" w:space="0" w:color="000000"/>
              <w:right w:val="single" w:sz="18" w:space="0" w:color="0070C0"/>
            </w:tcBorders>
            <w:vAlign w:val="center"/>
          </w:tcPr>
          <w:p w14:paraId="07EA7504" w14:textId="7727F622" w:rsidR="002B7A39" w:rsidRPr="005D1511" w:rsidRDefault="002B7A3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All employed adults with teleworkable jobs</w:t>
            </w:r>
          </w:p>
        </w:tc>
        <w:tc>
          <w:tcPr>
            <w:tcW w:w="1267"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212496D9" w14:textId="279BB1F0" w:rsidR="002B7A39" w:rsidRPr="005D1511" w:rsidRDefault="002B7A3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59%</w:t>
            </w:r>
          </w:p>
        </w:tc>
      </w:tr>
      <w:tr w:rsidR="002B7A39" w:rsidRPr="005D1511" w14:paraId="47A4DE43" w14:textId="77777777" w:rsidTr="00A6271C">
        <w:tblPrEx>
          <w:tblBorders>
            <w:top w:val="none" w:sz="0" w:space="0" w:color="auto"/>
          </w:tblBorders>
        </w:tblPrEx>
        <w:trPr>
          <w:jc w:val="center"/>
        </w:trPr>
        <w:tc>
          <w:tcPr>
            <w:tcW w:w="4628" w:type="dxa"/>
            <w:tcBorders>
              <w:top w:val="single" w:sz="4" w:space="0" w:color="000000"/>
              <w:left w:val="single" w:sz="12" w:space="0" w:color="000000"/>
              <w:bottom w:val="single" w:sz="4" w:space="0" w:color="000000"/>
              <w:right w:val="single" w:sz="18" w:space="0" w:color="0070C0"/>
            </w:tcBorders>
            <w:vAlign w:val="center"/>
          </w:tcPr>
          <w:p w14:paraId="25D1B4E8" w14:textId="48B8F99D" w:rsidR="002B7A39" w:rsidRPr="005D1511" w:rsidRDefault="002B7A3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Those with a bachelor’s degree</w:t>
            </w:r>
          </w:p>
        </w:tc>
        <w:tc>
          <w:tcPr>
            <w:tcW w:w="1267"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234C7803" w14:textId="54BE67A9" w:rsidR="002B7A39" w:rsidRPr="005D1511" w:rsidRDefault="002B7A3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65%</w:t>
            </w:r>
          </w:p>
        </w:tc>
      </w:tr>
      <w:tr w:rsidR="002B7A39" w:rsidRPr="005D1511" w14:paraId="255C4A8A" w14:textId="77777777" w:rsidTr="00A6271C">
        <w:tblPrEx>
          <w:tblBorders>
            <w:top w:val="none" w:sz="0" w:space="0" w:color="auto"/>
          </w:tblBorders>
        </w:tblPrEx>
        <w:trPr>
          <w:jc w:val="center"/>
        </w:trPr>
        <w:tc>
          <w:tcPr>
            <w:tcW w:w="4628" w:type="dxa"/>
            <w:tcBorders>
              <w:top w:val="single" w:sz="4" w:space="0" w:color="000000"/>
              <w:left w:val="single" w:sz="12" w:space="0" w:color="000000"/>
              <w:bottom w:val="single" w:sz="4" w:space="0" w:color="000000"/>
              <w:right w:val="single" w:sz="18" w:space="0" w:color="0070C0"/>
            </w:tcBorders>
            <w:vAlign w:val="center"/>
          </w:tcPr>
          <w:p w14:paraId="1AEF7BA5" w14:textId="3F40055B" w:rsidR="002B7A39" w:rsidRDefault="002B7A3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Some college or less</w:t>
            </w:r>
          </w:p>
        </w:tc>
        <w:tc>
          <w:tcPr>
            <w:tcW w:w="1267"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0CE4173E" w14:textId="7C0E6C16" w:rsidR="002B7A39" w:rsidRDefault="002B7A3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53%</w:t>
            </w:r>
          </w:p>
        </w:tc>
      </w:tr>
      <w:tr w:rsidR="002B7A39" w:rsidRPr="005D1511" w14:paraId="2E1DE910" w14:textId="77777777" w:rsidTr="00A6271C">
        <w:tblPrEx>
          <w:tblBorders>
            <w:top w:val="none" w:sz="0" w:space="0" w:color="auto"/>
          </w:tblBorders>
        </w:tblPrEx>
        <w:trPr>
          <w:jc w:val="center"/>
        </w:trPr>
        <w:tc>
          <w:tcPr>
            <w:tcW w:w="4628" w:type="dxa"/>
            <w:tcBorders>
              <w:top w:val="single" w:sz="4" w:space="0" w:color="000000"/>
              <w:left w:val="single" w:sz="12" w:space="0" w:color="000000"/>
              <w:bottom w:val="single" w:sz="4" w:space="0" w:color="000000"/>
              <w:right w:val="single" w:sz="18" w:space="0" w:color="0070C0"/>
            </w:tcBorders>
            <w:vAlign w:val="center"/>
          </w:tcPr>
          <w:p w14:paraId="60A45FA1" w14:textId="50E833D5" w:rsidR="002B7A39" w:rsidRDefault="002B7A3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Upper income</w:t>
            </w:r>
          </w:p>
        </w:tc>
        <w:tc>
          <w:tcPr>
            <w:tcW w:w="1267"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6945997B" w14:textId="01928638" w:rsidR="002B7A39" w:rsidRDefault="002B7A3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67%</w:t>
            </w:r>
          </w:p>
        </w:tc>
      </w:tr>
      <w:tr w:rsidR="002B7A39" w:rsidRPr="005D1511" w14:paraId="2248B1BA" w14:textId="77777777" w:rsidTr="00A6271C">
        <w:tblPrEx>
          <w:tblBorders>
            <w:top w:val="none" w:sz="0" w:space="0" w:color="auto"/>
          </w:tblBorders>
        </w:tblPrEx>
        <w:trPr>
          <w:jc w:val="center"/>
        </w:trPr>
        <w:tc>
          <w:tcPr>
            <w:tcW w:w="4628" w:type="dxa"/>
            <w:tcBorders>
              <w:top w:val="single" w:sz="4" w:space="0" w:color="000000"/>
              <w:left w:val="single" w:sz="12" w:space="0" w:color="000000"/>
              <w:bottom w:val="single" w:sz="4" w:space="0" w:color="000000"/>
              <w:right w:val="single" w:sz="18" w:space="0" w:color="0070C0"/>
            </w:tcBorders>
            <w:vAlign w:val="center"/>
          </w:tcPr>
          <w:p w14:paraId="4C82DB6F" w14:textId="3870EC6E" w:rsidR="002B7A39" w:rsidRPr="005D1511" w:rsidRDefault="002B7A3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Middle income</w:t>
            </w:r>
          </w:p>
        </w:tc>
        <w:tc>
          <w:tcPr>
            <w:tcW w:w="1267"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4B58A1EC" w14:textId="7DAA2865" w:rsidR="002B7A39" w:rsidRPr="005D1511" w:rsidRDefault="002B7A3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56%</w:t>
            </w:r>
          </w:p>
        </w:tc>
      </w:tr>
      <w:tr w:rsidR="002B7A39" w:rsidRPr="005D1511" w14:paraId="4F0326A6" w14:textId="77777777" w:rsidTr="00A6271C">
        <w:tblPrEx>
          <w:tblBorders>
            <w:top w:val="none" w:sz="0" w:space="0" w:color="auto"/>
          </w:tblBorders>
        </w:tblPrEx>
        <w:trPr>
          <w:jc w:val="center"/>
        </w:trPr>
        <w:tc>
          <w:tcPr>
            <w:tcW w:w="4628" w:type="dxa"/>
            <w:tcBorders>
              <w:top w:val="single" w:sz="4" w:space="0" w:color="000000"/>
              <w:left w:val="single" w:sz="12" w:space="0" w:color="000000"/>
              <w:bottom w:val="single" w:sz="12" w:space="0" w:color="auto"/>
              <w:right w:val="single" w:sz="18" w:space="0" w:color="0070C0"/>
            </w:tcBorders>
            <w:vAlign w:val="center"/>
          </w:tcPr>
          <w:p w14:paraId="59D701FD" w14:textId="632CB423" w:rsidR="002B7A39" w:rsidRPr="005D1511" w:rsidRDefault="002B7A39"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Lower income</w:t>
            </w:r>
          </w:p>
        </w:tc>
        <w:tc>
          <w:tcPr>
            <w:tcW w:w="1267" w:type="dxa"/>
            <w:tcBorders>
              <w:top w:val="single" w:sz="4" w:space="0" w:color="000000"/>
              <w:left w:val="single" w:sz="8" w:space="0" w:color="0070C0"/>
              <w:bottom w:val="single" w:sz="12" w:space="0" w:color="auto"/>
              <w:right w:val="single" w:sz="12" w:space="0" w:color="000000"/>
            </w:tcBorders>
            <w:shd w:val="clear" w:color="auto" w:fill="D6E3BC" w:themeFill="accent3" w:themeFillTint="66"/>
            <w:vAlign w:val="center"/>
          </w:tcPr>
          <w:p w14:paraId="0656E7B1" w14:textId="6BE2498E" w:rsidR="002B7A39" w:rsidRPr="005D1511" w:rsidRDefault="002B7A39"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53%</w:t>
            </w:r>
          </w:p>
        </w:tc>
      </w:tr>
    </w:tbl>
    <w:p w14:paraId="46EE94BB" w14:textId="7CF10085" w:rsidR="004075EB" w:rsidRDefault="004075EB" w:rsidP="004075EB">
      <w:pPr>
        <w:tabs>
          <w:tab w:val="left" w:pos="1710"/>
        </w:tabs>
        <w:spacing w:after="0" w:line="240" w:lineRule="auto"/>
        <w:contextualSpacing/>
        <w:mirrorIndents/>
        <w:rPr>
          <w:sz w:val="16"/>
          <w:szCs w:val="16"/>
        </w:rPr>
      </w:pPr>
      <w:r>
        <w:rPr>
          <w:sz w:val="16"/>
          <w:szCs w:val="16"/>
        </w:rPr>
        <w:tab/>
      </w:r>
      <w:r w:rsidR="002B7A39">
        <w:rPr>
          <w:sz w:val="16"/>
          <w:szCs w:val="16"/>
        </w:rPr>
        <w:t>Pew Research Center, February 2022</w:t>
      </w:r>
    </w:p>
    <w:p w14:paraId="19F91E2C" w14:textId="0507507C" w:rsidR="004075EB" w:rsidRDefault="004075EB" w:rsidP="001C220F">
      <w:pPr>
        <w:spacing w:after="0" w:line="240" w:lineRule="auto"/>
        <w:contextualSpacing/>
        <w:mirrorIndents/>
        <w:rPr>
          <w:rFonts w:ascii="Verdana" w:hAnsi="Verdana"/>
          <w:sz w:val="20"/>
          <w:szCs w:val="20"/>
        </w:rPr>
      </w:pPr>
    </w:p>
    <w:p w14:paraId="04A75801" w14:textId="22E7BF42" w:rsidR="004075EB" w:rsidRDefault="004075EB" w:rsidP="001C220F">
      <w:pPr>
        <w:spacing w:after="0" w:line="240" w:lineRule="auto"/>
        <w:contextualSpacing/>
        <w:mirrorIndents/>
        <w:rPr>
          <w:rFonts w:ascii="Verdana" w:hAnsi="Verdana"/>
          <w:sz w:val="20"/>
          <w:szCs w:val="20"/>
        </w:rPr>
      </w:pPr>
    </w:p>
    <w:p w14:paraId="44E4B9B2" w14:textId="2C517675" w:rsidR="001C220F" w:rsidRPr="0049709E" w:rsidRDefault="00DB48DC" w:rsidP="0049709E">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lastRenderedPageBreak/>
        <w:t>Target</w:t>
      </w:r>
      <w:r w:rsidR="001C220F" w:rsidRPr="0049709E">
        <w:rPr>
          <w:rFonts w:ascii="Verdana" w:hAnsi="Verdana"/>
          <w:b/>
          <w:bCs/>
          <w:color w:val="0070C0"/>
          <w:sz w:val="20"/>
          <w:szCs w:val="20"/>
        </w:rPr>
        <w:t>ing the E-Commerce Opportunity</w:t>
      </w:r>
    </w:p>
    <w:p w14:paraId="15B4B237" w14:textId="77777777" w:rsidR="001C220F" w:rsidRPr="001C220F" w:rsidRDefault="001C220F" w:rsidP="001C220F">
      <w:pPr>
        <w:spacing w:after="0" w:line="240" w:lineRule="auto"/>
        <w:contextualSpacing/>
        <w:mirrorIndents/>
        <w:rPr>
          <w:rFonts w:ascii="Verdana" w:hAnsi="Verdana"/>
          <w:sz w:val="20"/>
          <w:szCs w:val="20"/>
        </w:rPr>
      </w:pPr>
    </w:p>
    <w:p w14:paraId="0850CF72" w14:textId="03F427FB" w:rsidR="0049709E" w:rsidRDefault="00E6598B" w:rsidP="001C220F">
      <w:pPr>
        <w:spacing w:after="0" w:line="240" w:lineRule="auto"/>
        <w:contextualSpacing/>
        <w:mirrorIndents/>
        <w:rPr>
          <w:rFonts w:ascii="Verdana" w:hAnsi="Verdana"/>
          <w:sz w:val="20"/>
          <w:szCs w:val="20"/>
        </w:rPr>
      </w:pPr>
      <w:r>
        <w:rPr>
          <w:rFonts w:ascii="Verdana" w:hAnsi="Verdana"/>
          <w:sz w:val="20"/>
          <w:szCs w:val="20"/>
        </w:rPr>
        <w:t xml:space="preserve">During </w:t>
      </w:r>
      <w:r w:rsidR="00F65DC3">
        <w:rPr>
          <w:rFonts w:ascii="Verdana" w:hAnsi="Verdana"/>
          <w:sz w:val="20"/>
          <w:szCs w:val="20"/>
        </w:rPr>
        <w:t xml:space="preserve">Q1 </w:t>
      </w:r>
      <w:r>
        <w:rPr>
          <w:rFonts w:ascii="Verdana" w:hAnsi="Verdana"/>
          <w:sz w:val="20"/>
          <w:szCs w:val="20"/>
        </w:rPr>
        <w:t>202</w:t>
      </w:r>
      <w:r w:rsidR="00F65DC3">
        <w:rPr>
          <w:rFonts w:ascii="Verdana" w:hAnsi="Verdana"/>
          <w:sz w:val="20"/>
          <w:szCs w:val="20"/>
        </w:rPr>
        <w:t>2</w:t>
      </w:r>
      <w:r>
        <w:rPr>
          <w:rFonts w:ascii="Verdana" w:hAnsi="Verdana"/>
          <w:sz w:val="20"/>
          <w:szCs w:val="20"/>
        </w:rPr>
        <w:t xml:space="preserve">, e-commerce sales accounted for </w:t>
      </w:r>
      <w:r w:rsidR="00F65DC3">
        <w:rPr>
          <w:rFonts w:ascii="Verdana" w:hAnsi="Verdana"/>
          <w:sz w:val="20"/>
          <w:szCs w:val="20"/>
        </w:rPr>
        <w:t>14.3</w:t>
      </w:r>
      <w:r>
        <w:rPr>
          <w:rFonts w:ascii="Verdana" w:hAnsi="Verdana"/>
          <w:sz w:val="20"/>
          <w:szCs w:val="20"/>
        </w:rPr>
        <w:t>% of all retail sales</w:t>
      </w:r>
      <w:r w:rsidR="00F65DC3">
        <w:rPr>
          <w:rFonts w:ascii="Verdana" w:hAnsi="Verdana"/>
          <w:sz w:val="20"/>
          <w:szCs w:val="20"/>
        </w:rPr>
        <w:t xml:space="preserve">, according to the US Census Bureau, and </w:t>
      </w:r>
      <w:r w:rsidR="00685489">
        <w:rPr>
          <w:rFonts w:ascii="Verdana" w:hAnsi="Verdana"/>
          <w:sz w:val="20"/>
          <w:szCs w:val="20"/>
        </w:rPr>
        <w:t>are</w:t>
      </w:r>
      <w:r w:rsidR="00F65DC3">
        <w:rPr>
          <w:rFonts w:ascii="Verdana" w:hAnsi="Verdana"/>
          <w:sz w:val="20"/>
          <w:szCs w:val="20"/>
        </w:rPr>
        <w:t xml:space="preserve"> forecasted to reach 21.9% by 2025, according to Statista; however, shopping malls generate almost no e-commerce revenues, only their tenants.</w:t>
      </w:r>
    </w:p>
    <w:p w14:paraId="3DA349AA" w14:textId="3C4DDAC5" w:rsidR="00F65DC3" w:rsidRDefault="00F65DC3" w:rsidP="001C220F">
      <w:pPr>
        <w:spacing w:after="0" w:line="240" w:lineRule="auto"/>
        <w:contextualSpacing/>
        <w:mirrorIndents/>
        <w:rPr>
          <w:rFonts w:ascii="Verdana" w:hAnsi="Verdana"/>
          <w:sz w:val="20"/>
          <w:szCs w:val="20"/>
        </w:rPr>
      </w:pPr>
    </w:p>
    <w:p w14:paraId="11CE9382" w14:textId="457BBB5F" w:rsidR="00F65DC3" w:rsidRDefault="00F65DC3" w:rsidP="001C220F">
      <w:pPr>
        <w:spacing w:after="0" w:line="240" w:lineRule="auto"/>
        <w:contextualSpacing/>
        <w:mirrorIndents/>
        <w:rPr>
          <w:rFonts w:ascii="Verdana" w:hAnsi="Verdana"/>
          <w:sz w:val="20"/>
          <w:szCs w:val="20"/>
        </w:rPr>
      </w:pPr>
      <w:r>
        <w:rPr>
          <w:rFonts w:ascii="Verdana" w:hAnsi="Verdana"/>
          <w:sz w:val="20"/>
          <w:szCs w:val="20"/>
        </w:rPr>
        <w:t xml:space="preserve">As those tenants offer an omnichannel shopping experience to </w:t>
      </w:r>
      <w:r w:rsidR="00685489">
        <w:rPr>
          <w:rFonts w:ascii="Verdana" w:hAnsi="Verdana"/>
          <w:sz w:val="20"/>
          <w:szCs w:val="20"/>
        </w:rPr>
        <w:t>their</w:t>
      </w:r>
      <w:r>
        <w:rPr>
          <w:rFonts w:ascii="Verdana" w:hAnsi="Verdana"/>
          <w:sz w:val="20"/>
          <w:szCs w:val="20"/>
        </w:rPr>
        <w:t xml:space="preserve"> customers</w:t>
      </w:r>
      <w:r w:rsidR="001C7053">
        <w:rPr>
          <w:rFonts w:ascii="Verdana" w:hAnsi="Verdana"/>
          <w:sz w:val="20"/>
          <w:szCs w:val="20"/>
        </w:rPr>
        <w:t xml:space="preserve"> and have digitized customer information, more shopping malls are realizing they must do the same.</w:t>
      </w:r>
    </w:p>
    <w:p w14:paraId="1102A23A" w14:textId="2D1635A2" w:rsidR="001C7053" w:rsidRDefault="001C7053" w:rsidP="001C220F">
      <w:pPr>
        <w:spacing w:after="0" w:line="240" w:lineRule="auto"/>
        <w:contextualSpacing/>
        <w:mirrorIndents/>
        <w:rPr>
          <w:rFonts w:ascii="Verdana" w:hAnsi="Verdana"/>
          <w:sz w:val="20"/>
          <w:szCs w:val="20"/>
        </w:rPr>
      </w:pPr>
    </w:p>
    <w:p w14:paraId="481441EC" w14:textId="7574BD55" w:rsidR="001C7053" w:rsidRDefault="001C7053" w:rsidP="001C220F">
      <w:pPr>
        <w:spacing w:after="0" w:line="240" w:lineRule="auto"/>
        <w:contextualSpacing/>
        <w:mirrorIndents/>
        <w:rPr>
          <w:rFonts w:ascii="Verdana" w:hAnsi="Verdana"/>
          <w:sz w:val="20"/>
          <w:szCs w:val="20"/>
        </w:rPr>
      </w:pPr>
      <w:r>
        <w:rPr>
          <w:rFonts w:ascii="Verdana" w:hAnsi="Verdana"/>
          <w:sz w:val="20"/>
          <w:szCs w:val="20"/>
        </w:rPr>
        <w:t>Some mall owners are starting robust communication programs with visitors via social media, digital readerboards, Websites and email campaigns. They are using this information to understand visitor habits</w:t>
      </w:r>
      <w:r w:rsidR="0005616B">
        <w:rPr>
          <w:rFonts w:ascii="Verdana" w:hAnsi="Verdana"/>
          <w:sz w:val="20"/>
          <w:szCs w:val="20"/>
        </w:rPr>
        <w:t xml:space="preserve"> and</w:t>
      </w:r>
      <w:r>
        <w:rPr>
          <w:rFonts w:ascii="Verdana" w:hAnsi="Verdana"/>
          <w:sz w:val="20"/>
          <w:szCs w:val="20"/>
        </w:rPr>
        <w:t xml:space="preserve"> shopping trends </w:t>
      </w:r>
      <w:r w:rsidR="0005616B">
        <w:rPr>
          <w:rFonts w:ascii="Verdana" w:hAnsi="Verdana"/>
          <w:sz w:val="20"/>
          <w:szCs w:val="20"/>
        </w:rPr>
        <w:t xml:space="preserve">at malls </w:t>
      </w:r>
      <w:r>
        <w:rPr>
          <w:rFonts w:ascii="Verdana" w:hAnsi="Verdana"/>
          <w:sz w:val="20"/>
          <w:szCs w:val="20"/>
        </w:rPr>
        <w:t>and t</w:t>
      </w:r>
      <w:r w:rsidR="0005616B">
        <w:rPr>
          <w:rFonts w:ascii="Verdana" w:hAnsi="Verdana"/>
          <w:sz w:val="20"/>
          <w:szCs w:val="20"/>
        </w:rPr>
        <w:t>o t</w:t>
      </w:r>
      <w:r>
        <w:rPr>
          <w:rFonts w:ascii="Verdana" w:hAnsi="Verdana"/>
          <w:sz w:val="20"/>
          <w:szCs w:val="20"/>
        </w:rPr>
        <w:t>arget future tenants.</w:t>
      </w:r>
    </w:p>
    <w:p w14:paraId="15066FAF" w14:textId="32F7491E" w:rsidR="001C7053" w:rsidRDefault="001C7053" w:rsidP="001C220F">
      <w:pPr>
        <w:spacing w:after="0" w:line="240" w:lineRule="auto"/>
        <w:contextualSpacing/>
        <w:mirrorIndents/>
        <w:rPr>
          <w:rFonts w:ascii="Verdana" w:hAnsi="Verdana"/>
          <w:sz w:val="20"/>
          <w:szCs w:val="20"/>
        </w:rPr>
      </w:pPr>
    </w:p>
    <w:p w14:paraId="3D0C8BA8" w14:textId="222ECCBF" w:rsidR="002F056A" w:rsidRDefault="00D41978" w:rsidP="002F056A">
      <w:pPr>
        <w:spacing w:after="0" w:line="240" w:lineRule="auto"/>
        <w:contextualSpacing/>
        <w:mirrorIndents/>
        <w:jc w:val="center"/>
        <w:rPr>
          <w:b/>
          <w:bCs/>
          <w:sz w:val="20"/>
          <w:szCs w:val="20"/>
        </w:rPr>
      </w:pPr>
      <w:r>
        <w:rPr>
          <w:b/>
          <w:bCs/>
          <w:sz w:val="20"/>
          <w:szCs w:val="20"/>
        </w:rPr>
        <w:t xml:space="preserve">Indices of Adults 18+ Who </w:t>
      </w:r>
      <w:r w:rsidR="002F056A">
        <w:rPr>
          <w:b/>
          <w:bCs/>
          <w:sz w:val="20"/>
          <w:szCs w:val="20"/>
        </w:rPr>
        <w:t xml:space="preserve">Made an Online Purchase of Selected </w:t>
      </w:r>
    </w:p>
    <w:p w14:paraId="016241D8" w14:textId="31849EFC" w:rsidR="002F056A" w:rsidRPr="005D1511" w:rsidRDefault="002F056A" w:rsidP="002F056A">
      <w:pPr>
        <w:spacing w:after="0" w:line="240" w:lineRule="auto"/>
        <w:contextualSpacing/>
        <w:mirrorIndents/>
        <w:jc w:val="center"/>
        <w:rPr>
          <w:b/>
          <w:bCs/>
          <w:sz w:val="20"/>
          <w:szCs w:val="20"/>
        </w:rPr>
      </w:pPr>
      <w:r>
        <w:rPr>
          <w:b/>
          <w:bCs/>
          <w:sz w:val="20"/>
          <w:szCs w:val="20"/>
        </w:rPr>
        <w:t>Consumer Goods*</w:t>
      </w:r>
      <w:r w:rsidR="00D41978">
        <w:rPr>
          <w:b/>
          <w:bCs/>
          <w:sz w:val="20"/>
          <w:szCs w:val="20"/>
        </w:rPr>
        <w:t xml:space="preserve">, in </w:t>
      </w:r>
      <w:r>
        <w:rPr>
          <w:b/>
          <w:bCs/>
          <w:sz w:val="20"/>
          <w:szCs w:val="20"/>
        </w:rPr>
        <w:t>a Regional Distribution of</w:t>
      </w:r>
      <w:r w:rsidR="00D41978">
        <w:rPr>
          <w:b/>
          <w:bCs/>
          <w:sz w:val="20"/>
          <w:szCs w:val="20"/>
        </w:rPr>
        <w:t xml:space="preserve"> Markets</w:t>
      </w:r>
      <w:r w:rsidR="00D41978" w:rsidRPr="005D1511">
        <w:rPr>
          <w:b/>
          <w:bCs/>
          <w:sz w:val="20"/>
          <w:szCs w:val="20"/>
        </w:rPr>
        <w:t>, 202</w:t>
      </w:r>
      <w:r w:rsidR="00D41978">
        <w:rPr>
          <w:b/>
          <w:bCs/>
          <w:sz w:val="20"/>
          <w:szCs w:val="20"/>
        </w:rPr>
        <w:t>1</w:t>
      </w:r>
    </w:p>
    <w:tbl>
      <w:tblPr>
        <w:tblW w:w="9604"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183"/>
        <w:gridCol w:w="1483"/>
        <w:gridCol w:w="1483"/>
        <w:gridCol w:w="1483"/>
        <w:gridCol w:w="1489"/>
        <w:gridCol w:w="1483"/>
      </w:tblGrid>
      <w:tr w:rsidR="00D41978" w:rsidRPr="005D1511" w14:paraId="24445B9B" w14:textId="77777777" w:rsidTr="002F056A">
        <w:trPr>
          <w:jc w:val="center"/>
        </w:trPr>
        <w:tc>
          <w:tcPr>
            <w:tcW w:w="2183" w:type="dxa"/>
            <w:tcBorders>
              <w:top w:val="single" w:sz="12" w:space="0" w:color="000000"/>
              <w:left w:val="single" w:sz="12" w:space="0" w:color="000000"/>
              <w:bottom w:val="single" w:sz="18" w:space="0" w:color="C0504D" w:themeColor="accent2"/>
              <w:right w:val="single" w:sz="18" w:space="0" w:color="0070C0"/>
            </w:tcBorders>
            <w:vAlign w:val="center"/>
          </w:tcPr>
          <w:p w14:paraId="20E08A31" w14:textId="70B9339A" w:rsidR="00D41978" w:rsidRPr="005D1511" w:rsidRDefault="002F056A"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Consumer Goods</w:t>
            </w:r>
          </w:p>
        </w:tc>
        <w:tc>
          <w:tcPr>
            <w:tcW w:w="1483" w:type="dxa"/>
            <w:tcBorders>
              <w:top w:val="single" w:sz="12" w:space="0" w:color="000000"/>
              <w:left w:val="single" w:sz="18" w:space="0" w:color="0070C0"/>
              <w:bottom w:val="single" w:sz="18" w:space="0" w:color="C0504D" w:themeColor="accent2"/>
              <w:right w:val="single" w:sz="8" w:space="0" w:color="0070C0"/>
            </w:tcBorders>
            <w:vAlign w:val="center"/>
          </w:tcPr>
          <w:p w14:paraId="61223D4F" w14:textId="60A27C02" w:rsidR="00D41978" w:rsidRPr="005D1511" w:rsidRDefault="002F056A"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Miami-Ft. Lauderdale</w:t>
            </w:r>
          </w:p>
        </w:tc>
        <w:tc>
          <w:tcPr>
            <w:tcW w:w="1483" w:type="dxa"/>
            <w:tcBorders>
              <w:top w:val="single" w:sz="12" w:space="0" w:color="000000"/>
              <w:left w:val="single" w:sz="8" w:space="0" w:color="0070C0"/>
              <w:bottom w:val="single" w:sz="18" w:space="0" w:color="C0504D" w:themeColor="accent2"/>
              <w:right w:val="single" w:sz="8" w:space="0" w:color="0070C0"/>
            </w:tcBorders>
            <w:vAlign w:val="center"/>
          </w:tcPr>
          <w:p w14:paraId="7996F2C9" w14:textId="5EE4AD5E" w:rsidR="00D41978" w:rsidRPr="005D1511" w:rsidRDefault="002F056A"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Pittsburgh</w:t>
            </w:r>
          </w:p>
        </w:tc>
        <w:tc>
          <w:tcPr>
            <w:tcW w:w="1483" w:type="dxa"/>
            <w:tcBorders>
              <w:top w:val="single" w:sz="12" w:space="0" w:color="000000"/>
              <w:left w:val="single" w:sz="8" w:space="0" w:color="0070C0"/>
              <w:bottom w:val="single" w:sz="18" w:space="0" w:color="C0504D" w:themeColor="accent2"/>
              <w:right w:val="single" w:sz="8" w:space="0" w:color="0070C0"/>
            </w:tcBorders>
            <w:vAlign w:val="center"/>
          </w:tcPr>
          <w:p w14:paraId="2EED0939" w14:textId="3B3FE94C" w:rsidR="00D41978" w:rsidRPr="005D1511" w:rsidRDefault="002F056A"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Little Rock</w:t>
            </w:r>
          </w:p>
        </w:tc>
        <w:tc>
          <w:tcPr>
            <w:tcW w:w="1489" w:type="dxa"/>
            <w:tcBorders>
              <w:top w:val="single" w:sz="12" w:space="0" w:color="000000"/>
              <w:left w:val="single" w:sz="8" w:space="0" w:color="0070C0"/>
              <w:bottom w:val="single" w:sz="18" w:space="0" w:color="C0504D" w:themeColor="accent2"/>
              <w:right w:val="single" w:sz="8" w:space="0" w:color="0070C0"/>
            </w:tcBorders>
            <w:vAlign w:val="center"/>
          </w:tcPr>
          <w:p w14:paraId="5687A174" w14:textId="2B0BFAAF" w:rsidR="00D41978" w:rsidRPr="005D1511" w:rsidRDefault="002F056A"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Colorado Springs</w:t>
            </w:r>
          </w:p>
        </w:tc>
        <w:tc>
          <w:tcPr>
            <w:tcW w:w="1483" w:type="dxa"/>
            <w:tcBorders>
              <w:top w:val="single" w:sz="12" w:space="0" w:color="000000"/>
              <w:left w:val="single" w:sz="8" w:space="0" w:color="0070C0"/>
              <w:bottom w:val="single" w:sz="18" w:space="0" w:color="C0504D" w:themeColor="accent2"/>
              <w:right w:val="single" w:sz="12" w:space="0" w:color="000000"/>
            </w:tcBorders>
            <w:vAlign w:val="center"/>
          </w:tcPr>
          <w:p w14:paraId="2C49BF80" w14:textId="3B61D045" w:rsidR="00D41978" w:rsidRPr="005D1511" w:rsidRDefault="002F056A" w:rsidP="00120BB0">
            <w:pPr>
              <w:widowControl w:val="0"/>
              <w:tabs>
                <w:tab w:val="left" w:pos="220"/>
                <w:tab w:val="left" w:pos="720"/>
              </w:tabs>
              <w:autoSpaceDE w:val="0"/>
              <w:autoSpaceDN w:val="0"/>
              <w:spacing w:after="0" w:line="240" w:lineRule="auto"/>
              <w:contextualSpacing/>
              <w:mirrorIndents/>
              <w:jc w:val="center"/>
              <w:rPr>
                <w:rFonts w:eastAsia="Times New Roman"/>
                <w:sz w:val="20"/>
                <w:szCs w:val="20"/>
              </w:rPr>
            </w:pPr>
            <w:r>
              <w:rPr>
                <w:rFonts w:eastAsia="Times New Roman"/>
                <w:sz w:val="20"/>
                <w:szCs w:val="20"/>
              </w:rPr>
              <w:t>Spokane</w:t>
            </w:r>
          </w:p>
        </w:tc>
      </w:tr>
      <w:tr w:rsidR="00F87481" w:rsidRPr="005D1511" w14:paraId="7EF1D20E" w14:textId="77777777" w:rsidTr="00F87481">
        <w:tblPrEx>
          <w:tblBorders>
            <w:top w:val="none" w:sz="0" w:space="0" w:color="auto"/>
          </w:tblBorders>
        </w:tblPrEx>
        <w:trPr>
          <w:jc w:val="center"/>
        </w:trPr>
        <w:tc>
          <w:tcPr>
            <w:tcW w:w="2183" w:type="dxa"/>
            <w:tcBorders>
              <w:top w:val="single" w:sz="4" w:space="0" w:color="000000"/>
              <w:left w:val="single" w:sz="12" w:space="0" w:color="000000"/>
              <w:bottom w:val="single" w:sz="4" w:space="0" w:color="000000"/>
              <w:right w:val="single" w:sz="18" w:space="0" w:color="0070C0"/>
            </w:tcBorders>
            <w:vAlign w:val="center"/>
          </w:tcPr>
          <w:p w14:paraId="6D7B156F" w14:textId="63A035DA" w:rsidR="00D41978" w:rsidRPr="005D1511" w:rsidRDefault="002F056A"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Sporting goods</w:t>
            </w:r>
          </w:p>
        </w:tc>
        <w:tc>
          <w:tcPr>
            <w:tcW w:w="1483"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25F23225" w14:textId="43223740"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124</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77A81CB" w14:textId="5B2DD804"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133</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1D2261C" w14:textId="6E281F32"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137</w:t>
            </w:r>
          </w:p>
        </w:tc>
        <w:tc>
          <w:tcPr>
            <w:tcW w:w="1489"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60CC016" w14:textId="7CA4B398"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120</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7231E381" w14:textId="4FC1C4D3"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113</w:t>
            </w:r>
          </w:p>
        </w:tc>
      </w:tr>
      <w:tr w:rsidR="00F87481" w:rsidRPr="005D1511" w14:paraId="5BA036B5" w14:textId="77777777" w:rsidTr="00F87481">
        <w:tblPrEx>
          <w:tblBorders>
            <w:top w:val="none" w:sz="0" w:space="0" w:color="auto"/>
          </w:tblBorders>
        </w:tblPrEx>
        <w:trPr>
          <w:jc w:val="center"/>
        </w:trPr>
        <w:tc>
          <w:tcPr>
            <w:tcW w:w="2183" w:type="dxa"/>
            <w:tcBorders>
              <w:top w:val="single" w:sz="4" w:space="0" w:color="000000"/>
              <w:left w:val="single" w:sz="12" w:space="0" w:color="000000"/>
              <w:bottom w:val="single" w:sz="4" w:space="0" w:color="000000"/>
              <w:right w:val="single" w:sz="18" w:space="0" w:color="0070C0"/>
            </w:tcBorders>
            <w:vAlign w:val="center"/>
          </w:tcPr>
          <w:p w14:paraId="1E146F94" w14:textId="290324B7" w:rsidR="00D41978" w:rsidRPr="005D1511" w:rsidRDefault="002F056A"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Jewelry</w:t>
            </w:r>
          </w:p>
        </w:tc>
        <w:tc>
          <w:tcPr>
            <w:tcW w:w="1483"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1094A6C" w14:textId="75A2D330"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127</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C78D9EB" w14:textId="50BE43AA"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124</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34CC731" w14:textId="30651947"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132</w:t>
            </w:r>
          </w:p>
        </w:tc>
        <w:tc>
          <w:tcPr>
            <w:tcW w:w="1489"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3826CD5" w14:textId="6ADA3194"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105</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5D95EC89" w14:textId="2D8640C9"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112</w:t>
            </w:r>
          </w:p>
        </w:tc>
      </w:tr>
      <w:tr w:rsidR="00F87481" w:rsidRPr="005D1511" w14:paraId="4E0558A5" w14:textId="77777777" w:rsidTr="00F87481">
        <w:tblPrEx>
          <w:tblBorders>
            <w:top w:val="none" w:sz="0" w:space="0" w:color="auto"/>
          </w:tblBorders>
        </w:tblPrEx>
        <w:trPr>
          <w:jc w:val="center"/>
        </w:trPr>
        <w:tc>
          <w:tcPr>
            <w:tcW w:w="2183" w:type="dxa"/>
            <w:tcBorders>
              <w:top w:val="single" w:sz="4" w:space="0" w:color="000000"/>
              <w:left w:val="single" w:sz="12" w:space="0" w:color="000000"/>
              <w:bottom w:val="single" w:sz="4" w:space="0" w:color="000000"/>
              <w:right w:val="single" w:sz="18" w:space="0" w:color="0070C0"/>
            </w:tcBorders>
            <w:vAlign w:val="center"/>
          </w:tcPr>
          <w:p w14:paraId="2C5FB005" w14:textId="532199F1" w:rsidR="00D41978" w:rsidRDefault="002F056A"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Pet supplies</w:t>
            </w:r>
          </w:p>
        </w:tc>
        <w:tc>
          <w:tcPr>
            <w:tcW w:w="1483"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6DF089BA" w14:textId="32B6A494"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125</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FE0A393" w14:textId="4B309843"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131</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7F013BF" w14:textId="482BB464"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123</w:t>
            </w:r>
          </w:p>
        </w:tc>
        <w:tc>
          <w:tcPr>
            <w:tcW w:w="1489"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0325BF5" w14:textId="7382A189"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131</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6FE8A1D" w14:textId="309B05AF"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120</w:t>
            </w:r>
          </w:p>
        </w:tc>
      </w:tr>
      <w:tr w:rsidR="00F87481" w:rsidRPr="005D1511" w14:paraId="2BE739E6" w14:textId="77777777" w:rsidTr="00F87481">
        <w:tblPrEx>
          <w:tblBorders>
            <w:top w:val="none" w:sz="0" w:space="0" w:color="auto"/>
          </w:tblBorders>
        </w:tblPrEx>
        <w:trPr>
          <w:jc w:val="center"/>
        </w:trPr>
        <w:tc>
          <w:tcPr>
            <w:tcW w:w="2183" w:type="dxa"/>
            <w:tcBorders>
              <w:top w:val="single" w:sz="4" w:space="0" w:color="000000"/>
              <w:left w:val="single" w:sz="12" w:space="0" w:color="000000"/>
              <w:bottom w:val="single" w:sz="4" w:space="0" w:color="000000"/>
              <w:right w:val="single" w:sz="18" w:space="0" w:color="0070C0"/>
            </w:tcBorders>
            <w:vAlign w:val="center"/>
          </w:tcPr>
          <w:p w14:paraId="3E26912D" w14:textId="6008EFCD" w:rsidR="00D41978" w:rsidRDefault="002F056A"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Men’s clothing</w:t>
            </w:r>
          </w:p>
        </w:tc>
        <w:tc>
          <w:tcPr>
            <w:tcW w:w="1483"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689C4004" w14:textId="7A602752"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121</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D50BD08" w14:textId="2F960F4E"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128</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D70C51B" w14:textId="21C82ECD"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122</w:t>
            </w:r>
          </w:p>
        </w:tc>
        <w:tc>
          <w:tcPr>
            <w:tcW w:w="1489"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A46778C" w14:textId="3A79D37C"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121</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5C650E6C" w14:textId="2D0A8533" w:rsidR="00D41978"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118</w:t>
            </w:r>
          </w:p>
        </w:tc>
      </w:tr>
      <w:tr w:rsidR="00D41978" w:rsidRPr="005D1511" w14:paraId="52E86982" w14:textId="77777777" w:rsidTr="00F87481">
        <w:tblPrEx>
          <w:tblBorders>
            <w:top w:val="none" w:sz="0" w:space="0" w:color="auto"/>
          </w:tblBorders>
        </w:tblPrEx>
        <w:trPr>
          <w:jc w:val="center"/>
        </w:trPr>
        <w:tc>
          <w:tcPr>
            <w:tcW w:w="2183" w:type="dxa"/>
            <w:tcBorders>
              <w:top w:val="single" w:sz="4" w:space="0" w:color="000000"/>
              <w:left w:val="single" w:sz="12" w:space="0" w:color="000000"/>
              <w:bottom w:val="single" w:sz="4" w:space="0" w:color="000000"/>
              <w:right w:val="single" w:sz="18" w:space="0" w:color="0070C0"/>
            </w:tcBorders>
            <w:vAlign w:val="center"/>
          </w:tcPr>
          <w:p w14:paraId="60A4FF46" w14:textId="068BCE82" w:rsidR="00D41978" w:rsidRPr="005D1511" w:rsidRDefault="002F056A"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Women’s clothing</w:t>
            </w:r>
          </w:p>
        </w:tc>
        <w:tc>
          <w:tcPr>
            <w:tcW w:w="1483"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34E20EA6" w14:textId="7B4CC824"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127</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F58D78F" w14:textId="5BD25615"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134</w:t>
            </w:r>
          </w:p>
        </w:tc>
        <w:tc>
          <w:tcPr>
            <w:tcW w:w="1483" w:type="dxa"/>
            <w:tcBorders>
              <w:top w:val="single" w:sz="4" w:space="0" w:color="auto"/>
              <w:left w:val="single" w:sz="8" w:space="0" w:color="0070C0"/>
              <w:bottom w:val="single" w:sz="4" w:space="0" w:color="000000"/>
              <w:right w:val="single" w:sz="8" w:space="0" w:color="0070C0"/>
            </w:tcBorders>
            <w:shd w:val="clear" w:color="auto" w:fill="00B050"/>
            <w:vAlign w:val="center"/>
          </w:tcPr>
          <w:p w14:paraId="6E52804F" w14:textId="5F30BE22"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145</w:t>
            </w:r>
          </w:p>
        </w:tc>
        <w:tc>
          <w:tcPr>
            <w:tcW w:w="1489"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E113E19" w14:textId="4F35998A"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124</w:t>
            </w:r>
          </w:p>
        </w:tc>
        <w:tc>
          <w:tcPr>
            <w:tcW w:w="1483"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26883866" w14:textId="4CDDF1B3"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125</w:t>
            </w:r>
          </w:p>
        </w:tc>
      </w:tr>
      <w:tr w:rsidR="00D41978" w:rsidRPr="005D1511" w14:paraId="7E3A3707" w14:textId="77777777" w:rsidTr="00F87481">
        <w:tblPrEx>
          <w:tblBorders>
            <w:top w:val="none" w:sz="0" w:space="0" w:color="auto"/>
          </w:tblBorders>
        </w:tblPrEx>
        <w:trPr>
          <w:jc w:val="center"/>
        </w:trPr>
        <w:tc>
          <w:tcPr>
            <w:tcW w:w="2183" w:type="dxa"/>
            <w:tcBorders>
              <w:top w:val="single" w:sz="4" w:space="0" w:color="000000"/>
              <w:left w:val="single" w:sz="12" w:space="0" w:color="000000"/>
              <w:bottom w:val="single" w:sz="12" w:space="0" w:color="auto"/>
              <w:right w:val="single" w:sz="18" w:space="0" w:color="0070C0"/>
            </w:tcBorders>
            <w:vAlign w:val="center"/>
          </w:tcPr>
          <w:p w14:paraId="392492DE" w14:textId="63FEE148" w:rsidR="00D41978" w:rsidRPr="005D1511" w:rsidRDefault="002F056A" w:rsidP="00120BB0">
            <w:pPr>
              <w:widowControl w:val="0"/>
              <w:tabs>
                <w:tab w:val="left" w:pos="220"/>
                <w:tab w:val="left" w:pos="720"/>
              </w:tabs>
              <w:autoSpaceDE w:val="0"/>
              <w:autoSpaceDN w:val="0"/>
              <w:spacing w:after="0" w:line="240" w:lineRule="auto"/>
              <w:contextualSpacing/>
              <w:mirrorIndents/>
              <w:rPr>
                <w:rFonts w:eastAsia="Times New Roman"/>
                <w:sz w:val="20"/>
                <w:szCs w:val="20"/>
              </w:rPr>
            </w:pPr>
            <w:r>
              <w:rPr>
                <w:rFonts w:eastAsia="Times New Roman"/>
                <w:sz w:val="20"/>
                <w:szCs w:val="20"/>
              </w:rPr>
              <w:t>Children’s clothing</w:t>
            </w:r>
          </w:p>
        </w:tc>
        <w:tc>
          <w:tcPr>
            <w:tcW w:w="1483"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4B23250A" w14:textId="78B766C7"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125</w:t>
            </w:r>
          </w:p>
        </w:tc>
        <w:tc>
          <w:tcPr>
            <w:tcW w:w="1483" w:type="dxa"/>
            <w:tcBorders>
              <w:top w:val="single" w:sz="4" w:space="0" w:color="000000"/>
              <w:left w:val="single" w:sz="8" w:space="0" w:color="0070C0"/>
              <w:bottom w:val="single" w:sz="12" w:space="0" w:color="auto"/>
              <w:right w:val="single" w:sz="8" w:space="0" w:color="0070C0"/>
            </w:tcBorders>
            <w:shd w:val="clear" w:color="auto" w:fill="00B050"/>
            <w:vAlign w:val="center"/>
          </w:tcPr>
          <w:p w14:paraId="1E50DB09" w14:textId="10EC3D40"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139</w:t>
            </w:r>
          </w:p>
        </w:tc>
        <w:tc>
          <w:tcPr>
            <w:tcW w:w="1483"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1EEF990D" w14:textId="4C684084"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136</w:t>
            </w:r>
          </w:p>
        </w:tc>
        <w:tc>
          <w:tcPr>
            <w:tcW w:w="1489"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68CF44B6" w14:textId="0D998D95"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122</w:t>
            </w:r>
          </w:p>
        </w:tc>
        <w:tc>
          <w:tcPr>
            <w:tcW w:w="1483"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728BF4C6" w14:textId="1B82929D" w:rsidR="00D41978" w:rsidRPr="005D1511" w:rsidRDefault="002F056A" w:rsidP="00120BB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eastAsia="Times New Roman"/>
                <w:sz w:val="20"/>
                <w:szCs w:val="20"/>
              </w:rPr>
            </w:pPr>
            <w:r>
              <w:rPr>
                <w:rFonts w:eastAsia="Times New Roman"/>
                <w:sz w:val="20"/>
                <w:szCs w:val="20"/>
              </w:rPr>
              <w:t>128</w:t>
            </w:r>
          </w:p>
        </w:tc>
      </w:tr>
    </w:tbl>
    <w:p w14:paraId="1A5E055A" w14:textId="7FDD0CC4" w:rsidR="00D41978" w:rsidRDefault="00D41978" w:rsidP="00D41978">
      <w:pPr>
        <w:spacing w:after="0" w:line="240" w:lineRule="auto"/>
        <w:contextualSpacing/>
        <w:mirrorIndents/>
        <w:rPr>
          <w:sz w:val="16"/>
          <w:szCs w:val="16"/>
        </w:rPr>
      </w:pPr>
      <w:r w:rsidRPr="005D1511">
        <w:rPr>
          <w:sz w:val="16"/>
          <w:szCs w:val="16"/>
        </w:rPr>
        <w:t xml:space="preserve">Based on The Media Audit’s </w:t>
      </w:r>
      <w:r>
        <w:rPr>
          <w:sz w:val="16"/>
          <w:szCs w:val="16"/>
        </w:rPr>
        <w:t>2021</w:t>
      </w:r>
      <w:r w:rsidRPr="005D1511">
        <w:rPr>
          <w:sz w:val="16"/>
          <w:szCs w:val="16"/>
        </w:rPr>
        <w:t xml:space="preserve"> </w:t>
      </w:r>
      <w:r>
        <w:rPr>
          <w:sz w:val="16"/>
          <w:szCs w:val="16"/>
        </w:rPr>
        <w:t>s</w:t>
      </w:r>
      <w:r w:rsidRPr="005D1511">
        <w:rPr>
          <w:sz w:val="16"/>
          <w:szCs w:val="16"/>
        </w:rPr>
        <w:t>urvey</w:t>
      </w:r>
      <w:r>
        <w:rPr>
          <w:sz w:val="16"/>
          <w:szCs w:val="16"/>
        </w:rPr>
        <w:t>s</w:t>
      </w:r>
      <w:r w:rsidR="002F056A">
        <w:rPr>
          <w:sz w:val="16"/>
          <w:szCs w:val="16"/>
        </w:rPr>
        <w:tab/>
      </w:r>
      <w:r w:rsidR="002F056A">
        <w:rPr>
          <w:sz w:val="16"/>
          <w:szCs w:val="16"/>
        </w:rPr>
        <w:tab/>
      </w:r>
      <w:r w:rsidR="002F056A">
        <w:rPr>
          <w:sz w:val="16"/>
          <w:szCs w:val="16"/>
        </w:rPr>
        <w:tab/>
        <w:t>*purchased during the past month</w:t>
      </w:r>
    </w:p>
    <w:p w14:paraId="53BCD4BF" w14:textId="77777777" w:rsidR="001C7053" w:rsidRDefault="001C7053" w:rsidP="001C220F">
      <w:pPr>
        <w:spacing w:after="0" w:line="240" w:lineRule="auto"/>
        <w:contextualSpacing/>
        <w:mirrorIndents/>
        <w:rPr>
          <w:rFonts w:ascii="Verdana" w:hAnsi="Verdana"/>
          <w:sz w:val="20"/>
          <w:szCs w:val="20"/>
        </w:rPr>
      </w:pPr>
    </w:p>
    <w:p w14:paraId="5025A592" w14:textId="3C695FE8" w:rsidR="001C220F" w:rsidRPr="00B26F6E" w:rsidRDefault="001C220F" w:rsidP="00B26F6E">
      <w:pPr>
        <w:spacing w:after="0" w:line="240" w:lineRule="auto"/>
        <w:contextualSpacing/>
        <w:mirrorIndents/>
        <w:jc w:val="center"/>
        <w:rPr>
          <w:rFonts w:ascii="Verdana" w:hAnsi="Verdana"/>
          <w:b/>
          <w:bCs/>
          <w:color w:val="0070C0"/>
          <w:sz w:val="20"/>
          <w:szCs w:val="20"/>
        </w:rPr>
      </w:pPr>
      <w:r w:rsidRPr="00B26F6E">
        <w:rPr>
          <w:rFonts w:ascii="Verdana" w:hAnsi="Verdana"/>
          <w:b/>
          <w:bCs/>
          <w:color w:val="0070C0"/>
          <w:sz w:val="20"/>
          <w:szCs w:val="20"/>
        </w:rPr>
        <w:t>Proactive Trends</w:t>
      </w:r>
    </w:p>
    <w:p w14:paraId="286AC9F6" w14:textId="77777777" w:rsidR="00F94CE8" w:rsidRPr="001C220F" w:rsidRDefault="00F94CE8" w:rsidP="001C220F">
      <w:pPr>
        <w:pStyle w:val="NoSpacing"/>
        <w:contextualSpacing/>
        <w:mirrorIndents/>
        <w:rPr>
          <w:rFonts w:ascii="Verdana" w:hAnsi="Verdana"/>
          <w:sz w:val="20"/>
          <w:szCs w:val="20"/>
        </w:rPr>
      </w:pPr>
    </w:p>
    <w:p w14:paraId="23D2BAA2" w14:textId="4383176E" w:rsidR="00F94CE8" w:rsidRDefault="00B26F6E" w:rsidP="001C220F">
      <w:pPr>
        <w:pStyle w:val="NoSpacing"/>
        <w:contextualSpacing/>
        <w:mirrorIndents/>
        <w:rPr>
          <w:rFonts w:ascii="Verdana" w:hAnsi="Verdana"/>
          <w:sz w:val="20"/>
          <w:szCs w:val="20"/>
        </w:rPr>
      </w:pPr>
      <w:r>
        <w:rPr>
          <w:rFonts w:ascii="Verdana" w:hAnsi="Verdana"/>
          <w:sz w:val="20"/>
          <w:szCs w:val="20"/>
        </w:rPr>
        <w:t xml:space="preserve">Simon Property Group is addressing the declining foot traffic at its malls with Simon Search, an app that mall visitors can use to </w:t>
      </w:r>
      <w:r w:rsidR="00B8113D">
        <w:rPr>
          <w:rFonts w:ascii="Verdana" w:hAnsi="Verdana"/>
          <w:sz w:val="20"/>
          <w:szCs w:val="20"/>
        </w:rPr>
        <w:t xml:space="preserve">search for the items they want </w:t>
      </w:r>
      <w:r w:rsidR="00812B2E">
        <w:rPr>
          <w:rFonts w:ascii="Verdana" w:hAnsi="Verdana"/>
          <w:sz w:val="20"/>
          <w:szCs w:val="20"/>
        </w:rPr>
        <w:t xml:space="preserve">and </w:t>
      </w:r>
      <w:r w:rsidR="00B8113D">
        <w:rPr>
          <w:rFonts w:ascii="Verdana" w:hAnsi="Verdana"/>
          <w:sz w:val="20"/>
          <w:szCs w:val="20"/>
        </w:rPr>
        <w:t xml:space="preserve">to determine if they’re available at </w:t>
      </w:r>
      <w:r w:rsidR="00812B2E">
        <w:rPr>
          <w:rFonts w:ascii="Verdana" w:hAnsi="Verdana"/>
          <w:sz w:val="20"/>
          <w:szCs w:val="20"/>
        </w:rPr>
        <w:t>mall stores</w:t>
      </w:r>
      <w:r w:rsidR="00B8113D">
        <w:rPr>
          <w:rFonts w:ascii="Verdana" w:hAnsi="Verdana"/>
          <w:sz w:val="20"/>
          <w:szCs w:val="20"/>
        </w:rPr>
        <w:t>. Simon’s goal is to attract more visitors.</w:t>
      </w:r>
    </w:p>
    <w:p w14:paraId="3BB7450B" w14:textId="00E08573" w:rsidR="00B8113D" w:rsidRDefault="00B8113D" w:rsidP="001C220F">
      <w:pPr>
        <w:pStyle w:val="NoSpacing"/>
        <w:contextualSpacing/>
        <w:mirrorIndents/>
        <w:rPr>
          <w:rFonts w:ascii="Verdana" w:hAnsi="Verdana"/>
          <w:sz w:val="20"/>
          <w:szCs w:val="20"/>
        </w:rPr>
      </w:pPr>
    </w:p>
    <w:p w14:paraId="406C4712" w14:textId="4980AB4C" w:rsidR="00B8113D" w:rsidRDefault="00B8113D" w:rsidP="001C220F">
      <w:pPr>
        <w:pStyle w:val="NoSpacing"/>
        <w:contextualSpacing/>
        <w:mirrorIndents/>
        <w:rPr>
          <w:rFonts w:ascii="Verdana" w:hAnsi="Verdana"/>
          <w:sz w:val="20"/>
          <w:szCs w:val="20"/>
        </w:rPr>
      </w:pPr>
      <w:r>
        <w:rPr>
          <w:rFonts w:ascii="Verdana" w:hAnsi="Verdana"/>
          <w:sz w:val="20"/>
          <w:szCs w:val="20"/>
        </w:rPr>
        <w:t>More empty malls are being converted to last-mile distribution centers for major retailers, both chains and online. Although there are various challenges to these conversions, empty malls are typically near transportation networks and residential communities.</w:t>
      </w:r>
    </w:p>
    <w:p w14:paraId="68385F98" w14:textId="55B83404" w:rsidR="00B8113D" w:rsidRDefault="00B8113D" w:rsidP="001C220F">
      <w:pPr>
        <w:pStyle w:val="NoSpacing"/>
        <w:contextualSpacing/>
        <w:mirrorIndents/>
        <w:rPr>
          <w:rFonts w:ascii="Verdana" w:hAnsi="Verdana"/>
          <w:sz w:val="20"/>
          <w:szCs w:val="20"/>
        </w:rPr>
      </w:pPr>
    </w:p>
    <w:p w14:paraId="16B06994" w14:textId="48AE72F8" w:rsidR="00B8113D" w:rsidRPr="001C220F" w:rsidRDefault="00B8113D" w:rsidP="001C220F">
      <w:pPr>
        <w:pStyle w:val="NoSpacing"/>
        <w:contextualSpacing/>
        <w:mirrorIndents/>
        <w:rPr>
          <w:rFonts w:ascii="Verdana" w:hAnsi="Verdana"/>
          <w:sz w:val="20"/>
          <w:szCs w:val="20"/>
        </w:rPr>
      </w:pPr>
      <w:r>
        <w:rPr>
          <w:rFonts w:ascii="Verdana" w:hAnsi="Verdana"/>
          <w:sz w:val="20"/>
          <w:szCs w:val="20"/>
        </w:rPr>
        <w:t>Macerich, which owns and operates 33 indoor mall</w:t>
      </w:r>
      <w:r w:rsidR="00685489">
        <w:rPr>
          <w:rFonts w:ascii="Verdana" w:hAnsi="Verdana"/>
          <w:sz w:val="20"/>
          <w:szCs w:val="20"/>
        </w:rPr>
        <w:t>s</w:t>
      </w:r>
      <w:r>
        <w:rPr>
          <w:rFonts w:ascii="Verdana" w:hAnsi="Verdana"/>
          <w:sz w:val="20"/>
          <w:szCs w:val="20"/>
        </w:rPr>
        <w:t xml:space="preserve"> and open-air centers</w:t>
      </w:r>
      <w:r w:rsidR="00A52E97">
        <w:rPr>
          <w:rFonts w:ascii="Verdana" w:hAnsi="Verdana"/>
          <w:sz w:val="20"/>
          <w:szCs w:val="20"/>
        </w:rPr>
        <w:t xml:space="preserve">, is welcoming more entertainment-based tenants to its properties, such as bowling and amusement centers and a greater diversity of dining options at various price points. </w:t>
      </w:r>
    </w:p>
    <w:p w14:paraId="664EB1A4" w14:textId="77777777" w:rsidR="00F94CE8" w:rsidRPr="001C220F" w:rsidRDefault="00F94CE8" w:rsidP="001C220F">
      <w:pPr>
        <w:pStyle w:val="NoSpacing"/>
        <w:contextualSpacing/>
        <w:mirrorIndents/>
        <w:rPr>
          <w:rFonts w:ascii="Verdana" w:hAnsi="Verdana"/>
          <w:sz w:val="20"/>
          <w:szCs w:val="20"/>
        </w:rPr>
      </w:pPr>
    </w:p>
    <w:p w14:paraId="7401C3C8" w14:textId="77777777" w:rsidR="00F94CE8" w:rsidRPr="001C220F" w:rsidRDefault="00F94CE8" w:rsidP="001C220F">
      <w:pPr>
        <w:pStyle w:val="NoSpacing"/>
        <w:contextualSpacing/>
        <w:mirrorIndents/>
        <w:rPr>
          <w:rFonts w:ascii="Verdana" w:hAnsi="Verdana"/>
          <w:sz w:val="20"/>
          <w:szCs w:val="20"/>
        </w:rPr>
      </w:pPr>
    </w:p>
    <w:p w14:paraId="02C0BC62" w14:textId="77777777" w:rsidR="00F94CE8" w:rsidRPr="001C220F" w:rsidRDefault="00F94CE8" w:rsidP="001C220F">
      <w:pPr>
        <w:pStyle w:val="NoSpacing"/>
        <w:contextualSpacing/>
        <w:mirrorIndents/>
        <w:rPr>
          <w:rFonts w:ascii="Verdana" w:hAnsi="Verdana"/>
          <w:sz w:val="20"/>
          <w:szCs w:val="20"/>
        </w:rPr>
      </w:pPr>
    </w:p>
    <w:p w14:paraId="37079E4B" w14:textId="77777777" w:rsidR="00F94CE8" w:rsidRPr="001C220F" w:rsidRDefault="00F94CE8" w:rsidP="001C220F">
      <w:pPr>
        <w:pStyle w:val="NoSpacing"/>
        <w:contextualSpacing/>
        <w:mirrorIndents/>
        <w:rPr>
          <w:rFonts w:ascii="Verdana" w:hAnsi="Verdana"/>
          <w:sz w:val="20"/>
          <w:szCs w:val="20"/>
        </w:rPr>
      </w:pPr>
    </w:p>
    <w:p w14:paraId="3A5080E9" w14:textId="77777777" w:rsidR="00F94CE8" w:rsidRPr="001C220F" w:rsidRDefault="00F94CE8" w:rsidP="001C220F">
      <w:pPr>
        <w:pStyle w:val="NoSpacing"/>
        <w:contextualSpacing/>
        <w:mirrorIndents/>
        <w:rPr>
          <w:rFonts w:ascii="Verdana" w:hAnsi="Verdana"/>
          <w:sz w:val="20"/>
          <w:szCs w:val="20"/>
        </w:rPr>
      </w:pPr>
    </w:p>
    <w:p w14:paraId="3D6E3712" w14:textId="77777777" w:rsidR="00F94CE8" w:rsidRPr="001C220F" w:rsidRDefault="00F94CE8" w:rsidP="001C220F">
      <w:pPr>
        <w:pStyle w:val="NoSpacing"/>
        <w:contextualSpacing/>
        <w:mirrorIndents/>
        <w:rPr>
          <w:rFonts w:ascii="Verdana" w:hAnsi="Verdana"/>
          <w:sz w:val="20"/>
          <w:szCs w:val="20"/>
        </w:rPr>
      </w:pPr>
    </w:p>
    <w:p w14:paraId="484391DE" w14:textId="77777777" w:rsidR="00F94CE8" w:rsidRPr="001C220F" w:rsidRDefault="00F94CE8" w:rsidP="001C220F">
      <w:pPr>
        <w:pStyle w:val="NoSpacing"/>
        <w:contextualSpacing/>
        <w:mirrorIndents/>
        <w:rPr>
          <w:rFonts w:ascii="Verdana" w:hAnsi="Verdana"/>
          <w:sz w:val="20"/>
          <w:szCs w:val="20"/>
        </w:rPr>
      </w:pPr>
    </w:p>
    <w:p w14:paraId="633FD3CD" w14:textId="77777777" w:rsidR="00F94CE8" w:rsidRPr="001C220F" w:rsidRDefault="00F94CE8" w:rsidP="001C220F">
      <w:pPr>
        <w:pStyle w:val="NoSpacing"/>
        <w:contextualSpacing/>
        <w:mirrorIndents/>
        <w:rPr>
          <w:rFonts w:ascii="Verdana" w:hAnsi="Verdana"/>
          <w:sz w:val="20"/>
          <w:szCs w:val="20"/>
        </w:rPr>
      </w:pPr>
    </w:p>
    <w:p w14:paraId="22AD5DBB" w14:textId="77777777" w:rsidR="00F94CE8" w:rsidRPr="001C220F" w:rsidRDefault="00F94CE8" w:rsidP="001C220F">
      <w:pPr>
        <w:pStyle w:val="NoSpacing"/>
        <w:contextualSpacing/>
        <w:mirrorIndents/>
        <w:rPr>
          <w:rFonts w:ascii="Verdana" w:hAnsi="Verdana"/>
          <w:sz w:val="20"/>
          <w:szCs w:val="20"/>
        </w:rPr>
      </w:pPr>
    </w:p>
    <w:p w14:paraId="6FF184E1" w14:textId="77777777" w:rsidR="00F94CE8" w:rsidRPr="001C220F" w:rsidRDefault="00F94CE8" w:rsidP="001C220F">
      <w:pPr>
        <w:pStyle w:val="NoSpacing"/>
        <w:contextualSpacing/>
        <w:mirrorIndents/>
        <w:rPr>
          <w:rFonts w:ascii="Verdana" w:hAnsi="Verdana"/>
          <w:sz w:val="20"/>
          <w:szCs w:val="20"/>
        </w:rPr>
      </w:pPr>
    </w:p>
    <w:p w14:paraId="1F83A38D" w14:textId="77777777" w:rsidR="00F94CE8" w:rsidRPr="001C220F" w:rsidRDefault="00F94CE8" w:rsidP="001C220F">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4B224DD2" w:rsidR="00F94CE8" w:rsidRDefault="009D6F82" w:rsidP="00F94CE8">
      <w:pPr>
        <w:pStyle w:val="NoSpacing"/>
        <w:contextualSpacing/>
        <w:rPr>
          <w:sz w:val="20"/>
          <w:szCs w:val="20"/>
        </w:rPr>
      </w:pPr>
      <w:r>
        <w:rPr>
          <w:sz w:val="20"/>
          <w:szCs w:val="20"/>
        </w:rPr>
        <w:t xml:space="preserve">A </w:t>
      </w:r>
      <w:r w:rsidR="00093CBC">
        <w:rPr>
          <w:sz w:val="20"/>
          <w:szCs w:val="20"/>
        </w:rPr>
        <w:t>recent repurpos</w:t>
      </w:r>
      <w:r>
        <w:rPr>
          <w:sz w:val="20"/>
          <w:szCs w:val="20"/>
        </w:rPr>
        <w:t>ing</w:t>
      </w:r>
      <w:r w:rsidR="00093CBC">
        <w:rPr>
          <w:sz w:val="20"/>
          <w:szCs w:val="20"/>
        </w:rPr>
        <w:t xml:space="preserve"> of empty mall space </w:t>
      </w:r>
      <w:r>
        <w:rPr>
          <w:sz w:val="20"/>
          <w:szCs w:val="20"/>
        </w:rPr>
        <w:t>is an</w:t>
      </w:r>
      <w:r w:rsidR="00093CBC">
        <w:rPr>
          <w:sz w:val="20"/>
          <w:szCs w:val="20"/>
        </w:rPr>
        <w:t xml:space="preserve"> example of how </w:t>
      </w:r>
      <w:r>
        <w:rPr>
          <w:sz w:val="20"/>
          <w:szCs w:val="20"/>
        </w:rPr>
        <w:t>events and other special attractions</w:t>
      </w:r>
      <w:r w:rsidR="00093CBC">
        <w:rPr>
          <w:sz w:val="20"/>
          <w:szCs w:val="20"/>
        </w:rPr>
        <w:t xml:space="preserve"> can increase mall traffic.</w:t>
      </w:r>
    </w:p>
    <w:p w14:paraId="72A9D893" w14:textId="77777777" w:rsidR="00F94CE8" w:rsidRDefault="00F94CE8" w:rsidP="00F94CE8">
      <w:pPr>
        <w:pStyle w:val="NoSpacing"/>
        <w:contextualSpacing/>
        <w:rPr>
          <w:sz w:val="20"/>
          <w:szCs w:val="20"/>
        </w:rPr>
      </w:pPr>
    </w:p>
    <w:p w14:paraId="506FD60F" w14:textId="77777777" w:rsidR="009D6F82" w:rsidRDefault="00093CBC" w:rsidP="009D6F82">
      <w:pPr>
        <w:pStyle w:val="NoSpacing"/>
        <w:contextualSpacing/>
        <w:rPr>
          <w:sz w:val="20"/>
          <w:szCs w:val="20"/>
        </w:rPr>
      </w:pPr>
      <w:r>
        <w:rPr>
          <w:sz w:val="20"/>
          <w:szCs w:val="20"/>
        </w:rPr>
        <w:t xml:space="preserve">During May 2021, Oakbrook Center, a Brookfield Properties, near Chicago used an empty Sears location for a traveling </w:t>
      </w:r>
      <w:r w:rsidR="00C5664F">
        <w:rPr>
          <w:sz w:val="20"/>
          <w:szCs w:val="20"/>
        </w:rPr>
        <w:t xml:space="preserve">art </w:t>
      </w:r>
      <w:r>
        <w:rPr>
          <w:sz w:val="20"/>
          <w:szCs w:val="20"/>
        </w:rPr>
        <w:t>exhibit</w:t>
      </w:r>
      <w:r w:rsidR="00C5664F">
        <w:rPr>
          <w:sz w:val="20"/>
          <w:szCs w:val="20"/>
        </w:rPr>
        <w:t xml:space="preserve">ion about Michelangelo’s Sistine Chapel. Malls have been hosting many events for several years, but an exhibit of this type is more likely to attract people who don’t typically visit the mall. </w:t>
      </w:r>
    </w:p>
    <w:p w14:paraId="10AC7CD5" w14:textId="77777777" w:rsidR="009D6F82" w:rsidRDefault="009D6F82" w:rsidP="009D6F82">
      <w:pPr>
        <w:pStyle w:val="NoSpacing"/>
        <w:contextualSpacing/>
        <w:rPr>
          <w:sz w:val="20"/>
          <w:szCs w:val="20"/>
        </w:rPr>
      </w:pPr>
    </w:p>
    <w:p w14:paraId="78E679E8" w14:textId="6D73DB2F" w:rsidR="00F94CE8" w:rsidRDefault="00C5664F" w:rsidP="009D6F82">
      <w:pPr>
        <w:pStyle w:val="NoSpacing"/>
        <w:contextualSpacing/>
        <w:rPr>
          <w:sz w:val="20"/>
          <w:szCs w:val="20"/>
        </w:rPr>
      </w:pPr>
      <w:r>
        <w:rPr>
          <w:sz w:val="20"/>
          <w:szCs w:val="20"/>
        </w:rPr>
        <w:t>The following table shows visits to Oakbrook Center increased from May 2021 and into the third quarter, compared to 2019, while visits decreased, according to Placer.ai’s Nationwide Mall Index.</w:t>
      </w:r>
    </w:p>
    <w:p w14:paraId="3CDFB8E2" w14:textId="77777777" w:rsidR="00F94CE8" w:rsidRDefault="00F94CE8" w:rsidP="00F94CE8">
      <w:pPr>
        <w:pStyle w:val="NoSpacing"/>
        <w:contextualSpacing/>
        <w:rPr>
          <w:sz w:val="20"/>
          <w:szCs w:val="20"/>
        </w:rPr>
      </w:pPr>
    </w:p>
    <w:p w14:paraId="62DAD1C8" w14:textId="77777777" w:rsidR="000A0F21" w:rsidRDefault="00C5664F" w:rsidP="00C5664F">
      <w:pPr>
        <w:pStyle w:val="Header"/>
        <w:contextualSpacing/>
        <w:jc w:val="center"/>
        <w:rPr>
          <w:rFonts w:ascii="Verdana" w:hAnsi="Verdana"/>
          <w:b/>
          <w:sz w:val="20"/>
          <w:szCs w:val="20"/>
        </w:rPr>
      </w:pPr>
      <w:r>
        <w:rPr>
          <w:rFonts w:ascii="Verdana" w:hAnsi="Verdana"/>
          <w:b/>
          <w:sz w:val="20"/>
          <w:szCs w:val="20"/>
        </w:rPr>
        <w:t xml:space="preserve">Comparison of </w:t>
      </w:r>
      <w:r w:rsidR="000A0F21">
        <w:rPr>
          <w:rFonts w:ascii="Verdana" w:hAnsi="Verdana"/>
          <w:b/>
          <w:sz w:val="20"/>
          <w:szCs w:val="20"/>
        </w:rPr>
        <w:t xml:space="preserve">2021 </w:t>
      </w:r>
      <w:r>
        <w:rPr>
          <w:rFonts w:ascii="Verdana" w:hAnsi="Verdana"/>
          <w:b/>
          <w:sz w:val="20"/>
          <w:szCs w:val="20"/>
        </w:rPr>
        <w:t xml:space="preserve">Oakbrook Center Visits to </w:t>
      </w:r>
    </w:p>
    <w:p w14:paraId="2AD9DA6A" w14:textId="443DBA71" w:rsidR="000A0F21" w:rsidRPr="00502F18" w:rsidRDefault="00C5664F" w:rsidP="009D6F82">
      <w:pPr>
        <w:pStyle w:val="Header"/>
        <w:contextualSpacing/>
        <w:jc w:val="center"/>
        <w:rPr>
          <w:rFonts w:ascii="Verdana" w:hAnsi="Verdana"/>
          <w:b/>
          <w:sz w:val="20"/>
          <w:szCs w:val="20"/>
        </w:rPr>
      </w:pPr>
      <w:r>
        <w:rPr>
          <w:rFonts w:ascii="Verdana" w:hAnsi="Verdana"/>
          <w:b/>
          <w:sz w:val="20"/>
          <w:szCs w:val="20"/>
        </w:rPr>
        <w:t>the Nationwide Mall Index</w:t>
      </w:r>
      <w:r w:rsidR="000A0F21">
        <w:rPr>
          <w:rFonts w:ascii="Verdana" w:hAnsi="Verdana"/>
          <w:b/>
          <w:sz w:val="20"/>
          <w:szCs w:val="20"/>
        </w:rPr>
        <w:t>, Compared to 201</w:t>
      </w:r>
    </w:p>
    <w:tbl>
      <w:tblPr>
        <w:tblW w:w="9504" w:type="dxa"/>
        <w:jc w:val="center"/>
        <w:tblBorders>
          <w:left w:val="single" w:sz="8" w:space="0" w:color="000000"/>
          <w:right w:val="single" w:sz="8" w:space="0" w:color="000000"/>
        </w:tblBorders>
        <w:tblLayout w:type="fixed"/>
        <w:tblLook w:val="0000" w:firstRow="0" w:lastRow="0" w:firstColumn="0" w:lastColumn="0" w:noHBand="0" w:noVBand="0"/>
      </w:tblPr>
      <w:tblGrid>
        <w:gridCol w:w="2016"/>
        <w:gridCol w:w="1368"/>
        <w:gridCol w:w="1368"/>
        <w:gridCol w:w="2016"/>
        <w:gridCol w:w="1368"/>
        <w:gridCol w:w="1368"/>
      </w:tblGrid>
      <w:tr w:rsidR="000A0F21" w:rsidRPr="00502F18" w14:paraId="31D15CE2" w14:textId="77777777" w:rsidTr="000A0F21">
        <w:trPr>
          <w:jc w:val="center"/>
        </w:trPr>
        <w:tc>
          <w:tcPr>
            <w:tcW w:w="2016" w:type="dxa"/>
            <w:tcBorders>
              <w:top w:val="single" w:sz="12" w:space="0" w:color="000000"/>
              <w:left w:val="single" w:sz="12" w:space="0" w:color="000000"/>
              <w:bottom w:val="single" w:sz="18" w:space="0" w:color="C0504D" w:themeColor="accent2"/>
              <w:right w:val="single" w:sz="12" w:space="0" w:color="0070C0"/>
            </w:tcBorders>
            <w:vAlign w:val="center"/>
          </w:tcPr>
          <w:p w14:paraId="6371C424" w14:textId="6F51AF0F" w:rsidR="000A0F21" w:rsidRPr="00502F18" w:rsidRDefault="000A0F21" w:rsidP="000A0F2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Month</w:t>
            </w:r>
          </w:p>
        </w:tc>
        <w:tc>
          <w:tcPr>
            <w:tcW w:w="1368" w:type="dxa"/>
            <w:tcBorders>
              <w:top w:val="single" w:sz="12" w:space="0" w:color="000000"/>
              <w:left w:val="single" w:sz="12" w:space="0" w:color="0070C0"/>
              <w:bottom w:val="single" w:sz="18" w:space="0" w:color="C0504D" w:themeColor="accent2"/>
              <w:right w:val="single" w:sz="8" w:space="0" w:color="0070C0"/>
            </w:tcBorders>
          </w:tcPr>
          <w:p w14:paraId="3062BFF5" w14:textId="076ABDF0" w:rsidR="000A0F21" w:rsidRPr="00502F18" w:rsidRDefault="000A0F21" w:rsidP="000A0F2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Oakbrook Visits</w:t>
            </w:r>
          </w:p>
        </w:tc>
        <w:tc>
          <w:tcPr>
            <w:tcW w:w="1368" w:type="dxa"/>
            <w:tcBorders>
              <w:top w:val="single" w:sz="12" w:space="0" w:color="000000"/>
              <w:left w:val="single" w:sz="8" w:space="0" w:color="0070C0"/>
              <w:bottom w:val="single" w:sz="18" w:space="0" w:color="C0504D" w:themeColor="accent2"/>
              <w:right w:val="single" w:sz="8" w:space="0" w:color="0070C0"/>
            </w:tcBorders>
            <w:vAlign w:val="center"/>
          </w:tcPr>
          <w:p w14:paraId="1E7E8E7E" w14:textId="514FE7EE" w:rsidR="000A0F21" w:rsidRPr="00502F18" w:rsidRDefault="000A0F21" w:rsidP="000A0F2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Nationwide Mall Index</w:t>
            </w:r>
          </w:p>
        </w:tc>
        <w:tc>
          <w:tcPr>
            <w:tcW w:w="2016" w:type="dxa"/>
            <w:tcBorders>
              <w:top w:val="single" w:sz="12" w:space="0" w:color="000000"/>
              <w:left w:val="single" w:sz="18" w:space="0" w:color="0070C0"/>
              <w:bottom w:val="single" w:sz="18" w:space="0" w:color="C0504D" w:themeColor="accent2"/>
              <w:right w:val="single" w:sz="12" w:space="0" w:color="0070C0"/>
            </w:tcBorders>
            <w:vAlign w:val="center"/>
          </w:tcPr>
          <w:p w14:paraId="782D4373" w14:textId="6A4CBAD6" w:rsidR="000A0F21" w:rsidRPr="00502F18" w:rsidRDefault="000A0F21" w:rsidP="000A0F2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Month</w:t>
            </w:r>
          </w:p>
        </w:tc>
        <w:tc>
          <w:tcPr>
            <w:tcW w:w="1368" w:type="dxa"/>
            <w:tcBorders>
              <w:top w:val="single" w:sz="12" w:space="0" w:color="000000"/>
              <w:left w:val="single" w:sz="12" w:space="0" w:color="0070C0"/>
              <w:bottom w:val="single" w:sz="18" w:space="0" w:color="C0504D" w:themeColor="accent2"/>
              <w:right w:val="single" w:sz="8" w:space="0" w:color="0070C0"/>
            </w:tcBorders>
          </w:tcPr>
          <w:p w14:paraId="71D0986C" w14:textId="167435D0" w:rsidR="000A0F21" w:rsidRPr="00502F18" w:rsidRDefault="000A0F21" w:rsidP="000A0F2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Oakbrook Visits</w:t>
            </w:r>
          </w:p>
        </w:tc>
        <w:tc>
          <w:tcPr>
            <w:tcW w:w="1368" w:type="dxa"/>
            <w:tcBorders>
              <w:top w:val="single" w:sz="12" w:space="0" w:color="000000"/>
              <w:left w:val="single" w:sz="8" w:space="0" w:color="0070C0"/>
              <w:bottom w:val="single" w:sz="18" w:space="0" w:color="C0504D" w:themeColor="accent2"/>
              <w:right w:val="single" w:sz="12" w:space="0" w:color="000000"/>
            </w:tcBorders>
            <w:vAlign w:val="center"/>
          </w:tcPr>
          <w:p w14:paraId="7B817E25" w14:textId="03412EA7" w:rsidR="000A0F21" w:rsidRPr="00502F18" w:rsidRDefault="000A0F21" w:rsidP="000A0F2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Nationwide Mall Index</w:t>
            </w:r>
          </w:p>
        </w:tc>
      </w:tr>
      <w:tr w:rsidR="000A0F21" w:rsidRPr="00502F18" w14:paraId="09CBC219" w14:textId="77777777" w:rsidTr="009D6F82">
        <w:trPr>
          <w:trHeight w:val="243"/>
          <w:jc w:val="center"/>
        </w:trPr>
        <w:tc>
          <w:tcPr>
            <w:tcW w:w="2016" w:type="dxa"/>
            <w:tcBorders>
              <w:top w:val="single" w:sz="18" w:space="0" w:color="C0504D" w:themeColor="accent2"/>
              <w:left w:val="single" w:sz="12" w:space="0" w:color="000000"/>
              <w:bottom w:val="single" w:sz="4" w:space="0" w:color="auto"/>
              <w:right w:val="single" w:sz="12" w:space="0" w:color="0070C0"/>
            </w:tcBorders>
            <w:vAlign w:val="center"/>
          </w:tcPr>
          <w:p w14:paraId="47E5254A" w14:textId="607E0B87"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January 2021</w:t>
            </w:r>
          </w:p>
        </w:tc>
        <w:tc>
          <w:tcPr>
            <w:tcW w:w="1368" w:type="dxa"/>
            <w:tcBorders>
              <w:top w:val="single" w:sz="18" w:space="0" w:color="C0504D" w:themeColor="accent2"/>
              <w:left w:val="single" w:sz="12" w:space="0" w:color="0070C0"/>
              <w:bottom w:val="single" w:sz="4" w:space="0" w:color="auto"/>
              <w:right w:val="single" w:sz="8" w:space="0" w:color="0070C0"/>
            </w:tcBorders>
            <w:shd w:val="clear" w:color="auto" w:fill="FF0000"/>
          </w:tcPr>
          <w:p w14:paraId="38A16A9D" w14:textId="35B3D659" w:rsidR="000A0F21" w:rsidRPr="00502F18" w:rsidRDefault="000A0F21"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-27.7%</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FF0000"/>
            <w:vAlign w:val="center"/>
          </w:tcPr>
          <w:p w14:paraId="3CD463E5" w14:textId="7530A8E6" w:rsidR="000A0F21" w:rsidRPr="00502F18" w:rsidRDefault="000A0F21"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-28.2%</w:t>
            </w:r>
          </w:p>
        </w:tc>
        <w:tc>
          <w:tcPr>
            <w:tcW w:w="2016"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3B092421" w14:textId="71698C3E"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July 2021</w:t>
            </w:r>
          </w:p>
        </w:tc>
        <w:tc>
          <w:tcPr>
            <w:tcW w:w="1368" w:type="dxa"/>
            <w:tcBorders>
              <w:top w:val="single" w:sz="18" w:space="0" w:color="C0504D" w:themeColor="accent2"/>
              <w:left w:val="single" w:sz="12" w:space="0" w:color="0070C0"/>
              <w:bottom w:val="single" w:sz="4" w:space="0" w:color="000000"/>
              <w:right w:val="single" w:sz="8" w:space="0" w:color="0070C0"/>
            </w:tcBorders>
            <w:shd w:val="clear" w:color="auto" w:fill="C2D69B" w:themeFill="accent3" w:themeFillTint="99"/>
          </w:tcPr>
          <w:p w14:paraId="0BABC84D" w14:textId="1CFB9837"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+15.3%</w:t>
            </w:r>
          </w:p>
        </w:tc>
        <w:tc>
          <w:tcPr>
            <w:tcW w:w="1368" w:type="dxa"/>
            <w:tcBorders>
              <w:top w:val="single" w:sz="18" w:space="0" w:color="C0504D" w:themeColor="accent2"/>
              <w:left w:val="single" w:sz="8" w:space="0" w:color="0070C0"/>
              <w:bottom w:val="single" w:sz="4" w:space="0" w:color="000000"/>
              <w:right w:val="single" w:sz="12" w:space="0" w:color="000000"/>
            </w:tcBorders>
            <w:shd w:val="clear" w:color="auto" w:fill="EAF1DD" w:themeFill="accent3" w:themeFillTint="33"/>
            <w:vAlign w:val="center"/>
          </w:tcPr>
          <w:p w14:paraId="68BBDAF4" w14:textId="7657A9E6"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+0.6%</w:t>
            </w:r>
          </w:p>
        </w:tc>
      </w:tr>
      <w:tr w:rsidR="000A0F21" w:rsidRPr="00502F18" w14:paraId="04E759EA" w14:textId="77777777" w:rsidTr="009D6F82">
        <w:trPr>
          <w:trHeight w:val="243"/>
          <w:jc w:val="center"/>
        </w:trPr>
        <w:tc>
          <w:tcPr>
            <w:tcW w:w="2016" w:type="dxa"/>
            <w:tcBorders>
              <w:top w:val="single" w:sz="4" w:space="0" w:color="auto"/>
              <w:left w:val="single" w:sz="12" w:space="0" w:color="000000"/>
              <w:bottom w:val="single" w:sz="4" w:space="0" w:color="000000"/>
              <w:right w:val="single" w:sz="12" w:space="0" w:color="0070C0"/>
            </w:tcBorders>
            <w:vAlign w:val="center"/>
          </w:tcPr>
          <w:p w14:paraId="68E1EB6F" w14:textId="79B12588"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February 2021</w:t>
            </w:r>
          </w:p>
        </w:tc>
        <w:tc>
          <w:tcPr>
            <w:tcW w:w="1368" w:type="dxa"/>
            <w:tcBorders>
              <w:top w:val="single" w:sz="4" w:space="0" w:color="auto"/>
              <w:left w:val="single" w:sz="12" w:space="0" w:color="0070C0"/>
              <w:bottom w:val="single" w:sz="4" w:space="0" w:color="000000"/>
              <w:right w:val="single" w:sz="8" w:space="0" w:color="0070C0"/>
            </w:tcBorders>
            <w:shd w:val="clear" w:color="auto" w:fill="FF0000"/>
          </w:tcPr>
          <w:p w14:paraId="14280E1F" w14:textId="0C1F536A"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-28.2%</w:t>
            </w:r>
          </w:p>
        </w:tc>
        <w:tc>
          <w:tcPr>
            <w:tcW w:w="1368" w:type="dxa"/>
            <w:tcBorders>
              <w:top w:val="single" w:sz="4" w:space="0" w:color="auto"/>
              <w:left w:val="single" w:sz="8" w:space="0" w:color="0070C0"/>
              <w:bottom w:val="single" w:sz="4" w:space="0" w:color="000000"/>
              <w:right w:val="single" w:sz="8" w:space="0" w:color="0070C0"/>
            </w:tcBorders>
            <w:shd w:val="clear" w:color="auto" w:fill="FF0000"/>
            <w:vAlign w:val="center"/>
          </w:tcPr>
          <w:p w14:paraId="3E11DD90" w14:textId="6D0D7DE1"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-30.6%</w:t>
            </w:r>
          </w:p>
        </w:tc>
        <w:tc>
          <w:tcPr>
            <w:tcW w:w="2016"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E6DA7CA" w14:textId="0E1307AA"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August 2021</w:t>
            </w:r>
          </w:p>
        </w:tc>
        <w:tc>
          <w:tcPr>
            <w:tcW w:w="1368" w:type="dxa"/>
            <w:tcBorders>
              <w:top w:val="single" w:sz="4" w:space="0" w:color="000000"/>
              <w:left w:val="single" w:sz="12" w:space="0" w:color="0070C0"/>
              <w:bottom w:val="single" w:sz="4" w:space="0" w:color="000000"/>
              <w:right w:val="single" w:sz="8" w:space="0" w:color="0070C0"/>
            </w:tcBorders>
            <w:shd w:val="clear" w:color="auto" w:fill="D6E3BC" w:themeFill="accent3" w:themeFillTint="66"/>
          </w:tcPr>
          <w:p w14:paraId="41EF4E06" w14:textId="2CED6441"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+8.1%</w:t>
            </w:r>
          </w:p>
        </w:tc>
        <w:tc>
          <w:tcPr>
            <w:tcW w:w="1368"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5FCADF5A" w14:textId="631E9DEB"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w:t>
            </w:r>
          </w:p>
        </w:tc>
      </w:tr>
      <w:tr w:rsidR="000A0F21" w:rsidRPr="00502F18" w14:paraId="5B67C35E" w14:textId="77777777" w:rsidTr="009D6F82">
        <w:trPr>
          <w:trHeight w:val="243"/>
          <w:jc w:val="center"/>
        </w:trPr>
        <w:tc>
          <w:tcPr>
            <w:tcW w:w="2016" w:type="dxa"/>
            <w:tcBorders>
              <w:top w:val="single" w:sz="4" w:space="0" w:color="auto"/>
              <w:left w:val="single" w:sz="12" w:space="0" w:color="000000"/>
              <w:bottom w:val="single" w:sz="4" w:space="0" w:color="000000"/>
              <w:right w:val="single" w:sz="12" w:space="0" w:color="0070C0"/>
            </w:tcBorders>
            <w:vAlign w:val="center"/>
          </w:tcPr>
          <w:p w14:paraId="3A710DCC" w14:textId="689266F8"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March 2021</w:t>
            </w:r>
          </w:p>
        </w:tc>
        <w:tc>
          <w:tcPr>
            <w:tcW w:w="1368" w:type="dxa"/>
            <w:tcBorders>
              <w:top w:val="single" w:sz="4" w:space="0" w:color="auto"/>
              <w:left w:val="single" w:sz="12" w:space="0" w:color="0070C0"/>
              <w:bottom w:val="single" w:sz="4" w:space="0" w:color="000000"/>
              <w:right w:val="single" w:sz="8" w:space="0" w:color="0070C0"/>
            </w:tcBorders>
            <w:shd w:val="clear" w:color="auto" w:fill="E5B8B7" w:themeFill="accent2" w:themeFillTint="66"/>
          </w:tcPr>
          <w:p w14:paraId="5C464F35" w14:textId="30DA7352"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-16.9%</w:t>
            </w:r>
          </w:p>
        </w:tc>
        <w:tc>
          <w:tcPr>
            <w:tcW w:w="136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1E2B0FE5" w14:textId="0D641A9C"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-23.4%</w:t>
            </w:r>
          </w:p>
        </w:tc>
        <w:tc>
          <w:tcPr>
            <w:tcW w:w="2016"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50D9449" w14:textId="0DA3D501"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September 2021</w:t>
            </w:r>
          </w:p>
        </w:tc>
        <w:tc>
          <w:tcPr>
            <w:tcW w:w="1368" w:type="dxa"/>
            <w:tcBorders>
              <w:top w:val="single" w:sz="4" w:space="0" w:color="000000"/>
              <w:left w:val="single" w:sz="12" w:space="0" w:color="0070C0"/>
              <w:bottom w:val="single" w:sz="4" w:space="0" w:color="000000"/>
              <w:right w:val="single" w:sz="8" w:space="0" w:color="0070C0"/>
            </w:tcBorders>
            <w:shd w:val="clear" w:color="auto" w:fill="EAF1DD" w:themeFill="accent3" w:themeFillTint="33"/>
          </w:tcPr>
          <w:p w14:paraId="1F03589A" w14:textId="3E3E1A07"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1368"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24FEBB64" w14:textId="306C9AEE"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r>
      <w:tr w:rsidR="000A0F21" w:rsidRPr="00502F18" w14:paraId="55DCCC0F" w14:textId="77777777" w:rsidTr="009D6F82">
        <w:trPr>
          <w:trHeight w:val="243"/>
          <w:jc w:val="center"/>
        </w:trPr>
        <w:tc>
          <w:tcPr>
            <w:tcW w:w="2016" w:type="dxa"/>
            <w:tcBorders>
              <w:top w:val="single" w:sz="4" w:space="0" w:color="auto"/>
              <w:left w:val="single" w:sz="12" w:space="0" w:color="000000"/>
              <w:bottom w:val="single" w:sz="4" w:space="0" w:color="000000"/>
              <w:right w:val="single" w:sz="12" w:space="0" w:color="0070C0"/>
            </w:tcBorders>
            <w:vAlign w:val="center"/>
          </w:tcPr>
          <w:p w14:paraId="36BED766" w14:textId="5F555AF1"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April 2021</w:t>
            </w:r>
          </w:p>
        </w:tc>
        <w:tc>
          <w:tcPr>
            <w:tcW w:w="1368" w:type="dxa"/>
            <w:tcBorders>
              <w:top w:val="single" w:sz="4" w:space="0" w:color="auto"/>
              <w:left w:val="single" w:sz="12" w:space="0" w:color="0070C0"/>
              <w:bottom w:val="single" w:sz="4" w:space="0" w:color="000000"/>
              <w:right w:val="single" w:sz="8" w:space="0" w:color="0070C0"/>
            </w:tcBorders>
            <w:shd w:val="clear" w:color="auto" w:fill="F2DBDB" w:themeFill="accent2" w:themeFillTint="33"/>
          </w:tcPr>
          <w:p w14:paraId="5896FEBA" w14:textId="1079C07F"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-7.7%</w:t>
            </w:r>
          </w:p>
        </w:tc>
        <w:tc>
          <w:tcPr>
            <w:tcW w:w="136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525A2D42" w14:textId="16BAE5CA"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-17.6%</w:t>
            </w:r>
          </w:p>
        </w:tc>
        <w:tc>
          <w:tcPr>
            <w:tcW w:w="2016"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8872892" w14:textId="3E4561E1"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October 2021</w:t>
            </w:r>
          </w:p>
        </w:tc>
        <w:tc>
          <w:tcPr>
            <w:tcW w:w="1368" w:type="dxa"/>
            <w:tcBorders>
              <w:top w:val="single" w:sz="4" w:space="0" w:color="000000"/>
              <w:left w:val="single" w:sz="12" w:space="0" w:color="0070C0"/>
              <w:bottom w:val="single" w:sz="4" w:space="0" w:color="000000"/>
              <w:right w:val="single" w:sz="8" w:space="0" w:color="0070C0"/>
            </w:tcBorders>
            <w:shd w:val="clear" w:color="auto" w:fill="C2D69B" w:themeFill="accent3" w:themeFillTint="99"/>
          </w:tcPr>
          <w:p w14:paraId="40190596" w14:textId="7DFF3E09"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+13.7%</w:t>
            </w:r>
          </w:p>
        </w:tc>
        <w:tc>
          <w:tcPr>
            <w:tcW w:w="1368"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242C62F3" w14:textId="21084BCD"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r>
      <w:tr w:rsidR="000A0F21" w:rsidRPr="00502F18" w14:paraId="7C12A279" w14:textId="77777777" w:rsidTr="009D6F82">
        <w:trPr>
          <w:trHeight w:val="243"/>
          <w:jc w:val="center"/>
        </w:trPr>
        <w:tc>
          <w:tcPr>
            <w:tcW w:w="2016" w:type="dxa"/>
            <w:tcBorders>
              <w:top w:val="single" w:sz="4" w:space="0" w:color="auto"/>
              <w:left w:val="single" w:sz="12" w:space="0" w:color="000000"/>
              <w:bottom w:val="single" w:sz="4" w:space="0" w:color="000000"/>
              <w:right w:val="single" w:sz="12" w:space="0" w:color="0070C0"/>
            </w:tcBorders>
            <w:vAlign w:val="center"/>
          </w:tcPr>
          <w:p w14:paraId="128D35BE" w14:textId="00F13390"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May 2021*</w:t>
            </w:r>
          </w:p>
        </w:tc>
        <w:tc>
          <w:tcPr>
            <w:tcW w:w="1368" w:type="dxa"/>
            <w:tcBorders>
              <w:top w:val="single" w:sz="4" w:space="0" w:color="auto"/>
              <w:left w:val="single" w:sz="12" w:space="0" w:color="0070C0"/>
              <w:bottom w:val="single" w:sz="4" w:space="0" w:color="000000"/>
              <w:right w:val="single" w:sz="8" w:space="0" w:color="0070C0"/>
            </w:tcBorders>
            <w:shd w:val="clear" w:color="auto" w:fill="EAF1DD" w:themeFill="accent3" w:themeFillTint="33"/>
          </w:tcPr>
          <w:p w14:paraId="12AFBFEF" w14:textId="23456603"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+5.9%</w:t>
            </w:r>
          </w:p>
        </w:tc>
        <w:tc>
          <w:tcPr>
            <w:tcW w:w="136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4E5368C7" w14:textId="22ACB836"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-10.3%</w:t>
            </w:r>
          </w:p>
        </w:tc>
        <w:tc>
          <w:tcPr>
            <w:tcW w:w="2016"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0E78151" w14:textId="19C2C0EB"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November 2021</w:t>
            </w:r>
          </w:p>
        </w:tc>
        <w:tc>
          <w:tcPr>
            <w:tcW w:w="1368" w:type="dxa"/>
            <w:tcBorders>
              <w:top w:val="single" w:sz="4" w:space="0" w:color="000000"/>
              <w:left w:val="single" w:sz="12" w:space="0" w:color="0070C0"/>
              <w:bottom w:val="single" w:sz="4" w:space="0" w:color="000000"/>
              <w:right w:val="single" w:sz="8" w:space="0" w:color="0070C0"/>
            </w:tcBorders>
            <w:shd w:val="clear" w:color="auto" w:fill="D6E3BC" w:themeFill="accent3" w:themeFillTint="66"/>
          </w:tcPr>
          <w:p w14:paraId="3EF34613" w14:textId="26CE6D02"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+9.3%</w:t>
            </w:r>
          </w:p>
        </w:tc>
        <w:tc>
          <w:tcPr>
            <w:tcW w:w="1368"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7C58F742" w14:textId="22062B7C"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-9.2%</w:t>
            </w:r>
          </w:p>
        </w:tc>
      </w:tr>
      <w:tr w:rsidR="000A0F21" w:rsidRPr="00502F18" w14:paraId="308A2BF0" w14:textId="77777777" w:rsidTr="009D6F82">
        <w:trPr>
          <w:trHeight w:val="243"/>
          <w:jc w:val="center"/>
        </w:trPr>
        <w:tc>
          <w:tcPr>
            <w:tcW w:w="2016"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71EFF3C4" w14:textId="089EFD5D"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June 2021</w:t>
            </w:r>
          </w:p>
        </w:tc>
        <w:tc>
          <w:tcPr>
            <w:tcW w:w="1368" w:type="dxa"/>
            <w:tcBorders>
              <w:top w:val="single" w:sz="4" w:space="0" w:color="000000"/>
              <w:left w:val="single" w:sz="12" w:space="0" w:color="0070C0"/>
              <w:bottom w:val="single" w:sz="12" w:space="0" w:color="000000"/>
              <w:right w:val="single" w:sz="8" w:space="0" w:color="0070C0"/>
            </w:tcBorders>
            <w:shd w:val="clear" w:color="auto" w:fill="EAF1DD" w:themeFill="accent3" w:themeFillTint="33"/>
          </w:tcPr>
          <w:p w14:paraId="1E83AD4D" w14:textId="396BF7C1"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w:t>
            </w:r>
          </w:p>
        </w:tc>
        <w:tc>
          <w:tcPr>
            <w:tcW w:w="1368" w:type="dxa"/>
            <w:tcBorders>
              <w:top w:val="single" w:sz="4" w:space="0" w:color="000000"/>
              <w:left w:val="single" w:sz="8" w:space="0" w:color="0070C0"/>
              <w:bottom w:val="single" w:sz="12" w:space="0" w:color="000000"/>
              <w:right w:val="single" w:sz="8" w:space="0" w:color="0070C0"/>
            </w:tcBorders>
            <w:shd w:val="clear" w:color="auto" w:fill="E5B8B7" w:themeFill="accent2" w:themeFillTint="66"/>
            <w:vAlign w:val="center"/>
          </w:tcPr>
          <w:p w14:paraId="1D679121" w14:textId="1F554F24"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-10.1%</w:t>
            </w:r>
          </w:p>
        </w:tc>
        <w:tc>
          <w:tcPr>
            <w:tcW w:w="2016"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29375A42" w14:textId="0CCCDAB1" w:rsidR="000A0F21" w:rsidRPr="00502F18" w:rsidRDefault="000A0F21" w:rsidP="000A0F2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December 2021</w:t>
            </w:r>
          </w:p>
        </w:tc>
        <w:tc>
          <w:tcPr>
            <w:tcW w:w="1368" w:type="dxa"/>
            <w:tcBorders>
              <w:top w:val="single" w:sz="4" w:space="0" w:color="000000"/>
              <w:left w:val="single" w:sz="12" w:space="0" w:color="0070C0"/>
              <w:bottom w:val="single" w:sz="12" w:space="0" w:color="000000"/>
              <w:right w:val="single" w:sz="8" w:space="0" w:color="0070C0"/>
            </w:tcBorders>
            <w:shd w:val="clear" w:color="auto" w:fill="EAF1DD" w:themeFill="accent3" w:themeFillTint="33"/>
          </w:tcPr>
          <w:p w14:paraId="04F91636" w14:textId="003FF1F0"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w:t>
            </w:r>
          </w:p>
        </w:tc>
        <w:tc>
          <w:tcPr>
            <w:tcW w:w="1368" w:type="dxa"/>
            <w:tcBorders>
              <w:top w:val="single" w:sz="4" w:space="0" w:color="000000"/>
              <w:left w:val="single" w:sz="8" w:space="0" w:color="0070C0"/>
              <w:bottom w:val="single" w:sz="12" w:space="0" w:color="000000"/>
              <w:right w:val="single" w:sz="12" w:space="0" w:color="000000"/>
            </w:tcBorders>
            <w:shd w:val="clear" w:color="auto" w:fill="F2DBDB" w:themeFill="accent2" w:themeFillTint="33"/>
            <w:vAlign w:val="center"/>
          </w:tcPr>
          <w:p w14:paraId="4B8E6374" w14:textId="715CC599" w:rsidR="000A0F21" w:rsidRPr="00502F18" w:rsidRDefault="009D6F82" w:rsidP="000A0F2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-3.2%</w:t>
            </w:r>
          </w:p>
        </w:tc>
      </w:tr>
    </w:tbl>
    <w:p w14:paraId="3FC46503" w14:textId="24EC09ED" w:rsidR="00C5664F" w:rsidRDefault="009D6F82" w:rsidP="00C5664F">
      <w:pPr>
        <w:spacing w:after="0" w:line="240" w:lineRule="auto"/>
        <w:contextualSpacing/>
        <w:mirrorIndents/>
        <w:rPr>
          <w:rFonts w:ascii="Verdana" w:hAnsi="Verdana"/>
          <w:sz w:val="20"/>
          <w:szCs w:val="20"/>
        </w:rPr>
      </w:pPr>
      <w:r>
        <w:rPr>
          <w:rFonts w:ascii="Verdana" w:hAnsi="Verdana"/>
          <w:iCs/>
          <w:sz w:val="16"/>
          <w:szCs w:val="16"/>
        </w:rPr>
        <w:t>Placer.ai</w:t>
      </w:r>
      <w:r w:rsidR="00C5664F" w:rsidRPr="00502F18">
        <w:rPr>
          <w:rFonts w:ascii="Verdana" w:hAnsi="Verdana"/>
          <w:sz w:val="16"/>
          <w:szCs w:val="16"/>
        </w:rPr>
        <w:t xml:space="preserve">, </w:t>
      </w:r>
      <w:r>
        <w:rPr>
          <w:rFonts w:ascii="Verdana" w:hAnsi="Verdana"/>
          <w:sz w:val="16"/>
          <w:szCs w:val="16"/>
        </w:rPr>
        <w:t>February</w:t>
      </w:r>
      <w:r w:rsidR="00C5664F">
        <w:rPr>
          <w:rFonts w:ascii="Verdana" w:hAnsi="Verdana"/>
          <w:sz w:val="16"/>
          <w:szCs w:val="16"/>
        </w:rPr>
        <w:t xml:space="preserve"> 2022</w:t>
      </w:r>
      <w:r>
        <w:rPr>
          <w:rFonts w:ascii="Verdana" w:hAnsi="Verdana"/>
          <w:sz w:val="16"/>
          <w:szCs w:val="16"/>
        </w:rPr>
        <w:tab/>
      </w:r>
      <w:r>
        <w:rPr>
          <w:rFonts w:ascii="Verdana" w:hAnsi="Verdana"/>
          <w:sz w:val="16"/>
          <w:szCs w:val="16"/>
        </w:rPr>
        <w:tab/>
        <w:t>*opening of Michelangelo Sistine Chapel exhibition</w:t>
      </w:r>
    </w:p>
    <w:p w14:paraId="6DC49CD3" w14:textId="77777777" w:rsidR="00F94CE8" w:rsidRDefault="00F94CE8"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3C2AC874" w:rsidR="00F94CE8" w:rsidRDefault="00F94CE8" w:rsidP="00F94CE8">
      <w:pPr>
        <w:pStyle w:val="NoSpacing"/>
        <w:contextualSpacing/>
        <w:rPr>
          <w:sz w:val="20"/>
          <w:szCs w:val="20"/>
        </w:rPr>
      </w:pPr>
    </w:p>
    <w:p w14:paraId="5058ED92" w14:textId="7E9ED54C" w:rsidR="00D01212" w:rsidRDefault="00D01212" w:rsidP="00F94CE8">
      <w:pPr>
        <w:pStyle w:val="NoSpacing"/>
        <w:contextualSpacing/>
        <w:rPr>
          <w:sz w:val="20"/>
          <w:szCs w:val="20"/>
        </w:rPr>
      </w:pPr>
    </w:p>
    <w:p w14:paraId="2E69CDF4" w14:textId="2C0EE188" w:rsidR="00D01212" w:rsidRDefault="00D01212" w:rsidP="00F94CE8">
      <w:pPr>
        <w:pStyle w:val="NoSpacing"/>
        <w:contextualSpacing/>
        <w:rPr>
          <w:sz w:val="20"/>
          <w:szCs w:val="20"/>
        </w:rPr>
      </w:pPr>
    </w:p>
    <w:p w14:paraId="51EEFAB8" w14:textId="5815364A" w:rsidR="00D01212" w:rsidRDefault="00D01212" w:rsidP="00F94CE8">
      <w:pPr>
        <w:pStyle w:val="NoSpacing"/>
        <w:contextualSpacing/>
        <w:rPr>
          <w:sz w:val="20"/>
          <w:szCs w:val="20"/>
        </w:rPr>
      </w:pPr>
    </w:p>
    <w:p w14:paraId="40D09FBB" w14:textId="1E8CA386" w:rsidR="00D01212" w:rsidRDefault="00D01212" w:rsidP="00F94CE8">
      <w:pPr>
        <w:pStyle w:val="NoSpacing"/>
        <w:contextualSpacing/>
        <w:rPr>
          <w:sz w:val="20"/>
          <w:szCs w:val="20"/>
        </w:rPr>
      </w:pPr>
    </w:p>
    <w:p w14:paraId="146A1650" w14:textId="44E6AB3E" w:rsidR="00D01212" w:rsidRDefault="00D01212" w:rsidP="00F94CE8">
      <w:pPr>
        <w:pStyle w:val="NoSpacing"/>
        <w:contextualSpacing/>
        <w:rPr>
          <w:sz w:val="20"/>
          <w:szCs w:val="20"/>
        </w:rPr>
      </w:pPr>
    </w:p>
    <w:p w14:paraId="60443B7E" w14:textId="34AB460A" w:rsidR="00D01212" w:rsidRDefault="00D01212" w:rsidP="00F94CE8">
      <w:pPr>
        <w:pStyle w:val="NoSpacing"/>
        <w:contextualSpacing/>
        <w:rPr>
          <w:sz w:val="20"/>
          <w:szCs w:val="20"/>
        </w:rPr>
      </w:pPr>
    </w:p>
    <w:p w14:paraId="495162E1" w14:textId="524B2CED" w:rsidR="00D01212" w:rsidRDefault="00D01212" w:rsidP="00F94CE8">
      <w:pPr>
        <w:pStyle w:val="NoSpacing"/>
        <w:contextualSpacing/>
        <w:rPr>
          <w:sz w:val="20"/>
          <w:szCs w:val="20"/>
        </w:rPr>
      </w:pPr>
    </w:p>
    <w:p w14:paraId="29075C1C" w14:textId="1A657A1D" w:rsidR="00D01212" w:rsidRDefault="00D01212" w:rsidP="00F94CE8">
      <w:pPr>
        <w:pStyle w:val="NoSpacing"/>
        <w:contextualSpacing/>
        <w:rPr>
          <w:sz w:val="20"/>
          <w:szCs w:val="20"/>
        </w:rPr>
      </w:pPr>
    </w:p>
    <w:p w14:paraId="420A5924" w14:textId="220A932C" w:rsidR="00D01212" w:rsidRDefault="00D01212" w:rsidP="00F94CE8">
      <w:pPr>
        <w:pStyle w:val="NoSpacing"/>
        <w:contextualSpacing/>
        <w:rPr>
          <w:sz w:val="20"/>
          <w:szCs w:val="20"/>
        </w:rPr>
      </w:pPr>
    </w:p>
    <w:p w14:paraId="0682DC81" w14:textId="77777777" w:rsidR="00D01212" w:rsidRDefault="00D01212"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72965080" w:rsidR="00F94CE8" w:rsidRPr="00D01212" w:rsidRDefault="00F94CE8" w:rsidP="00F94CE8">
      <w:pPr>
        <w:spacing w:after="0" w:line="240" w:lineRule="auto"/>
        <w:rPr>
          <w:rFonts w:ascii="Verdana" w:hAnsi="Verdana"/>
          <w:sz w:val="16"/>
          <w:szCs w:val="16"/>
        </w:rPr>
      </w:pPr>
      <w:r w:rsidRPr="00D01212">
        <w:rPr>
          <w:rFonts w:ascii="Verdana" w:hAnsi="Verdana"/>
          <w:i/>
          <w:sz w:val="16"/>
          <w:szCs w:val="16"/>
        </w:rPr>
        <w:t>Sources:</w:t>
      </w:r>
      <w:r w:rsidRPr="00D01212">
        <w:rPr>
          <w:rFonts w:ascii="Verdana" w:hAnsi="Verdana"/>
          <w:sz w:val="16"/>
          <w:szCs w:val="16"/>
        </w:rPr>
        <w:t xml:space="preserve"> </w:t>
      </w:r>
      <w:r w:rsidR="00D01212" w:rsidRPr="00D01212">
        <w:rPr>
          <w:sz w:val="16"/>
          <w:szCs w:val="16"/>
        </w:rPr>
        <w:t xml:space="preserve">International Council of Shopping Centers </w:t>
      </w:r>
      <w:r w:rsidRPr="00D01212">
        <w:rPr>
          <w:rFonts w:ascii="Verdana" w:hAnsi="Verdana"/>
          <w:sz w:val="16"/>
          <w:szCs w:val="16"/>
        </w:rPr>
        <w:t xml:space="preserve">Website, </w:t>
      </w:r>
      <w:r w:rsidR="000D0ED6" w:rsidRPr="00D01212">
        <w:rPr>
          <w:rFonts w:ascii="Verdana" w:hAnsi="Verdana"/>
          <w:sz w:val="16"/>
          <w:szCs w:val="16"/>
        </w:rPr>
        <w:t>7</w:t>
      </w:r>
      <w:r w:rsidR="00306D88" w:rsidRPr="00D01212">
        <w:rPr>
          <w:rFonts w:ascii="Verdana" w:hAnsi="Verdana"/>
          <w:sz w:val="16"/>
          <w:szCs w:val="16"/>
        </w:rPr>
        <w:t>/</w:t>
      </w:r>
      <w:r w:rsidR="00AE6B2A" w:rsidRPr="00D01212">
        <w:rPr>
          <w:rFonts w:ascii="Verdana" w:hAnsi="Verdana"/>
          <w:sz w:val="16"/>
          <w:szCs w:val="16"/>
        </w:rPr>
        <w:t>2</w:t>
      </w:r>
      <w:r w:rsidR="00C8473A" w:rsidRPr="00D01212">
        <w:rPr>
          <w:rFonts w:ascii="Verdana" w:hAnsi="Verdana"/>
          <w:sz w:val="16"/>
          <w:szCs w:val="16"/>
        </w:rPr>
        <w:t>2</w:t>
      </w:r>
      <w:r w:rsidRPr="00D01212">
        <w:rPr>
          <w:rFonts w:ascii="Verdana" w:hAnsi="Verdana"/>
          <w:sz w:val="16"/>
          <w:szCs w:val="16"/>
        </w:rPr>
        <w:t xml:space="preserve">; </w:t>
      </w:r>
      <w:r w:rsidR="00D01212" w:rsidRPr="00D01212">
        <w:rPr>
          <w:sz w:val="16"/>
          <w:szCs w:val="16"/>
        </w:rPr>
        <w:t>US Census Bureau</w:t>
      </w:r>
      <w:r w:rsidRPr="00D01212">
        <w:rPr>
          <w:rFonts w:ascii="Verdana" w:hAnsi="Verdana"/>
          <w:sz w:val="16"/>
          <w:szCs w:val="16"/>
        </w:rPr>
        <w:t xml:space="preserve"> Website, </w:t>
      </w:r>
      <w:r w:rsidR="000D0ED6" w:rsidRPr="00D01212">
        <w:rPr>
          <w:rFonts w:ascii="Verdana" w:hAnsi="Verdana"/>
          <w:sz w:val="16"/>
          <w:szCs w:val="16"/>
        </w:rPr>
        <w:t>7</w:t>
      </w:r>
      <w:r w:rsidR="004E421A" w:rsidRPr="00D01212">
        <w:rPr>
          <w:rFonts w:ascii="Verdana" w:hAnsi="Verdana"/>
          <w:sz w:val="16"/>
          <w:szCs w:val="16"/>
        </w:rPr>
        <w:t>/</w:t>
      </w:r>
      <w:r w:rsidR="00AE6B2A" w:rsidRPr="00D01212">
        <w:rPr>
          <w:rFonts w:ascii="Verdana" w:hAnsi="Verdana"/>
          <w:sz w:val="16"/>
          <w:szCs w:val="16"/>
        </w:rPr>
        <w:t>2</w:t>
      </w:r>
      <w:r w:rsidR="00C8473A" w:rsidRPr="00D01212">
        <w:rPr>
          <w:rFonts w:ascii="Verdana" w:hAnsi="Verdana"/>
          <w:sz w:val="16"/>
          <w:szCs w:val="16"/>
        </w:rPr>
        <w:t>2</w:t>
      </w:r>
      <w:r w:rsidRPr="00D01212">
        <w:rPr>
          <w:rFonts w:ascii="Verdana" w:hAnsi="Verdana"/>
          <w:sz w:val="16"/>
          <w:szCs w:val="16"/>
        </w:rPr>
        <w:t xml:space="preserve">; </w:t>
      </w:r>
      <w:r w:rsidR="00D01212" w:rsidRPr="00D01212">
        <w:rPr>
          <w:sz w:val="16"/>
          <w:szCs w:val="16"/>
        </w:rPr>
        <w:t xml:space="preserve">Placer.ai </w:t>
      </w:r>
      <w:r w:rsidRPr="00D01212">
        <w:rPr>
          <w:rFonts w:ascii="Verdana" w:hAnsi="Verdana"/>
          <w:sz w:val="16"/>
          <w:szCs w:val="16"/>
        </w:rPr>
        <w:t>Website</w:t>
      </w:r>
      <w:r w:rsidR="00A00453" w:rsidRPr="00D01212">
        <w:rPr>
          <w:rFonts w:ascii="Verdana" w:hAnsi="Verdana"/>
          <w:sz w:val="16"/>
          <w:szCs w:val="16"/>
        </w:rPr>
        <w:t xml:space="preserve">, </w:t>
      </w:r>
      <w:r w:rsidR="000D0ED6" w:rsidRPr="00D01212">
        <w:rPr>
          <w:rFonts w:ascii="Verdana" w:hAnsi="Verdana"/>
          <w:sz w:val="16"/>
          <w:szCs w:val="16"/>
        </w:rPr>
        <w:t>7</w:t>
      </w:r>
      <w:r w:rsidR="00306D88" w:rsidRPr="00D01212">
        <w:rPr>
          <w:rFonts w:ascii="Verdana" w:hAnsi="Verdana"/>
          <w:sz w:val="16"/>
          <w:szCs w:val="16"/>
        </w:rPr>
        <w:t>/</w:t>
      </w:r>
      <w:r w:rsidR="00AE6B2A" w:rsidRPr="00D01212">
        <w:rPr>
          <w:rFonts w:ascii="Verdana" w:hAnsi="Verdana"/>
          <w:sz w:val="16"/>
          <w:szCs w:val="16"/>
        </w:rPr>
        <w:t>2</w:t>
      </w:r>
      <w:r w:rsidR="00C8473A" w:rsidRPr="00D01212">
        <w:rPr>
          <w:rFonts w:ascii="Verdana" w:hAnsi="Verdana"/>
          <w:sz w:val="16"/>
          <w:szCs w:val="16"/>
        </w:rPr>
        <w:t>2</w:t>
      </w:r>
      <w:r w:rsidR="00C92FA7">
        <w:rPr>
          <w:rFonts w:ascii="Verdana" w:hAnsi="Verdana"/>
          <w:sz w:val="16"/>
          <w:szCs w:val="16"/>
        </w:rPr>
        <w:t>;</w:t>
      </w:r>
      <w:r w:rsidR="00D01212" w:rsidRPr="00D01212">
        <w:rPr>
          <w:rFonts w:ascii="Verdana" w:hAnsi="Verdana"/>
          <w:sz w:val="16"/>
          <w:szCs w:val="16"/>
        </w:rPr>
        <w:t xml:space="preserve"> </w:t>
      </w:r>
      <w:r w:rsidR="00D01212" w:rsidRPr="00D01212">
        <w:rPr>
          <w:sz w:val="16"/>
          <w:szCs w:val="16"/>
        </w:rPr>
        <w:t>Wealth Management Website</w:t>
      </w:r>
      <w:r w:rsidR="00C92FA7" w:rsidRPr="00D01212">
        <w:rPr>
          <w:rFonts w:ascii="Verdana" w:hAnsi="Verdana"/>
          <w:sz w:val="16"/>
          <w:szCs w:val="16"/>
        </w:rPr>
        <w:t>, 7/22;</w:t>
      </w:r>
      <w:r w:rsidR="00D01212" w:rsidRPr="00D01212">
        <w:rPr>
          <w:sz w:val="16"/>
          <w:szCs w:val="16"/>
        </w:rPr>
        <w:t xml:space="preserve"> </w:t>
      </w:r>
      <w:r w:rsidR="00D01212" w:rsidRPr="00D01212">
        <w:rPr>
          <w:sz w:val="16"/>
          <w:szCs w:val="16"/>
        </w:rPr>
        <w:t>Numerator Website</w:t>
      </w:r>
      <w:r w:rsidR="00C92FA7" w:rsidRPr="00D01212">
        <w:rPr>
          <w:rFonts w:ascii="Verdana" w:hAnsi="Verdana"/>
          <w:sz w:val="16"/>
          <w:szCs w:val="16"/>
        </w:rPr>
        <w:t>, 7/22;</w:t>
      </w:r>
      <w:r w:rsidR="00D01212" w:rsidRPr="00D01212">
        <w:rPr>
          <w:sz w:val="16"/>
          <w:szCs w:val="16"/>
        </w:rPr>
        <w:t xml:space="preserve"> </w:t>
      </w:r>
      <w:r w:rsidR="00D01212" w:rsidRPr="00D01212">
        <w:rPr>
          <w:sz w:val="16"/>
          <w:szCs w:val="16"/>
        </w:rPr>
        <w:t>Vox Website</w:t>
      </w:r>
      <w:r w:rsidR="00C92FA7" w:rsidRPr="00D01212">
        <w:rPr>
          <w:rFonts w:ascii="Verdana" w:hAnsi="Verdana"/>
          <w:sz w:val="16"/>
          <w:szCs w:val="16"/>
        </w:rPr>
        <w:t>, 7/22;</w:t>
      </w:r>
      <w:r w:rsidR="00D01212" w:rsidRPr="00D01212">
        <w:rPr>
          <w:sz w:val="16"/>
          <w:szCs w:val="16"/>
        </w:rPr>
        <w:t xml:space="preserve"> </w:t>
      </w:r>
      <w:r w:rsidR="00D01212" w:rsidRPr="00D01212">
        <w:rPr>
          <w:sz w:val="16"/>
          <w:szCs w:val="16"/>
        </w:rPr>
        <w:t>Pew Research Center Website</w:t>
      </w:r>
      <w:r w:rsidR="00C92FA7" w:rsidRPr="00D01212">
        <w:rPr>
          <w:rFonts w:ascii="Verdana" w:hAnsi="Verdana"/>
          <w:sz w:val="16"/>
          <w:szCs w:val="16"/>
        </w:rPr>
        <w:t>, 7/22;</w:t>
      </w:r>
      <w:r w:rsidR="00D01212" w:rsidRPr="00D01212">
        <w:rPr>
          <w:sz w:val="16"/>
          <w:szCs w:val="16"/>
        </w:rPr>
        <w:t xml:space="preserve"> </w:t>
      </w:r>
      <w:r w:rsidR="00D01212" w:rsidRPr="00D01212">
        <w:rPr>
          <w:sz w:val="16"/>
          <w:szCs w:val="16"/>
        </w:rPr>
        <w:t>Statista Website</w:t>
      </w:r>
      <w:r w:rsidR="00C92FA7" w:rsidRPr="00D01212">
        <w:rPr>
          <w:rFonts w:ascii="Verdana" w:hAnsi="Verdana"/>
          <w:sz w:val="16"/>
          <w:szCs w:val="16"/>
        </w:rPr>
        <w:t>, 7/22;</w:t>
      </w:r>
      <w:r w:rsidR="00D01212" w:rsidRPr="00D01212">
        <w:rPr>
          <w:sz w:val="16"/>
          <w:szCs w:val="16"/>
        </w:rPr>
        <w:t xml:space="preserve"> </w:t>
      </w:r>
      <w:r w:rsidR="00D01212" w:rsidRPr="00D01212">
        <w:rPr>
          <w:sz w:val="16"/>
          <w:szCs w:val="16"/>
        </w:rPr>
        <w:t>GlobeSt.com Website</w:t>
      </w:r>
      <w:r w:rsidR="00C92FA7" w:rsidRPr="00D01212">
        <w:rPr>
          <w:rFonts w:ascii="Verdana" w:hAnsi="Verdana"/>
          <w:sz w:val="16"/>
          <w:szCs w:val="16"/>
        </w:rPr>
        <w:t>, 7/22;</w:t>
      </w:r>
      <w:r w:rsidR="00D01212" w:rsidRPr="00D01212">
        <w:rPr>
          <w:sz w:val="16"/>
          <w:szCs w:val="16"/>
        </w:rPr>
        <w:t xml:space="preserve"> </w:t>
      </w:r>
      <w:r w:rsidR="00D01212" w:rsidRPr="00D01212">
        <w:rPr>
          <w:sz w:val="16"/>
          <w:szCs w:val="16"/>
        </w:rPr>
        <w:t>The Media Audit Website</w:t>
      </w:r>
      <w:r w:rsidR="00C92FA7" w:rsidRPr="00D01212">
        <w:rPr>
          <w:rFonts w:ascii="Verdana" w:hAnsi="Verdana"/>
          <w:sz w:val="16"/>
          <w:szCs w:val="16"/>
        </w:rPr>
        <w:t>, 7/22;</w:t>
      </w:r>
      <w:r w:rsidR="00D01212" w:rsidRPr="00D01212">
        <w:rPr>
          <w:sz w:val="16"/>
          <w:szCs w:val="16"/>
        </w:rPr>
        <w:t xml:space="preserve"> </w:t>
      </w:r>
      <w:r w:rsidR="00D01212" w:rsidRPr="00D01212">
        <w:rPr>
          <w:sz w:val="16"/>
          <w:szCs w:val="16"/>
        </w:rPr>
        <w:t>Retail Dive Website</w:t>
      </w:r>
      <w:r w:rsidR="00C92FA7" w:rsidRPr="00D01212">
        <w:rPr>
          <w:rFonts w:ascii="Verdana" w:hAnsi="Verdana"/>
          <w:sz w:val="16"/>
          <w:szCs w:val="16"/>
        </w:rPr>
        <w:t>, 7/22;</w:t>
      </w:r>
      <w:r w:rsidR="00D01212" w:rsidRPr="00D01212">
        <w:rPr>
          <w:sz w:val="16"/>
          <w:szCs w:val="16"/>
        </w:rPr>
        <w:t xml:space="preserve"> </w:t>
      </w:r>
      <w:r w:rsidR="00D01212" w:rsidRPr="00D01212">
        <w:rPr>
          <w:sz w:val="16"/>
          <w:szCs w:val="16"/>
        </w:rPr>
        <w:t>Chain Store Age Website</w:t>
      </w:r>
      <w:r w:rsidR="00C92FA7" w:rsidRPr="00D01212">
        <w:rPr>
          <w:rFonts w:ascii="Verdana" w:hAnsi="Verdana"/>
          <w:sz w:val="16"/>
          <w:szCs w:val="16"/>
        </w:rPr>
        <w:t>, 7/22</w:t>
      </w:r>
      <w:r w:rsidR="00C92FA7">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6B91D2E9"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9D070C">
        <w:rPr>
          <w:rFonts w:ascii="Verdana" w:hAnsi="Verdana"/>
          <w:sz w:val="16"/>
        </w:rPr>
        <w:t>Ju</w:t>
      </w:r>
      <w:r w:rsidR="000D0ED6">
        <w:rPr>
          <w:rFonts w:ascii="Verdana" w:hAnsi="Verdana"/>
          <w:sz w:val="16"/>
        </w:rPr>
        <w:t>ly</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B387" w14:textId="77777777" w:rsidR="00947631" w:rsidRDefault="00947631" w:rsidP="00260DE9">
      <w:pPr>
        <w:spacing w:after="0" w:line="240" w:lineRule="auto"/>
      </w:pPr>
      <w:r>
        <w:separator/>
      </w:r>
    </w:p>
  </w:endnote>
  <w:endnote w:type="continuationSeparator" w:id="0">
    <w:p w14:paraId="189A394A" w14:textId="77777777" w:rsidR="00947631" w:rsidRDefault="00947631"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CFE8" w14:textId="77777777" w:rsidR="00947631" w:rsidRDefault="00947631" w:rsidP="00260DE9">
      <w:pPr>
        <w:spacing w:after="0" w:line="240" w:lineRule="auto"/>
      </w:pPr>
      <w:r>
        <w:separator/>
      </w:r>
    </w:p>
  </w:footnote>
  <w:footnote w:type="continuationSeparator" w:id="0">
    <w:p w14:paraId="5671A940" w14:textId="77777777" w:rsidR="00947631" w:rsidRDefault="00947631"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B52D1D"/>
    <w:multiLevelType w:val="hybridMultilevel"/>
    <w:tmpl w:val="FD8E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1538468">
    <w:abstractNumId w:val="0"/>
  </w:num>
  <w:num w:numId="2" w16cid:durableId="148585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16B"/>
    <w:rsid w:val="0005633E"/>
    <w:rsid w:val="000577D6"/>
    <w:rsid w:val="0007198D"/>
    <w:rsid w:val="000830D7"/>
    <w:rsid w:val="00093CBC"/>
    <w:rsid w:val="000A0F21"/>
    <w:rsid w:val="000C4B96"/>
    <w:rsid w:val="000C7821"/>
    <w:rsid w:val="000D0ED6"/>
    <w:rsid w:val="000D2F3A"/>
    <w:rsid w:val="000D7C07"/>
    <w:rsid w:val="00112A85"/>
    <w:rsid w:val="0012010F"/>
    <w:rsid w:val="00142DEE"/>
    <w:rsid w:val="001531C2"/>
    <w:rsid w:val="00154344"/>
    <w:rsid w:val="00160474"/>
    <w:rsid w:val="00161442"/>
    <w:rsid w:val="0016492E"/>
    <w:rsid w:val="00177D0F"/>
    <w:rsid w:val="001A05E7"/>
    <w:rsid w:val="001B64B0"/>
    <w:rsid w:val="001C220F"/>
    <w:rsid w:val="001C2831"/>
    <w:rsid w:val="001C4C3A"/>
    <w:rsid w:val="001C7053"/>
    <w:rsid w:val="001D53A3"/>
    <w:rsid w:val="001F5DFA"/>
    <w:rsid w:val="00260DE9"/>
    <w:rsid w:val="00294474"/>
    <w:rsid w:val="002A4A73"/>
    <w:rsid w:val="002A6286"/>
    <w:rsid w:val="002B0BCF"/>
    <w:rsid w:val="002B3E1A"/>
    <w:rsid w:val="002B428E"/>
    <w:rsid w:val="002B7A39"/>
    <w:rsid w:val="002C2D3D"/>
    <w:rsid w:val="002E1F38"/>
    <w:rsid w:val="002F056A"/>
    <w:rsid w:val="0030144D"/>
    <w:rsid w:val="00304570"/>
    <w:rsid w:val="00306D88"/>
    <w:rsid w:val="00327C87"/>
    <w:rsid w:val="003305CF"/>
    <w:rsid w:val="003630CD"/>
    <w:rsid w:val="0038459A"/>
    <w:rsid w:val="003B417B"/>
    <w:rsid w:val="003C15ED"/>
    <w:rsid w:val="003D6958"/>
    <w:rsid w:val="003E2E9B"/>
    <w:rsid w:val="003F0FE1"/>
    <w:rsid w:val="00400606"/>
    <w:rsid w:val="004075EB"/>
    <w:rsid w:val="00412473"/>
    <w:rsid w:val="00422A36"/>
    <w:rsid w:val="00424E79"/>
    <w:rsid w:val="00432903"/>
    <w:rsid w:val="0045212B"/>
    <w:rsid w:val="0045797F"/>
    <w:rsid w:val="0046193A"/>
    <w:rsid w:val="00461D2C"/>
    <w:rsid w:val="0048482F"/>
    <w:rsid w:val="00493426"/>
    <w:rsid w:val="00494CA5"/>
    <w:rsid w:val="0049709E"/>
    <w:rsid w:val="004D4671"/>
    <w:rsid w:val="004D4829"/>
    <w:rsid w:val="004E421A"/>
    <w:rsid w:val="004F7F58"/>
    <w:rsid w:val="0050254D"/>
    <w:rsid w:val="00520014"/>
    <w:rsid w:val="00532B18"/>
    <w:rsid w:val="005610BD"/>
    <w:rsid w:val="0056258A"/>
    <w:rsid w:val="0057012D"/>
    <w:rsid w:val="00571D6A"/>
    <w:rsid w:val="0058738D"/>
    <w:rsid w:val="00592462"/>
    <w:rsid w:val="00592B14"/>
    <w:rsid w:val="00596832"/>
    <w:rsid w:val="005A46CE"/>
    <w:rsid w:val="005C3BA5"/>
    <w:rsid w:val="005F19E9"/>
    <w:rsid w:val="00600CFD"/>
    <w:rsid w:val="00601F2D"/>
    <w:rsid w:val="00635FF3"/>
    <w:rsid w:val="00637CB9"/>
    <w:rsid w:val="006443EC"/>
    <w:rsid w:val="006557DC"/>
    <w:rsid w:val="00657B52"/>
    <w:rsid w:val="0067102D"/>
    <w:rsid w:val="00685489"/>
    <w:rsid w:val="0068770F"/>
    <w:rsid w:val="0069436D"/>
    <w:rsid w:val="006B3A10"/>
    <w:rsid w:val="006D1053"/>
    <w:rsid w:val="006E6275"/>
    <w:rsid w:val="00707104"/>
    <w:rsid w:val="007139CE"/>
    <w:rsid w:val="007257B5"/>
    <w:rsid w:val="007651A4"/>
    <w:rsid w:val="007862CF"/>
    <w:rsid w:val="00793BD0"/>
    <w:rsid w:val="007B6E29"/>
    <w:rsid w:val="007D3185"/>
    <w:rsid w:val="007F4CAD"/>
    <w:rsid w:val="008058FD"/>
    <w:rsid w:val="00812B2E"/>
    <w:rsid w:val="0082749D"/>
    <w:rsid w:val="00834CD2"/>
    <w:rsid w:val="00875007"/>
    <w:rsid w:val="0088350D"/>
    <w:rsid w:val="0088505B"/>
    <w:rsid w:val="0089324F"/>
    <w:rsid w:val="009229BB"/>
    <w:rsid w:val="00923C8D"/>
    <w:rsid w:val="00931A86"/>
    <w:rsid w:val="009419F0"/>
    <w:rsid w:val="00947631"/>
    <w:rsid w:val="0097289D"/>
    <w:rsid w:val="009744C3"/>
    <w:rsid w:val="0097480E"/>
    <w:rsid w:val="00975591"/>
    <w:rsid w:val="00984DF0"/>
    <w:rsid w:val="0099377F"/>
    <w:rsid w:val="009A3728"/>
    <w:rsid w:val="009A3EBE"/>
    <w:rsid w:val="009A4526"/>
    <w:rsid w:val="009A6479"/>
    <w:rsid w:val="009C6A17"/>
    <w:rsid w:val="009D070C"/>
    <w:rsid w:val="009D6F82"/>
    <w:rsid w:val="009F3C8C"/>
    <w:rsid w:val="00A00453"/>
    <w:rsid w:val="00A031C1"/>
    <w:rsid w:val="00A12BB9"/>
    <w:rsid w:val="00A30B01"/>
    <w:rsid w:val="00A509F3"/>
    <w:rsid w:val="00A52E97"/>
    <w:rsid w:val="00A55AAE"/>
    <w:rsid w:val="00A55AB4"/>
    <w:rsid w:val="00A61F9B"/>
    <w:rsid w:val="00A6271C"/>
    <w:rsid w:val="00A71026"/>
    <w:rsid w:val="00A820F9"/>
    <w:rsid w:val="00AB01D8"/>
    <w:rsid w:val="00AE087E"/>
    <w:rsid w:val="00AE1F72"/>
    <w:rsid w:val="00AE6B2A"/>
    <w:rsid w:val="00AE71B7"/>
    <w:rsid w:val="00B12A59"/>
    <w:rsid w:val="00B14875"/>
    <w:rsid w:val="00B26F6E"/>
    <w:rsid w:val="00B33B46"/>
    <w:rsid w:val="00B36421"/>
    <w:rsid w:val="00B4203D"/>
    <w:rsid w:val="00B6421F"/>
    <w:rsid w:val="00B8113D"/>
    <w:rsid w:val="00BA7568"/>
    <w:rsid w:val="00BC0DB8"/>
    <w:rsid w:val="00BC2144"/>
    <w:rsid w:val="00BE4BEC"/>
    <w:rsid w:val="00BE6652"/>
    <w:rsid w:val="00C110FD"/>
    <w:rsid w:val="00C11931"/>
    <w:rsid w:val="00C147E3"/>
    <w:rsid w:val="00C17B35"/>
    <w:rsid w:val="00C20878"/>
    <w:rsid w:val="00C21D13"/>
    <w:rsid w:val="00C3736A"/>
    <w:rsid w:val="00C412D4"/>
    <w:rsid w:val="00C54007"/>
    <w:rsid w:val="00C5664F"/>
    <w:rsid w:val="00C65128"/>
    <w:rsid w:val="00C77B54"/>
    <w:rsid w:val="00C8473A"/>
    <w:rsid w:val="00C92FA7"/>
    <w:rsid w:val="00CC6B88"/>
    <w:rsid w:val="00CE3B31"/>
    <w:rsid w:val="00CE7889"/>
    <w:rsid w:val="00D01212"/>
    <w:rsid w:val="00D16971"/>
    <w:rsid w:val="00D17DB0"/>
    <w:rsid w:val="00D22E81"/>
    <w:rsid w:val="00D26223"/>
    <w:rsid w:val="00D363F1"/>
    <w:rsid w:val="00D37649"/>
    <w:rsid w:val="00D415EF"/>
    <w:rsid w:val="00D41978"/>
    <w:rsid w:val="00D52E7D"/>
    <w:rsid w:val="00D8342E"/>
    <w:rsid w:val="00D93E11"/>
    <w:rsid w:val="00DA1474"/>
    <w:rsid w:val="00DB48DC"/>
    <w:rsid w:val="00DC2946"/>
    <w:rsid w:val="00DC4F7C"/>
    <w:rsid w:val="00DD5A41"/>
    <w:rsid w:val="00DE0FDD"/>
    <w:rsid w:val="00E13B28"/>
    <w:rsid w:val="00E20F93"/>
    <w:rsid w:val="00E21202"/>
    <w:rsid w:val="00E31C88"/>
    <w:rsid w:val="00E45F8D"/>
    <w:rsid w:val="00E50CAF"/>
    <w:rsid w:val="00E6598B"/>
    <w:rsid w:val="00E77060"/>
    <w:rsid w:val="00E80C14"/>
    <w:rsid w:val="00E926A9"/>
    <w:rsid w:val="00ED42A4"/>
    <w:rsid w:val="00EF6801"/>
    <w:rsid w:val="00EF6AB9"/>
    <w:rsid w:val="00F056FA"/>
    <w:rsid w:val="00F2704A"/>
    <w:rsid w:val="00F34755"/>
    <w:rsid w:val="00F65DC3"/>
    <w:rsid w:val="00F66EA8"/>
    <w:rsid w:val="00F70E29"/>
    <w:rsid w:val="00F87481"/>
    <w:rsid w:val="00F94CE8"/>
    <w:rsid w:val="00F96E2C"/>
    <w:rsid w:val="00FA495C"/>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7120</Characters>
  <Application>Microsoft Office Word</Application>
  <DocSecurity>0</DocSecurity>
  <Lines>7120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2022-07-20T16:11:00Z</dcterms:created>
  <dcterms:modified xsi:type="dcterms:W3CDTF">2022-07-20T16:11:00Z</dcterms:modified>
</cp:coreProperties>
</file>