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9F06" w14:textId="4F8010D3" w:rsidR="00F94CE8" w:rsidRPr="00E57260" w:rsidRDefault="009C46AD" w:rsidP="00F94CE8">
      <w:pPr>
        <w:pStyle w:val="NoSpacing"/>
        <w:rPr>
          <w:sz w:val="20"/>
          <w:szCs w:val="20"/>
        </w:rPr>
      </w:pPr>
      <w:r w:rsidRPr="00E57260">
        <w:rPr>
          <w:b/>
          <w:color w:val="FF0000"/>
          <w:sz w:val="20"/>
          <w:szCs w:val="20"/>
        </w:rPr>
        <w:t>Specialty Healthcare Services</w:t>
      </w:r>
      <w:r w:rsidR="002E673D" w:rsidRPr="00E57260">
        <w:rPr>
          <w:b/>
          <w:color w:val="FF0000"/>
          <w:sz w:val="20"/>
          <w:szCs w:val="20"/>
        </w:rPr>
        <w:t xml:space="preserve"> 2018</w:t>
      </w:r>
      <w:r w:rsidR="00C90F90" w:rsidRPr="00E57260">
        <w:rPr>
          <w:b/>
          <w:color w:val="FF0000"/>
          <w:sz w:val="20"/>
          <w:szCs w:val="20"/>
        </w:rPr>
        <w:t xml:space="preserve">: </w:t>
      </w:r>
      <w:r w:rsidRPr="00E57260">
        <w:rPr>
          <w:b/>
          <w:color w:val="FF0000"/>
          <w:sz w:val="20"/>
          <w:szCs w:val="20"/>
        </w:rPr>
        <w:t>Physical Therapists, Home Health Care and Home Medical Equipment</w:t>
      </w:r>
    </w:p>
    <w:p w14:paraId="10AE1BB9" w14:textId="77777777" w:rsidR="004509C0" w:rsidRPr="00E57260" w:rsidRDefault="004509C0" w:rsidP="004509C0">
      <w:pPr>
        <w:tabs>
          <w:tab w:val="left" w:pos="660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026A511E" w14:textId="190D3E6B" w:rsidR="004509C0" w:rsidRPr="00E57260" w:rsidRDefault="004509C0" w:rsidP="004509C0">
      <w:pPr>
        <w:spacing w:after="0" w:line="240" w:lineRule="auto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  <w:r w:rsidRPr="00E57260">
        <w:rPr>
          <w:rFonts w:ascii="Verdana" w:hAnsi="Verdana"/>
          <w:b/>
          <w:color w:val="3366FF"/>
          <w:sz w:val="20"/>
          <w:szCs w:val="20"/>
        </w:rPr>
        <w:t>Physical Therapy Industry Strong and Steady</w:t>
      </w:r>
    </w:p>
    <w:p w14:paraId="43B69542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4E88E902" w14:textId="4792417C" w:rsidR="004509C0" w:rsidRPr="00E57260" w:rsidRDefault="00EE0202" w:rsidP="004509C0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57260">
        <w:rPr>
          <w:sz w:val="20"/>
          <w:szCs w:val="20"/>
        </w:rPr>
        <w:t>Physical therapy is a $35-billion-a-</w:t>
      </w:r>
      <w:r w:rsidR="004509C0" w:rsidRPr="00E57260">
        <w:rPr>
          <w:sz w:val="20"/>
          <w:szCs w:val="20"/>
        </w:rPr>
        <w:t>yea</w:t>
      </w:r>
      <w:r w:rsidRPr="00E57260">
        <w:rPr>
          <w:sz w:val="20"/>
          <w:szCs w:val="20"/>
        </w:rPr>
        <w:t>r industry that has been increasing</w:t>
      </w:r>
      <w:r w:rsidR="004509C0" w:rsidRPr="00E57260">
        <w:rPr>
          <w:sz w:val="20"/>
          <w:szCs w:val="20"/>
        </w:rPr>
        <w:t xml:space="preserve"> at an annual r</w:t>
      </w:r>
      <w:r w:rsidR="00D41246" w:rsidRPr="00E57260">
        <w:rPr>
          <w:sz w:val="20"/>
          <w:szCs w:val="20"/>
        </w:rPr>
        <w:t>a</w:t>
      </w:r>
      <w:r w:rsidR="004509C0" w:rsidRPr="00E57260">
        <w:rPr>
          <w:sz w:val="20"/>
          <w:szCs w:val="20"/>
        </w:rPr>
        <w:t>te of 3.9% from 2013 through 2018. There are approximately 122,309 businesses.</w:t>
      </w:r>
    </w:p>
    <w:p w14:paraId="755FCF02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7958565" w14:textId="1FF9DF35" w:rsidR="004509C0" w:rsidRPr="00E57260" w:rsidRDefault="004509C0" w:rsidP="004509C0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57260">
        <w:rPr>
          <w:sz w:val="20"/>
          <w:szCs w:val="20"/>
        </w:rPr>
        <w:t>The industry</w:t>
      </w:r>
      <w:r w:rsidR="00EE0202" w:rsidRPr="00E57260">
        <w:rPr>
          <w:sz w:val="20"/>
          <w:szCs w:val="20"/>
        </w:rPr>
        <w:t xml:space="preserve"> is expected to continue </w:t>
      </w:r>
      <w:r w:rsidR="00E7764C">
        <w:rPr>
          <w:sz w:val="20"/>
          <w:szCs w:val="20"/>
        </w:rPr>
        <w:t>expand</w:t>
      </w:r>
      <w:r w:rsidR="00EE0202" w:rsidRPr="00E57260">
        <w:rPr>
          <w:sz w:val="20"/>
          <w:szCs w:val="20"/>
        </w:rPr>
        <w:t>ing</w:t>
      </w:r>
      <w:r w:rsidRPr="00E57260">
        <w:rPr>
          <w:sz w:val="20"/>
          <w:szCs w:val="20"/>
        </w:rPr>
        <w:t xml:space="preserve">, as the number of Americans age 50 and older increases and more </w:t>
      </w:r>
      <w:r w:rsidR="00EE0202" w:rsidRPr="00E57260">
        <w:rPr>
          <w:sz w:val="20"/>
          <w:szCs w:val="20"/>
        </w:rPr>
        <w:t xml:space="preserve">of them </w:t>
      </w:r>
      <w:r w:rsidRPr="00E57260">
        <w:rPr>
          <w:sz w:val="20"/>
          <w:szCs w:val="20"/>
        </w:rPr>
        <w:t xml:space="preserve">need help to recover from injuries and physical limitations, relieve pain and improve mobility. </w:t>
      </w:r>
    </w:p>
    <w:p w14:paraId="3E2B75B1" w14:textId="77777777" w:rsidR="004509C0" w:rsidRPr="00E57260" w:rsidRDefault="004509C0" w:rsidP="004509C0">
      <w:pPr>
        <w:spacing w:after="0" w:line="240" w:lineRule="auto"/>
        <w:contextualSpacing/>
        <w:rPr>
          <w:sz w:val="20"/>
          <w:szCs w:val="20"/>
        </w:rPr>
      </w:pPr>
    </w:p>
    <w:p w14:paraId="01FA69ED" w14:textId="09335AD8" w:rsidR="004509C0" w:rsidRPr="00E57260" w:rsidRDefault="004509C0" w:rsidP="004509C0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sz w:val="20"/>
          <w:szCs w:val="20"/>
        </w:rPr>
        <w:t xml:space="preserve">While </w:t>
      </w:r>
      <w:r w:rsidR="00EE0202" w:rsidRPr="00E57260">
        <w:rPr>
          <w:sz w:val="20"/>
          <w:szCs w:val="20"/>
        </w:rPr>
        <w:t xml:space="preserve">the businesses of </w:t>
      </w:r>
      <w:r w:rsidRPr="00E57260">
        <w:rPr>
          <w:sz w:val="20"/>
          <w:szCs w:val="20"/>
        </w:rPr>
        <w:t xml:space="preserve">physical therapists </w:t>
      </w:r>
      <w:r w:rsidR="00EE0202" w:rsidRPr="00E57260">
        <w:rPr>
          <w:sz w:val="20"/>
          <w:szCs w:val="20"/>
        </w:rPr>
        <w:t>focusing on the elderly have increased the most, they have also benefited from more</w:t>
      </w:r>
      <w:r w:rsidRPr="00E57260">
        <w:rPr>
          <w:sz w:val="20"/>
          <w:szCs w:val="20"/>
        </w:rPr>
        <w:t xml:space="preserve"> people with ACA</w:t>
      </w:r>
      <w:r w:rsidR="00EE0202" w:rsidRPr="00E57260">
        <w:rPr>
          <w:sz w:val="20"/>
          <w:szCs w:val="20"/>
        </w:rPr>
        <w:t xml:space="preserve"> health insurance coverage, </w:t>
      </w:r>
      <w:r w:rsidRPr="00E57260">
        <w:rPr>
          <w:sz w:val="20"/>
          <w:szCs w:val="20"/>
        </w:rPr>
        <w:t>Medicaid</w:t>
      </w:r>
      <w:r w:rsidR="00D41246" w:rsidRPr="00E57260">
        <w:rPr>
          <w:sz w:val="20"/>
          <w:szCs w:val="20"/>
        </w:rPr>
        <w:t xml:space="preserve"> </w:t>
      </w:r>
      <w:r w:rsidR="00EE0202" w:rsidRPr="00E57260">
        <w:rPr>
          <w:sz w:val="20"/>
          <w:szCs w:val="20"/>
        </w:rPr>
        <w:t xml:space="preserve">expansion </w:t>
      </w:r>
      <w:r w:rsidR="00D41246" w:rsidRPr="00E57260">
        <w:rPr>
          <w:sz w:val="20"/>
          <w:szCs w:val="20"/>
        </w:rPr>
        <w:t>and more people exercising</w:t>
      </w:r>
      <w:r w:rsidR="00EE0202" w:rsidRPr="00E57260">
        <w:rPr>
          <w:sz w:val="20"/>
          <w:szCs w:val="20"/>
        </w:rPr>
        <w:t>.</w:t>
      </w:r>
    </w:p>
    <w:p w14:paraId="40B5E9BF" w14:textId="77777777" w:rsidR="004509C0" w:rsidRPr="00E57260" w:rsidRDefault="004509C0" w:rsidP="004509C0">
      <w:pPr>
        <w:pStyle w:val="Heading2"/>
        <w:rPr>
          <w:color w:val="auto"/>
          <w:szCs w:val="20"/>
        </w:rPr>
      </w:pPr>
    </w:p>
    <w:p w14:paraId="7EBE55D4" w14:textId="2C86664F" w:rsidR="004509C0" w:rsidRPr="00E57260" w:rsidRDefault="004509C0" w:rsidP="004509C0">
      <w:pPr>
        <w:pStyle w:val="Heading2"/>
        <w:rPr>
          <w:color w:val="auto"/>
          <w:szCs w:val="20"/>
        </w:rPr>
      </w:pPr>
      <w:r w:rsidRPr="00E57260">
        <w:rPr>
          <w:color w:val="auto"/>
          <w:szCs w:val="20"/>
        </w:rPr>
        <w:t xml:space="preserve">Physical Therapy Industry </w:t>
      </w:r>
      <w:r w:rsidR="00D41246" w:rsidRPr="00E57260">
        <w:rPr>
          <w:color w:val="auto"/>
          <w:szCs w:val="20"/>
        </w:rPr>
        <w:t xml:space="preserve">Statistics, </w:t>
      </w:r>
      <w:r w:rsidRPr="00E57260">
        <w:rPr>
          <w:color w:val="auto"/>
          <w:szCs w:val="20"/>
        </w:rPr>
        <w:t>2018</w:t>
      </w:r>
    </w:p>
    <w:tbl>
      <w:tblPr>
        <w:tblW w:w="744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2700"/>
      </w:tblGrid>
      <w:tr w:rsidR="00D41246" w:rsidRPr="00E57260" w14:paraId="14020865" w14:textId="77777777" w:rsidTr="00EE0202">
        <w:trPr>
          <w:trHeight w:val="285"/>
          <w:jc w:val="center"/>
        </w:trPr>
        <w:tc>
          <w:tcPr>
            <w:tcW w:w="47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EF90B7" w14:textId="64475A3C" w:rsidR="004509C0" w:rsidRPr="00E57260" w:rsidRDefault="00D41246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Metric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8FA037" w14:textId="44FC4442" w:rsidR="004509C0" w:rsidRPr="00E57260" w:rsidRDefault="00D41246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Statistic</w:t>
            </w:r>
          </w:p>
        </w:tc>
      </w:tr>
      <w:tr w:rsidR="00D41246" w:rsidRPr="00E57260" w14:paraId="2838125A" w14:textId="77777777" w:rsidTr="00EE020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D08B6D3" w14:textId="5CE3FAEA" w:rsidR="004509C0" w:rsidRPr="00E57260" w:rsidRDefault="00D41246" w:rsidP="00D630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Job outlook</w:t>
            </w:r>
            <w:r w:rsidR="00EE0202" w:rsidRPr="00E57260">
              <w:rPr>
                <w:rFonts w:ascii="Verdana" w:eastAsia="Times New Roman" w:hAnsi="Verdana"/>
                <w:sz w:val="20"/>
                <w:szCs w:val="20"/>
              </w:rPr>
              <w:t xml:space="preserve"> for </w:t>
            </w:r>
            <w:r w:rsidR="00D63059" w:rsidRPr="00E57260">
              <w:rPr>
                <w:rFonts w:ascii="Verdana" w:eastAsia="Times New Roman" w:hAnsi="Verdana"/>
                <w:sz w:val="20"/>
                <w:szCs w:val="20"/>
              </w:rPr>
              <w:t>physical therapists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5A95F8" w14:textId="2FFE3D60" w:rsidR="004509C0" w:rsidRPr="00E57260" w:rsidRDefault="00D41246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+28%</w:t>
            </w:r>
          </w:p>
        </w:tc>
      </w:tr>
      <w:tr w:rsidR="00D41246" w:rsidRPr="00E57260" w14:paraId="6F2FF9FB" w14:textId="77777777" w:rsidTr="00EE020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A24D693" w14:textId="311DD008" w:rsidR="004509C0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Job outlook </w:t>
            </w:r>
            <w:r w:rsidR="00EE0202" w:rsidRPr="00E57260">
              <w:rPr>
                <w:rFonts w:ascii="Verdana" w:eastAsia="Times New Roman" w:hAnsi="Verdana"/>
                <w:sz w:val="20"/>
                <w:szCs w:val="20"/>
              </w:rPr>
              <w:t xml:space="preserve">for 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physical therapist assistants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486AA4" w14:textId="1302ED70" w:rsidR="004509C0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+34%</w:t>
            </w:r>
          </w:p>
        </w:tc>
      </w:tr>
      <w:tr w:rsidR="00D63059" w:rsidRPr="00E57260" w14:paraId="1F648D27" w14:textId="77777777" w:rsidTr="00EE020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E95FB4F" w14:textId="5CC70843" w:rsidR="00D63059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Average wage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D6D98A" w14:textId="5A94D638" w:rsidR="00D63059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$87,200</w:t>
            </w:r>
          </w:p>
        </w:tc>
      </w:tr>
      <w:tr w:rsidR="00D63059" w:rsidRPr="00E57260" w14:paraId="4E3ADAC6" w14:textId="77777777" w:rsidTr="00EE020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4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87DB1F" w14:textId="24DE65A4" w:rsidR="00D63059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States with </w:t>
            </w:r>
            <w:r w:rsidR="00EE0202" w:rsidRPr="00E57260">
              <w:rPr>
                <w:rFonts w:ascii="Verdana" w:eastAsia="Times New Roman" w:hAnsi="Verdana"/>
                <w:sz w:val="20"/>
                <w:szCs w:val="20"/>
              </w:rPr>
              <w:t xml:space="preserve">the 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most physical therapy jobs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E18D1" w14:textId="44944057" w:rsidR="00D63059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CA, NY, TX, FL</w:t>
            </w:r>
          </w:p>
        </w:tc>
      </w:tr>
      <w:tr w:rsidR="00D63059" w:rsidRPr="00E57260" w14:paraId="3E0B3619" w14:textId="77777777" w:rsidTr="00EE020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E7B765" w14:textId="067523AC" w:rsidR="00D63059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Number of physical therapists in 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372E2" w14:textId="56E63DB2" w:rsidR="00D63059" w:rsidRPr="00E57260" w:rsidRDefault="00D63059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Approximately 200,000</w:t>
            </w:r>
          </w:p>
        </w:tc>
      </w:tr>
    </w:tbl>
    <w:p w14:paraId="4F27296F" w14:textId="01877867" w:rsidR="004509C0" w:rsidRPr="00E57260" w:rsidRDefault="004509C0" w:rsidP="00EE0202">
      <w:pPr>
        <w:tabs>
          <w:tab w:val="left" w:pos="990"/>
        </w:tabs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16"/>
          <w:szCs w:val="16"/>
        </w:rPr>
        <w:tab/>
      </w:r>
      <w:r w:rsidR="00D63059" w:rsidRPr="00E57260">
        <w:rPr>
          <w:rFonts w:ascii="Verdana" w:hAnsi="Verdana"/>
          <w:sz w:val="16"/>
          <w:szCs w:val="16"/>
        </w:rPr>
        <w:t>Host Healthcare, CNBC, March 2018</w:t>
      </w:r>
    </w:p>
    <w:p w14:paraId="2C6D64B0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BBC73D9" w14:textId="0F781839" w:rsidR="004509C0" w:rsidRPr="00E57260" w:rsidRDefault="00E46563" w:rsidP="004509C0">
      <w:pPr>
        <w:spacing w:after="0" w:line="240" w:lineRule="auto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  <w:r w:rsidRPr="00E57260">
        <w:rPr>
          <w:rFonts w:ascii="Verdana" w:hAnsi="Verdana"/>
          <w:b/>
          <w:color w:val="3366FF"/>
          <w:sz w:val="20"/>
          <w:szCs w:val="20"/>
        </w:rPr>
        <w:t>PT Profile</w:t>
      </w:r>
    </w:p>
    <w:p w14:paraId="07B549B7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0D9AAF3" w14:textId="5819978E" w:rsidR="004509C0" w:rsidRPr="00E57260" w:rsidRDefault="00E46563" w:rsidP="004509C0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57260">
        <w:rPr>
          <w:sz w:val="20"/>
          <w:szCs w:val="20"/>
        </w:rPr>
        <w:t>According to the American Physical Therapist Association (APTA)</w:t>
      </w:r>
      <w:r w:rsidR="00EE0202" w:rsidRPr="00E57260">
        <w:rPr>
          <w:sz w:val="20"/>
          <w:szCs w:val="20"/>
        </w:rPr>
        <w:t xml:space="preserve"> and based on 2017 data</w:t>
      </w:r>
      <w:r w:rsidRPr="00E57260">
        <w:rPr>
          <w:sz w:val="20"/>
          <w:szCs w:val="20"/>
        </w:rPr>
        <w:t xml:space="preserve">, 69.4% of member physical therapists were </w:t>
      </w:r>
      <w:r w:rsidR="00EE0202" w:rsidRPr="00E57260">
        <w:rPr>
          <w:sz w:val="20"/>
          <w:szCs w:val="20"/>
        </w:rPr>
        <w:t xml:space="preserve">female and 88.5% were Caucasian </w:t>
      </w:r>
      <w:r w:rsidRPr="00E57260">
        <w:rPr>
          <w:sz w:val="20"/>
          <w:szCs w:val="20"/>
        </w:rPr>
        <w:t>American. The</w:t>
      </w:r>
      <w:r w:rsidR="00F24A40" w:rsidRPr="00E57260">
        <w:rPr>
          <w:sz w:val="20"/>
          <w:szCs w:val="20"/>
        </w:rPr>
        <w:t>ir</w:t>
      </w:r>
      <w:r w:rsidRPr="00E57260">
        <w:rPr>
          <w:sz w:val="20"/>
          <w:szCs w:val="20"/>
        </w:rPr>
        <w:t xml:space="preserve"> average age was 44.1</w:t>
      </w:r>
      <w:r w:rsidR="00EE0202" w:rsidRPr="00E57260">
        <w:rPr>
          <w:sz w:val="20"/>
          <w:szCs w:val="20"/>
        </w:rPr>
        <w:t>,</w:t>
      </w:r>
      <w:r w:rsidRPr="00E57260">
        <w:rPr>
          <w:sz w:val="20"/>
          <w:szCs w:val="20"/>
        </w:rPr>
        <w:t xml:space="preserve"> </w:t>
      </w:r>
      <w:r w:rsidR="00F24A40" w:rsidRPr="00E57260">
        <w:rPr>
          <w:sz w:val="20"/>
          <w:szCs w:val="20"/>
        </w:rPr>
        <w:t>with</w:t>
      </w:r>
      <w:r w:rsidRPr="00E57260">
        <w:rPr>
          <w:sz w:val="20"/>
          <w:szCs w:val="20"/>
        </w:rPr>
        <w:t xml:space="preserve"> 18.4 years in the profession.</w:t>
      </w:r>
    </w:p>
    <w:p w14:paraId="7F788068" w14:textId="7EF79088" w:rsidR="004509C0" w:rsidRPr="00E57260" w:rsidRDefault="004509C0" w:rsidP="00E46563">
      <w:pPr>
        <w:spacing w:after="0" w:line="240" w:lineRule="auto"/>
        <w:rPr>
          <w:sz w:val="20"/>
          <w:szCs w:val="20"/>
        </w:rPr>
      </w:pPr>
    </w:p>
    <w:p w14:paraId="4CE32066" w14:textId="2C4D0D48" w:rsidR="004509C0" w:rsidRPr="00E57260" w:rsidRDefault="00EE0202" w:rsidP="00F24A40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sz w:val="20"/>
          <w:szCs w:val="20"/>
        </w:rPr>
      </w:pPr>
      <w:r w:rsidRPr="00E57260">
        <w:rPr>
          <w:sz w:val="20"/>
          <w:szCs w:val="20"/>
        </w:rPr>
        <w:t>The physical therapy industry is positioning itself as an opportunity for patients to receive pain relief without r</w:t>
      </w:r>
      <w:r w:rsidR="00F24A40" w:rsidRPr="00E57260">
        <w:rPr>
          <w:sz w:val="20"/>
          <w:szCs w:val="20"/>
        </w:rPr>
        <w:t>esort</w:t>
      </w:r>
      <w:r w:rsidRPr="00E57260">
        <w:rPr>
          <w:sz w:val="20"/>
          <w:szCs w:val="20"/>
        </w:rPr>
        <w:t>ing</w:t>
      </w:r>
      <w:r w:rsidR="00F24A40" w:rsidRPr="00E57260">
        <w:rPr>
          <w:sz w:val="20"/>
          <w:szCs w:val="20"/>
        </w:rPr>
        <w:t xml:space="preserve"> to opioid prescr</w:t>
      </w:r>
      <w:r w:rsidRPr="00E57260">
        <w:rPr>
          <w:sz w:val="20"/>
          <w:szCs w:val="20"/>
        </w:rPr>
        <w:t>iption drugs. As awareness increases and opioid use declines, PTs may obtain more patients</w:t>
      </w:r>
      <w:r w:rsidR="00F24A40" w:rsidRPr="00E57260">
        <w:rPr>
          <w:sz w:val="20"/>
          <w:szCs w:val="20"/>
        </w:rPr>
        <w:t xml:space="preserve">. </w:t>
      </w:r>
    </w:p>
    <w:p w14:paraId="6DD0348A" w14:textId="77777777" w:rsidR="00402B4F" w:rsidRPr="00E57260" w:rsidRDefault="00402B4F" w:rsidP="00402B4F">
      <w:pPr>
        <w:spacing w:after="0" w:line="240" w:lineRule="auto"/>
        <w:ind w:right="-90"/>
        <w:rPr>
          <w:sz w:val="20"/>
          <w:szCs w:val="20"/>
        </w:rPr>
      </w:pPr>
    </w:p>
    <w:p w14:paraId="76F69C1E" w14:textId="1B21F12D" w:rsidR="00402B4F" w:rsidRPr="00E57260" w:rsidRDefault="00402B4F" w:rsidP="00F24A40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sz w:val="20"/>
          <w:szCs w:val="20"/>
        </w:rPr>
      </w:pPr>
      <w:r w:rsidRPr="00E57260">
        <w:rPr>
          <w:sz w:val="20"/>
          <w:szCs w:val="20"/>
        </w:rPr>
        <w:t>On average, it costs $59,504 for a professional physical therapy program a</w:t>
      </w:r>
      <w:r w:rsidR="00EE0202" w:rsidRPr="00E57260">
        <w:rPr>
          <w:sz w:val="20"/>
          <w:szCs w:val="20"/>
        </w:rPr>
        <w:t>t a public, in-state university;</w:t>
      </w:r>
      <w:r w:rsidRPr="00E57260">
        <w:rPr>
          <w:sz w:val="20"/>
          <w:szCs w:val="20"/>
        </w:rPr>
        <w:t xml:space="preserve"> $105,621 at a public </w:t>
      </w:r>
      <w:r w:rsidR="00EE0202" w:rsidRPr="00E57260">
        <w:rPr>
          <w:sz w:val="20"/>
          <w:szCs w:val="20"/>
        </w:rPr>
        <w:t xml:space="preserve">out-of-state </w:t>
      </w:r>
      <w:r w:rsidRPr="00E57260">
        <w:rPr>
          <w:sz w:val="20"/>
          <w:szCs w:val="20"/>
        </w:rPr>
        <w:t>university</w:t>
      </w:r>
      <w:r w:rsidR="00EE0202" w:rsidRPr="00E57260">
        <w:rPr>
          <w:sz w:val="20"/>
          <w:szCs w:val="20"/>
        </w:rPr>
        <w:t>;</w:t>
      </w:r>
      <w:r w:rsidRPr="00E57260">
        <w:rPr>
          <w:sz w:val="20"/>
          <w:szCs w:val="20"/>
        </w:rPr>
        <w:t xml:space="preserve"> and $109,099 at a private university. </w:t>
      </w:r>
      <w:r w:rsidR="00EE0202" w:rsidRPr="00E57260">
        <w:rPr>
          <w:sz w:val="20"/>
          <w:szCs w:val="20"/>
        </w:rPr>
        <w:t>Almost 100% (99% for 2017) of g</w:t>
      </w:r>
      <w:r w:rsidRPr="00E57260">
        <w:rPr>
          <w:sz w:val="20"/>
          <w:szCs w:val="20"/>
        </w:rPr>
        <w:t>raduating</w:t>
      </w:r>
      <w:r w:rsidR="00EE0202" w:rsidRPr="00E57260">
        <w:rPr>
          <w:sz w:val="20"/>
          <w:szCs w:val="20"/>
        </w:rPr>
        <w:t xml:space="preserve"> PTs are employed</w:t>
      </w:r>
      <w:r w:rsidRPr="00E57260">
        <w:rPr>
          <w:sz w:val="20"/>
          <w:szCs w:val="20"/>
        </w:rPr>
        <w:t xml:space="preserve">. </w:t>
      </w:r>
    </w:p>
    <w:p w14:paraId="405EC465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002E1E99" w14:textId="77777777" w:rsidR="00EE0202" w:rsidRPr="00E57260" w:rsidRDefault="00161104" w:rsidP="004509C0">
      <w:pPr>
        <w:pStyle w:val="Heading2"/>
        <w:rPr>
          <w:color w:val="auto"/>
          <w:szCs w:val="20"/>
        </w:rPr>
      </w:pPr>
      <w:r w:rsidRPr="00E57260">
        <w:rPr>
          <w:color w:val="auto"/>
          <w:szCs w:val="20"/>
        </w:rPr>
        <w:t xml:space="preserve">Students Enrolled in Physical Therapy </w:t>
      </w:r>
      <w:r w:rsidR="00602FA4" w:rsidRPr="00E57260">
        <w:rPr>
          <w:color w:val="auto"/>
          <w:szCs w:val="20"/>
        </w:rPr>
        <w:t xml:space="preserve">Education </w:t>
      </w:r>
    </w:p>
    <w:p w14:paraId="0EA11A48" w14:textId="4FD44FA4" w:rsidR="004509C0" w:rsidRPr="00E57260" w:rsidRDefault="00161104" w:rsidP="004509C0">
      <w:pPr>
        <w:pStyle w:val="Heading2"/>
        <w:rPr>
          <w:color w:val="auto"/>
          <w:szCs w:val="20"/>
        </w:rPr>
      </w:pPr>
      <w:r w:rsidRPr="00E57260">
        <w:rPr>
          <w:color w:val="auto"/>
          <w:szCs w:val="20"/>
        </w:rPr>
        <w:t>Pr</w:t>
      </w:r>
      <w:r w:rsidR="00EE0202" w:rsidRPr="00E57260">
        <w:rPr>
          <w:color w:val="auto"/>
          <w:szCs w:val="20"/>
        </w:rPr>
        <w:t>ograms, by Race/Ethnicity, 2015–</w:t>
      </w:r>
      <w:r w:rsidRPr="00E57260">
        <w:rPr>
          <w:color w:val="auto"/>
          <w:szCs w:val="20"/>
        </w:rPr>
        <w:t>2018</w:t>
      </w:r>
    </w:p>
    <w:tbl>
      <w:tblPr>
        <w:tblW w:w="7306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54"/>
        <w:gridCol w:w="1254"/>
        <w:gridCol w:w="1254"/>
      </w:tblGrid>
      <w:tr w:rsidR="00161104" w:rsidRPr="00E57260" w14:paraId="19CC620A" w14:textId="77777777" w:rsidTr="00D53A70">
        <w:trPr>
          <w:trHeight w:val="28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9E97D" w14:textId="34270EAE" w:rsidR="00161104" w:rsidRPr="00E57260" w:rsidRDefault="00EE0202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Race/E</w:t>
            </w:r>
            <w:r w:rsidR="00161104" w:rsidRPr="00E57260">
              <w:rPr>
                <w:rFonts w:ascii="Verdana" w:eastAsia="Times New Roman" w:hAnsi="Verdana"/>
                <w:sz w:val="20"/>
                <w:szCs w:val="20"/>
              </w:rPr>
              <w:t>thnicity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5266FDF" w14:textId="56A45AAA" w:rsidR="00161104" w:rsidRPr="00E57260" w:rsidRDefault="00EE0202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2015–</w:t>
            </w:r>
            <w:r w:rsidR="00161104" w:rsidRPr="00E57260">
              <w:rPr>
                <w:rFonts w:ascii="Verdana" w:eastAsia="Times New Roman" w:hAnsi="Verdana"/>
                <w:sz w:val="20"/>
                <w:szCs w:val="20"/>
              </w:rPr>
              <w:t>2016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321A889" w14:textId="07EE63D8" w:rsidR="00161104" w:rsidRPr="00E57260" w:rsidRDefault="00EE0202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2016–</w:t>
            </w:r>
            <w:r w:rsidR="00161104" w:rsidRPr="00E57260">
              <w:rPr>
                <w:rFonts w:ascii="Verdana" w:eastAsia="Times New Roman" w:hAnsi="Verdana"/>
                <w:sz w:val="20"/>
                <w:szCs w:val="20"/>
              </w:rPr>
              <w:t>2017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FF3621" w14:textId="38F4DC40" w:rsidR="00161104" w:rsidRPr="00E57260" w:rsidRDefault="00EE0202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2017–</w:t>
            </w:r>
            <w:r w:rsidR="00161104" w:rsidRPr="00E57260">
              <w:rPr>
                <w:rFonts w:ascii="Verdana" w:eastAsia="Times New Roman" w:hAnsi="Verdana"/>
                <w:sz w:val="20"/>
                <w:szCs w:val="20"/>
              </w:rPr>
              <w:t>2018</w:t>
            </w:r>
          </w:p>
        </w:tc>
      </w:tr>
      <w:tr w:rsidR="00161104" w:rsidRPr="00E57260" w14:paraId="5C9457A7" w14:textId="77777777" w:rsidTr="00D53A7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0D9C923" w14:textId="6900641B" w:rsidR="00161104" w:rsidRPr="00E57260" w:rsidRDefault="00EE0202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African </w:t>
            </w:r>
            <w:r w:rsidR="00161104" w:rsidRPr="00E57260">
              <w:rPr>
                <w:rFonts w:ascii="Verdana" w:eastAsia="Times New Roman" w:hAnsi="Verdana"/>
                <w:sz w:val="20"/>
                <w:szCs w:val="20"/>
              </w:rPr>
              <w:t>American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41204EE" w14:textId="2A064990" w:rsidR="00161104" w:rsidRPr="00E57260" w:rsidRDefault="00161104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3.00%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C84CC60" w14:textId="4A37E81E" w:rsidR="00161104" w:rsidRPr="00E57260" w:rsidRDefault="00161104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3.03%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E0623B3" w14:textId="5DD0B03F" w:rsidR="00161104" w:rsidRPr="00E57260" w:rsidRDefault="00161104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3.26%</w:t>
            </w:r>
          </w:p>
        </w:tc>
      </w:tr>
      <w:tr w:rsidR="00161104" w:rsidRPr="00E57260" w14:paraId="317B8DE3" w14:textId="77777777" w:rsidTr="00D53A7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1F38267" w14:textId="35BA143C" w:rsidR="00161104" w:rsidRPr="00E57260" w:rsidRDefault="00161104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American Indian/Alaskan Native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97ADE61" w14:textId="3281B962" w:rsidR="00161104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0.41%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F630D0" w14:textId="35B1A99D" w:rsidR="00161104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0.52%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5DE7000" w14:textId="7BC4AAAC" w:rsidR="00161104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0.43%</w:t>
            </w:r>
          </w:p>
        </w:tc>
      </w:tr>
      <w:tr w:rsidR="00402B4F" w:rsidRPr="00E57260" w14:paraId="3394CFD3" w14:textId="77777777" w:rsidTr="00D53A7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BFF07CB" w14:textId="4F0D48C8" w:rsidR="00402B4F" w:rsidRPr="00E57260" w:rsidRDefault="00EE0202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Caucasian </w:t>
            </w:r>
            <w:r w:rsidR="00402B4F" w:rsidRPr="00E57260">
              <w:rPr>
                <w:rFonts w:ascii="Verdana" w:eastAsia="Times New Roman" w:hAnsi="Verdana"/>
                <w:sz w:val="20"/>
                <w:szCs w:val="20"/>
              </w:rPr>
              <w:t>American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D863C47" w14:textId="6F2C1E44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77.5%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2805109" w14:textId="0A921C14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77.10%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DAD7C8" w14:textId="224BEB08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75.9%</w:t>
            </w:r>
          </w:p>
        </w:tc>
      </w:tr>
      <w:tr w:rsidR="00402B4F" w:rsidRPr="00E57260" w14:paraId="4B4206DC" w14:textId="77777777" w:rsidTr="00D53A7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5A605" w14:textId="1C8254CE" w:rsidR="00402B4F" w:rsidRPr="00E57260" w:rsidRDefault="00EE0202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Latino </w:t>
            </w:r>
            <w:r w:rsidR="00402B4F" w:rsidRPr="00E57260">
              <w:rPr>
                <w:rFonts w:ascii="Verdana" w:eastAsia="Times New Roman" w:hAnsi="Verdana"/>
                <w:sz w:val="20"/>
                <w:szCs w:val="20"/>
              </w:rPr>
              <w:t>American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FAF0D" w14:textId="55845B7C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4.4%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E4503" w14:textId="51B68C1F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5.75%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EFBE2" w14:textId="632A6690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6.29%</w:t>
            </w:r>
          </w:p>
        </w:tc>
      </w:tr>
      <w:tr w:rsidR="00402B4F" w:rsidRPr="00E57260" w14:paraId="48761849" w14:textId="77777777" w:rsidTr="00D53A7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982997" w14:textId="41D6F970" w:rsidR="00402B4F" w:rsidRPr="00E57260" w:rsidRDefault="00402B4F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Unknown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BF110D" w14:textId="6CAD9254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4.1%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A5BC53" w14:textId="59D38F8F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3.16%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07785" w14:textId="24374248" w:rsidR="00402B4F" w:rsidRPr="00E57260" w:rsidRDefault="00402B4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3.07%</w:t>
            </w:r>
          </w:p>
        </w:tc>
      </w:tr>
    </w:tbl>
    <w:p w14:paraId="773A3472" w14:textId="1841EA98" w:rsidR="004509C0" w:rsidRPr="00E57260" w:rsidRDefault="004509C0" w:rsidP="00EE0202">
      <w:pPr>
        <w:tabs>
          <w:tab w:val="left" w:pos="1080"/>
        </w:tabs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16"/>
          <w:szCs w:val="16"/>
        </w:rPr>
        <w:tab/>
      </w:r>
      <w:r w:rsidR="00611CBB" w:rsidRPr="00E57260">
        <w:rPr>
          <w:rFonts w:ascii="Verdana" w:hAnsi="Verdana"/>
          <w:sz w:val="16"/>
          <w:szCs w:val="16"/>
        </w:rPr>
        <w:t>Commission on Accreditation in Physical Therapy Education</w:t>
      </w:r>
      <w:r w:rsidRPr="00E57260">
        <w:rPr>
          <w:rFonts w:ascii="Verdana" w:hAnsi="Verdana"/>
          <w:sz w:val="16"/>
          <w:szCs w:val="16"/>
        </w:rPr>
        <w:t xml:space="preserve">, </w:t>
      </w:r>
      <w:r w:rsidR="00611CBB" w:rsidRPr="00E57260">
        <w:rPr>
          <w:rFonts w:ascii="Verdana" w:hAnsi="Verdana"/>
          <w:sz w:val="16"/>
          <w:szCs w:val="16"/>
        </w:rPr>
        <w:t>March</w:t>
      </w:r>
      <w:r w:rsidRPr="00E57260">
        <w:rPr>
          <w:rFonts w:ascii="Verdana" w:hAnsi="Verdana"/>
          <w:sz w:val="16"/>
          <w:szCs w:val="16"/>
        </w:rPr>
        <w:t xml:space="preserve"> 201</w:t>
      </w:r>
      <w:r w:rsidR="00611CBB" w:rsidRPr="00E57260">
        <w:rPr>
          <w:rFonts w:ascii="Verdana" w:hAnsi="Verdana"/>
          <w:sz w:val="16"/>
          <w:szCs w:val="16"/>
        </w:rPr>
        <w:t>8</w:t>
      </w:r>
    </w:p>
    <w:p w14:paraId="32694077" w14:textId="552277A4" w:rsidR="004509C0" w:rsidRPr="00E57260" w:rsidRDefault="009A7E5D" w:rsidP="004509C0">
      <w:pPr>
        <w:spacing w:after="0" w:line="240" w:lineRule="auto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  <w:r w:rsidRPr="00E57260">
        <w:rPr>
          <w:rFonts w:ascii="Verdana" w:hAnsi="Verdana"/>
          <w:b/>
          <w:color w:val="3366FF"/>
          <w:sz w:val="20"/>
          <w:szCs w:val="20"/>
        </w:rPr>
        <w:lastRenderedPageBreak/>
        <w:t>Bringing Care Home</w:t>
      </w:r>
    </w:p>
    <w:p w14:paraId="0ADAEBC7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0B93DCE8" w14:textId="3F306006" w:rsidR="004509C0" w:rsidRPr="00E57260" w:rsidRDefault="007B76F8" w:rsidP="004509C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T</w:t>
      </w:r>
      <w:r w:rsidR="00EE0202" w:rsidRPr="00E57260">
        <w:rPr>
          <w:rFonts w:ascii="Verdana" w:hAnsi="Verdana"/>
          <w:sz w:val="20"/>
          <w:szCs w:val="20"/>
        </w:rPr>
        <w:t>he US home healthcare market generated</w:t>
      </w:r>
      <w:r w:rsidRPr="00E57260">
        <w:rPr>
          <w:rFonts w:ascii="Verdana" w:hAnsi="Verdana"/>
          <w:sz w:val="20"/>
          <w:szCs w:val="20"/>
        </w:rPr>
        <w:t xml:space="preserve"> </w:t>
      </w:r>
      <w:r w:rsidR="00EE0202" w:rsidRPr="00E57260">
        <w:rPr>
          <w:rFonts w:ascii="Verdana" w:hAnsi="Verdana"/>
          <w:sz w:val="20"/>
          <w:szCs w:val="20"/>
        </w:rPr>
        <w:t xml:space="preserve">2017 </w:t>
      </w:r>
      <w:r w:rsidRPr="00E57260">
        <w:rPr>
          <w:rFonts w:ascii="Verdana" w:hAnsi="Verdana"/>
          <w:sz w:val="20"/>
          <w:szCs w:val="20"/>
        </w:rPr>
        <w:t>revenues of appr</w:t>
      </w:r>
      <w:r w:rsidR="00EE0202" w:rsidRPr="00E57260">
        <w:rPr>
          <w:rFonts w:ascii="Verdana" w:hAnsi="Verdana"/>
          <w:sz w:val="20"/>
          <w:szCs w:val="20"/>
        </w:rPr>
        <w:t>oximately $91.8 billion</w:t>
      </w:r>
      <w:r w:rsidR="00541C7F" w:rsidRPr="00E57260">
        <w:rPr>
          <w:rFonts w:ascii="Verdana" w:hAnsi="Verdana"/>
          <w:sz w:val="20"/>
          <w:szCs w:val="20"/>
        </w:rPr>
        <w:t>. This includes</w:t>
      </w:r>
      <w:r w:rsidR="00EE0202" w:rsidRPr="00E57260">
        <w:rPr>
          <w:rFonts w:ascii="Verdana" w:hAnsi="Verdana"/>
          <w:sz w:val="20"/>
          <w:szCs w:val="20"/>
        </w:rPr>
        <w:t xml:space="preserve"> hard medical equipment, such as</w:t>
      </w:r>
      <w:r w:rsidR="00541C7F" w:rsidRPr="00E57260">
        <w:rPr>
          <w:rFonts w:ascii="Verdana" w:hAnsi="Verdana"/>
          <w:sz w:val="20"/>
          <w:szCs w:val="20"/>
        </w:rPr>
        <w:t xml:space="preserve"> wheelchairs and blood pressure monitors</w:t>
      </w:r>
      <w:r w:rsidR="00EE0202" w:rsidRPr="00E57260">
        <w:rPr>
          <w:rFonts w:ascii="Verdana" w:hAnsi="Verdana"/>
          <w:sz w:val="20"/>
          <w:szCs w:val="20"/>
        </w:rPr>
        <w:t>,</w:t>
      </w:r>
      <w:r w:rsidR="00541C7F" w:rsidRPr="00E57260">
        <w:rPr>
          <w:rFonts w:ascii="Verdana" w:hAnsi="Verdana"/>
          <w:sz w:val="20"/>
          <w:szCs w:val="20"/>
        </w:rPr>
        <w:t xml:space="preserve"> as well as rehabilitation services and unskilled home care.</w:t>
      </w:r>
    </w:p>
    <w:p w14:paraId="428E58D1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9F22E07" w14:textId="0EA079F6" w:rsidR="004509C0" w:rsidRPr="00E57260" w:rsidRDefault="00E7764C" w:rsidP="004509C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home health</w:t>
      </w:r>
      <w:r w:rsidR="004509C0" w:rsidRPr="00E57260">
        <w:rPr>
          <w:rFonts w:ascii="Verdana" w:hAnsi="Verdana"/>
          <w:sz w:val="20"/>
          <w:szCs w:val="20"/>
        </w:rPr>
        <w:t xml:space="preserve">care industry </w:t>
      </w:r>
      <w:r w:rsidR="00EE0202" w:rsidRPr="00E57260">
        <w:rPr>
          <w:rFonts w:ascii="Verdana" w:hAnsi="Verdana"/>
          <w:sz w:val="20"/>
          <w:szCs w:val="20"/>
        </w:rPr>
        <w:t>is forecasted to increase</w:t>
      </w:r>
      <w:r w:rsidR="004F7751" w:rsidRPr="00E57260">
        <w:rPr>
          <w:rFonts w:ascii="Verdana" w:hAnsi="Verdana"/>
          <w:sz w:val="20"/>
          <w:szCs w:val="20"/>
        </w:rPr>
        <w:t xml:space="preserve"> at a CAGR (Compound Annual Growth Rate)</w:t>
      </w:r>
      <w:r w:rsidR="00541C7F" w:rsidRPr="00E57260">
        <w:rPr>
          <w:rFonts w:ascii="Verdana" w:hAnsi="Verdana"/>
          <w:sz w:val="20"/>
          <w:szCs w:val="20"/>
        </w:rPr>
        <w:t xml:space="preserve"> of 7.8% through 202</w:t>
      </w:r>
      <w:r w:rsidR="004F7751" w:rsidRPr="00E57260">
        <w:rPr>
          <w:rFonts w:ascii="Verdana" w:hAnsi="Verdana"/>
          <w:sz w:val="20"/>
          <w:szCs w:val="20"/>
        </w:rPr>
        <w:t>5</w:t>
      </w:r>
      <w:r w:rsidR="00541C7F" w:rsidRPr="00E57260">
        <w:rPr>
          <w:rFonts w:ascii="Verdana" w:hAnsi="Verdana"/>
          <w:sz w:val="20"/>
          <w:szCs w:val="20"/>
        </w:rPr>
        <w:t>. Home health care is a more affordable option, averaging $50 per day</w:t>
      </w:r>
      <w:r w:rsidR="004F7751" w:rsidRPr="00E57260">
        <w:rPr>
          <w:rFonts w:ascii="Verdana" w:hAnsi="Verdana"/>
          <w:sz w:val="20"/>
          <w:szCs w:val="20"/>
        </w:rPr>
        <w:t>,</w:t>
      </w:r>
      <w:r w:rsidR="00541C7F" w:rsidRPr="00E57260">
        <w:rPr>
          <w:rFonts w:ascii="Verdana" w:hAnsi="Verdana"/>
          <w:sz w:val="20"/>
          <w:szCs w:val="20"/>
        </w:rPr>
        <w:t xml:space="preserve"> compared to $3,250 per day for acute hospital care.</w:t>
      </w:r>
    </w:p>
    <w:p w14:paraId="0ADCB629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04500C9" w14:textId="7305161D" w:rsidR="004509C0" w:rsidRPr="00E57260" w:rsidRDefault="007B76F8" w:rsidP="004509C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 xml:space="preserve">Rehabilitation services accounted for more than half of </w:t>
      </w:r>
      <w:r w:rsidR="004F7751" w:rsidRPr="00E57260">
        <w:rPr>
          <w:rFonts w:ascii="Verdana" w:hAnsi="Verdana"/>
          <w:sz w:val="20"/>
          <w:szCs w:val="20"/>
        </w:rPr>
        <w:t xml:space="preserve">the </w:t>
      </w:r>
      <w:r w:rsidRPr="00E57260">
        <w:rPr>
          <w:rFonts w:ascii="Verdana" w:hAnsi="Verdana"/>
          <w:sz w:val="20"/>
          <w:szCs w:val="20"/>
        </w:rPr>
        <w:t>overall home healthcare services market, followed by unski</w:t>
      </w:r>
      <w:r w:rsidR="004F7751" w:rsidRPr="00E57260">
        <w:rPr>
          <w:rFonts w:ascii="Verdana" w:hAnsi="Verdana"/>
          <w:sz w:val="20"/>
          <w:szCs w:val="20"/>
        </w:rPr>
        <w:t>lled home care. Therapeutic is t</w:t>
      </w:r>
      <w:r w:rsidRPr="00E57260">
        <w:rPr>
          <w:rFonts w:ascii="Verdana" w:hAnsi="Verdana"/>
          <w:sz w:val="20"/>
          <w:szCs w:val="20"/>
        </w:rPr>
        <w:t xml:space="preserve">he largest </w:t>
      </w:r>
      <w:r w:rsidR="004F7751" w:rsidRPr="00E57260">
        <w:rPr>
          <w:rFonts w:ascii="Verdana" w:hAnsi="Verdana"/>
          <w:sz w:val="20"/>
          <w:szCs w:val="20"/>
        </w:rPr>
        <w:t xml:space="preserve">equipment segment, </w:t>
      </w:r>
      <w:r w:rsidRPr="00E57260">
        <w:rPr>
          <w:rFonts w:ascii="Verdana" w:hAnsi="Verdana"/>
          <w:sz w:val="20"/>
          <w:szCs w:val="20"/>
        </w:rPr>
        <w:t>followed by diagnostic and then mobility assist equipment.</w:t>
      </w:r>
    </w:p>
    <w:p w14:paraId="023BFA36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1FA9F44" w14:textId="252E4DF9" w:rsidR="004509C0" w:rsidRPr="00E57260" w:rsidRDefault="004509C0" w:rsidP="004509C0">
      <w:pPr>
        <w:spacing w:after="0" w:line="240" w:lineRule="auto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 xml:space="preserve">Top 5 Home Health Care </w:t>
      </w:r>
      <w:r w:rsidR="0002308E" w:rsidRPr="00E57260">
        <w:rPr>
          <w:b/>
          <w:sz w:val="20"/>
          <w:szCs w:val="20"/>
        </w:rPr>
        <w:t xml:space="preserve">Companies, </w:t>
      </w:r>
      <w:r w:rsidR="004F7751" w:rsidRPr="00E57260">
        <w:rPr>
          <w:b/>
          <w:sz w:val="20"/>
          <w:szCs w:val="20"/>
        </w:rPr>
        <w:t xml:space="preserve">by Revenues, </w:t>
      </w:r>
      <w:r w:rsidR="0002308E" w:rsidRPr="00E57260">
        <w:rPr>
          <w:b/>
          <w:sz w:val="20"/>
          <w:szCs w:val="20"/>
        </w:rPr>
        <w:t>2017</w:t>
      </w:r>
    </w:p>
    <w:tbl>
      <w:tblPr>
        <w:tblW w:w="5176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1354"/>
      </w:tblGrid>
      <w:tr w:rsidR="00B678CE" w:rsidRPr="00E57260" w14:paraId="5426C6C2" w14:textId="77777777" w:rsidTr="004F7751">
        <w:trPr>
          <w:jc w:val="center"/>
        </w:trPr>
        <w:tc>
          <w:tcPr>
            <w:tcW w:w="382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BCCFA5" w14:textId="73D457C3" w:rsidR="00B678CE" w:rsidRPr="00E57260" w:rsidRDefault="00B678CE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Company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0CC996D" w14:textId="26A47A24" w:rsidR="00B678CE" w:rsidRPr="00E57260" w:rsidRDefault="00B678CE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Revenue</w:t>
            </w:r>
            <w:r w:rsidR="004F7751" w:rsidRPr="00E57260">
              <w:rPr>
                <w:rFonts w:ascii="Verdana" w:eastAsia="Times New Roman" w:hAnsi="Verdana"/>
                <w:sz w:val="20"/>
                <w:szCs w:val="20"/>
              </w:rPr>
              <w:t>s</w:t>
            </w:r>
          </w:p>
        </w:tc>
      </w:tr>
      <w:tr w:rsidR="00B678CE" w:rsidRPr="00E57260" w14:paraId="76042ACA" w14:textId="77777777" w:rsidTr="004F7751">
        <w:trPr>
          <w:jc w:val="center"/>
        </w:trPr>
        <w:tc>
          <w:tcPr>
            <w:tcW w:w="3822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EA3EA59" w14:textId="29C7FFFB" w:rsidR="00B678CE" w:rsidRPr="00E57260" w:rsidRDefault="00B678C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Kindred Healthcare</w:t>
            </w:r>
          </w:p>
        </w:tc>
        <w:tc>
          <w:tcPr>
            <w:tcW w:w="13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7DD294" w14:textId="247F491F" w:rsidR="00B678CE" w:rsidRPr="00E57260" w:rsidRDefault="00B678C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$6.78 B</w:t>
            </w:r>
          </w:p>
        </w:tc>
      </w:tr>
      <w:tr w:rsidR="0002308E" w:rsidRPr="00E57260" w14:paraId="6DAD1AD6" w14:textId="77777777" w:rsidTr="004F7751">
        <w:trPr>
          <w:jc w:val="center"/>
        </w:trPr>
        <w:tc>
          <w:tcPr>
            <w:tcW w:w="3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ECA9BC" w14:textId="38C9C720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Encompass Home Health &amp; Hospice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3851F6" w14:textId="2FE8FA48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-9468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$3.97 B</w:t>
            </w:r>
          </w:p>
        </w:tc>
      </w:tr>
      <w:tr w:rsidR="0002308E" w:rsidRPr="00E57260" w14:paraId="74E30818" w14:textId="77777777" w:rsidTr="004F7751">
        <w:trPr>
          <w:jc w:val="center"/>
        </w:trPr>
        <w:tc>
          <w:tcPr>
            <w:tcW w:w="3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D8AF34" w14:textId="25FAA05D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Amedisys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57D42" w14:textId="1AE6E55B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-9468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$1.53 B</w:t>
            </w:r>
          </w:p>
        </w:tc>
      </w:tr>
      <w:tr w:rsidR="0002308E" w:rsidRPr="00E57260" w14:paraId="636F38DA" w14:textId="77777777" w:rsidTr="004F7751">
        <w:trPr>
          <w:jc w:val="center"/>
        </w:trPr>
        <w:tc>
          <w:tcPr>
            <w:tcW w:w="3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BA669F" w14:textId="1E09AD76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LHC Group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6C290A" w14:textId="74503E0A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-9468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$1.07 B</w:t>
            </w:r>
          </w:p>
        </w:tc>
      </w:tr>
      <w:tr w:rsidR="0002308E" w:rsidRPr="00E57260" w14:paraId="16820D0B" w14:textId="77777777" w:rsidTr="004F7751">
        <w:trPr>
          <w:jc w:val="center"/>
        </w:trPr>
        <w:tc>
          <w:tcPr>
            <w:tcW w:w="38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E4E354" w14:textId="1C90BA26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Almost Family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C9E5D0" w14:textId="7742001E" w:rsidR="0002308E" w:rsidRPr="00E57260" w:rsidRDefault="0002308E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$796.97 M</w:t>
            </w:r>
          </w:p>
        </w:tc>
      </w:tr>
    </w:tbl>
    <w:p w14:paraId="163B267C" w14:textId="5BE3CAF7" w:rsidR="004509C0" w:rsidRPr="00E57260" w:rsidRDefault="004509C0" w:rsidP="0002308E">
      <w:pPr>
        <w:tabs>
          <w:tab w:val="left" w:pos="1890"/>
        </w:tabs>
        <w:spacing w:after="0" w:line="240" w:lineRule="auto"/>
        <w:ind w:left="-180"/>
        <w:contextualSpacing/>
        <w:rPr>
          <w:sz w:val="20"/>
          <w:szCs w:val="20"/>
        </w:rPr>
      </w:pPr>
      <w:r w:rsidRPr="00E57260">
        <w:rPr>
          <w:sz w:val="16"/>
          <w:szCs w:val="16"/>
        </w:rPr>
        <w:tab/>
      </w:r>
      <w:r w:rsidR="0002308E" w:rsidRPr="00E57260">
        <w:rPr>
          <w:i/>
          <w:sz w:val="16"/>
          <w:szCs w:val="16"/>
        </w:rPr>
        <w:t>Fortune</w:t>
      </w:r>
      <w:r w:rsidR="0002308E" w:rsidRPr="00E57260">
        <w:rPr>
          <w:sz w:val="16"/>
          <w:szCs w:val="16"/>
        </w:rPr>
        <w:t>, Business Wire, Globe News Wire, PR Newswire, 2018</w:t>
      </w:r>
    </w:p>
    <w:p w14:paraId="76401219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13034BFC" w14:textId="1AEA5262" w:rsidR="004509C0" w:rsidRPr="00E57260" w:rsidRDefault="00FD1F12" w:rsidP="004509C0">
      <w:pPr>
        <w:spacing w:after="0" w:line="240" w:lineRule="auto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  <w:r w:rsidRPr="00E57260">
        <w:rPr>
          <w:rFonts w:ascii="Verdana" w:hAnsi="Verdana"/>
          <w:b/>
          <w:color w:val="3366FF"/>
          <w:sz w:val="20"/>
          <w:szCs w:val="20"/>
        </w:rPr>
        <w:t>Shifting Landscape</w:t>
      </w:r>
    </w:p>
    <w:p w14:paraId="0086C29D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4CE4C020" w14:textId="618BAEFD" w:rsidR="004509C0" w:rsidRPr="00E57260" w:rsidRDefault="004509C0" w:rsidP="004509C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 xml:space="preserve">The </w:t>
      </w:r>
      <w:r w:rsidR="00FD1F12" w:rsidRPr="00E57260">
        <w:rPr>
          <w:rFonts w:ascii="Verdana" w:hAnsi="Verdana"/>
          <w:sz w:val="20"/>
          <w:szCs w:val="20"/>
        </w:rPr>
        <w:t>home healthcare market is heavily dependent on Medicare and Medicaid. Congress may eliminate Medicare therapy caps, which w</w:t>
      </w:r>
      <w:r w:rsidR="004F7751" w:rsidRPr="00E57260">
        <w:rPr>
          <w:rFonts w:ascii="Verdana" w:hAnsi="Verdana"/>
          <w:sz w:val="20"/>
          <w:szCs w:val="20"/>
        </w:rPr>
        <w:t>ould benefit the industry. This would, however,</w:t>
      </w:r>
      <w:r w:rsidR="00FD1F12" w:rsidRPr="00E57260">
        <w:rPr>
          <w:rFonts w:ascii="Verdana" w:hAnsi="Verdana"/>
          <w:sz w:val="20"/>
          <w:szCs w:val="20"/>
        </w:rPr>
        <w:t xml:space="preserve"> increase </w:t>
      </w:r>
      <w:r w:rsidR="004F7751" w:rsidRPr="00E57260">
        <w:rPr>
          <w:rFonts w:ascii="Verdana" w:hAnsi="Verdana"/>
          <w:sz w:val="20"/>
          <w:szCs w:val="20"/>
        </w:rPr>
        <w:t>total Medicare spending, making</w:t>
      </w:r>
      <w:r w:rsidR="00FD1F12" w:rsidRPr="00E57260">
        <w:rPr>
          <w:rFonts w:ascii="Verdana" w:hAnsi="Verdana"/>
          <w:sz w:val="20"/>
          <w:szCs w:val="20"/>
        </w:rPr>
        <w:t xml:space="preserve"> it a target for other budget cuts.</w:t>
      </w:r>
    </w:p>
    <w:p w14:paraId="7EAB6337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100A2740" w14:textId="42C0BE98" w:rsidR="004509C0" w:rsidRPr="00E57260" w:rsidRDefault="00FD1F12" w:rsidP="004509C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The me</w:t>
      </w:r>
      <w:r w:rsidR="00E7764C">
        <w:rPr>
          <w:rFonts w:ascii="Verdana" w:hAnsi="Verdana"/>
          <w:sz w:val="20"/>
          <w:szCs w:val="20"/>
        </w:rPr>
        <w:t>rger of CVS with Aetna will transform</w:t>
      </w:r>
      <w:r w:rsidRPr="00E57260">
        <w:rPr>
          <w:rFonts w:ascii="Verdana" w:hAnsi="Verdana"/>
          <w:sz w:val="20"/>
          <w:szCs w:val="20"/>
        </w:rPr>
        <w:t xml:space="preserve"> CVS pharmacies into community healthcare hubs, h</w:t>
      </w:r>
      <w:r w:rsidR="004F7751" w:rsidRPr="00E57260">
        <w:rPr>
          <w:rFonts w:ascii="Verdana" w:hAnsi="Verdana"/>
          <w:sz w:val="20"/>
          <w:szCs w:val="20"/>
        </w:rPr>
        <w:t>elping keep seniors in their</w:t>
      </w:r>
      <w:r w:rsidRPr="00E57260">
        <w:rPr>
          <w:rFonts w:ascii="Verdana" w:hAnsi="Verdana"/>
          <w:sz w:val="20"/>
          <w:szCs w:val="20"/>
        </w:rPr>
        <w:t xml:space="preserve"> homes</w:t>
      </w:r>
      <w:r w:rsidR="004509C0" w:rsidRPr="00E57260">
        <w:rPr>
          <w:rFonts w:ascii="Verdana" w:hAnsi="Verdana"/>
          <w:sz w:val="20"/>
          <w:szCs w:val="20"/>
        </w:rPr>
        <w:t>.</w:t>
      </w:r>
      <w:r w:rsidRPr="00E57260">
        <w:rPr>
          <w:rFonts w:ascii="Verdana" w:hAnsi="Verdana"/>
          <w:sz w:val="20"/>
          <w:szCs w:val="20"/>
        </w:rPr>
        <w:t xml:space="preserve"> Humana bought a 40% stake in Kindred. </w:t>
      </w:r>
      <w:r w:rsidR="00ED5EFB" w:rsidRPr="00E57260">
        <w:rPr>
          <w:rFonts w:ascii="Verdana" w:hAnsi="Verdana"/>
          <w:sz w:val="20"/>
          <w:szCs w:val="20"/>
        </w:rPr>
        <w:t>In another merger, LHC Group is buying Almost Family.</w:t>
      </w:r>
    </w:p>
    <w:p w14:paraId="709075DF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106F1FB" w14:textId="2F3C6D13" w:rsidR="004509C0" w:rsidRPr="00E57260" w:rsidRDefault="00EA7F37" w:rsidP="004509C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More consumer companies are launching s</w:t>
      </w:r>
      <w:r w:rsidR="004F7751" w:rsidRPr="00E57260">
        <w:rPr>
          <w:rFonts w:ascii="Verdana" w:hAnsi="Verdana"/>
          <w:sz w:val="20"/>
          <w:szCs w:val="20"/>
        </w:rPr>
        <w:t>pecialized products for seniors</w:t>
      </w:r>
      <w:r w:rsidRPr="00E57260">
        <w:rPr>
          <w:rFonts w:ascii="Verdana" w:hAnsi="Verdana"/>
          <w:sz w:val="20"/>
          <w:szCs w:val="20"/>
        </w:rPr>
        <w:t xml:space="preserve"> to support aging in place, boosting the </w:t>
      </w:r>
      <w:r w:rsidR="004F7751" w:rsidRPr="00E57260">
        <w:rPr>
          <w:rFonts w:ascii="Verdana" w:hAnsi="Verdana"/>
          <w:sz w:val="20"/>
          <w:szCs w:val="20"/>
        </w:rPr>
        <w:t>home health industry. T</w:t>
      </w:r>
      <w:r w:rsidRPr="00E57260">
        <w:rPr>
          <w:rFonts w:ascii="Verdana" w:hAnsi="Verdana"/>
          <w:sz w:val="20"/>
          <w:szCs w:val="20"/>
        </w:rPr>
        <w:t>hey may</w:t>
      </w:r>
      <w:r w:rsidR="004F7751" w:rsidRPr="00E57260">
        <w:rPr>
          <w:rFonts w:ascii="Verdana" w:hAnsi="Verdana"/>
          <w:sz w:val="20"/>
          <w:szCs w:val="20"/>
        </w:rPr>
        <w:t>, however, find themselves</w:t>
      </w:r>
      <w:r w:rsidRPr="00E57260">
        <w:rPr>
          <w:rFonts w:ascii="Verdana" w:hAnsi="Verdana"/>
          <w:sz w:val="20"/>
          <w:szCs w:val="20"/>
        </w:rPr>
        <w:t xml:space="preserve"> </w:t>
      </w:r>
      <w:r w:rsidR="004F7751" w:rsidRPr="00E57260">
        <w:rPr>
          <w:rFonts w:ascii="Verdana" w:hAnsi="Verdana"/>
          <w:sz w:val="20"/>
          <w:szCs w:val="20"/>
        </w:rPr>
        <w:t>competing in the equipment segment</w:t>
      </w:r>
      <w:r w:rsidRPr="00E57260">
        <w:rPr>
          <w:rFonts w:ascii="Verdana" w:hAnsi="Verdana"/>
          <w:sz w:val="20"/>
          <w:szCs w:val="20"/>
        </w:rPr>
        <w:t>, causing the industry to shift more to services.</w:t>
      </w:r>
      <w:r w:rsidR="004509C0" w:rsidRPr="00E57260">
        <w:rPr>
          <w:rFonts w:ascii="Verdana" w:hAnsi="Verdana"/>
          <w:sz w:val="20"/>
          <w:szCs w:val="20"/>
        </w:rPr>
        <w:t xml:space="preserve"> </w:t>
      </w:r>
    </w:p>
    <w:p w14:paraId="327E21B2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2BDF78B7" w14:textId="192CA1B5" w:rsidR="004509C0" w:rsidRPr="00E57260" w:rsidRDefault="004509C0" w:rsidP="004509C0">
      <w:pPr>
        <w:pStyle w:val="Header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 xml:space="preserve">Health Care </w:t>
      </w:r>
      <w:r w:rsidR="00400CDB" w:rsidRPr="00E57260">
        <w:rPr>
          <w:b/>
          <w:sz w:val="20"/>
          <w:szCs w:val="20"/>
        </w:rPr>
        <w:t xml:space="preserve">Expenditures, by Type, </w:t>
      </w:r>
      <w:r w:rsidRPr="00E57260">
        <w:rPr>
          <w:rFonts w:ascii="Verdana" w:hAnsi="Verdana"/>
          <w:b/>
          <w:sz w:val="20"/>
          <w:szCs w:val="20"/>
        </w:rPr>
        <w:t>201</w:t>
      </w:r>
      <w:r w:rsidR="004F7751" w:rsidRPr="00E57260">
        <w:rPr>
          <w:rFonts w:ascii="Verdana" w:hAnsi="Verdana"/>
          <w:b/>
          <w:sz w:val="20"/>
          <w:szCs w:val="20"/>
        </w:rPr>
        <w:t>6</w:t>
      </w:r>
    </w:p>
    <w:tbl>
      <w:tblPr>
        <w:tblW w:w="440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1160"/>
      </w:tblGrid>
      <w:tr w:rsidR="00400CDB" w:rsidRPr="00E57260" w14:paraId="6DDE6CE0" w14:textId="77777777" w:rsidTr="004F7751">
        <w:trPr>
          <w:jc w:val="center"/>
        </w:trPr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26D029" w14:textId="596B8323" w:rsidR="00400CDB" w:rsidRPr="00E57260" w:rsidRDefault="00400CDB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Type of Expenditure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4AD77EB" w14:textId="32E6C378" w:rsidR="00400CDB" w:rsidRPr="00E57260" w:rsidRDefault="00400CDB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</w:tr>
      <w:tr w:rsidR="00400CDB" w:rsidRPr="00E57260" w14:paraId="1BB5E199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03CCE8" w14:textId="63340400" w:rsidR="00400CDB" w:rsidRPr="00E57260" w:rsidRDefault="00400CD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Hospital care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8F40CE" w14:textId="33BF77EF" w:rsidR="00400CDB" w:rsidRPr="00E57260" w:rsidRDefault="004F7751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32</w:t>
            </w:r>
            <w:r w:rsidR="00400CDB" w:rsidRPr="00E57260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400CDB" w:rsidRPr="00E57260" w14:paraId="218ED14A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9C7E5A" w14:textId="235F4327" w:rsidR="00400CDB" w:rsidRPr="00E57260" w:rsidRDefault="00400CD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Physician and clinical services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C8C087" w14:textId="68DAB3FC" w:rsidR="00400CDB" w:rsidRPr="00E57260" w:rsidRDefault="004F7751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20</w:t>
            </w:r>
            <w:r w:rsidR="00400CDB" w:rsidRPr="00E57260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400CDB" w:rsidRPr="00E57260" w14:paraId="7CB1875C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FFB9FA" w14:textId="498FDC8F" w:rsidR="00400CDB" w:rsidRPr="00E57260" w:rsidRDefault="00400CD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Prescription drugs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3EEA5C" w14:textId="66AB998F" w:rsidR="00400CDB" w:rsidRPr="00E57260" w:rsidRDefault="004F7751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</w:t>
            </w:r>
            <w:r w:rsidR="00400CDB" w:rsidRPr="00E57260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400CDB" w:rsidRPr="00E57260" w14:paraId="1250ED10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A2E09D" w14:textId="2B3A7F05" w:rsidR="00400CDB" w:rsidRPr="00E57260" w:rsidRDefault="00400CD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Nursing care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0CACE0" w14:textId="02D5CC2B" w:rsidR="00400CDB" w:rsidRPr="00E57260" w:rsidRDefault="004F7751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5</w:t>
            </w:r>
            <w:r w:rsidR="00400CDB" w:rsidRPr="00E57260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400CDB" w:rsidRPr="00E57260" w14:paraId="50C9D262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A33091" w14:textId="7BC7F88E" w:rsidR="00400CDB" w:rsidRPr="00E57260" w:rsidRDefault="00ED5EF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Dental services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A277E" w14:textId="0DD6CF71" w:rsidR="00400CDB" w:rsidRPr="00E57260" w:rsidRDefault="004F7751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4</w:t>
            </w:r>
            <w:r w:rsidR="00ED5EFB" w:rsidRPr="00E57260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ED5EFB" w:rsidRPr="00E57260" w14:paraId="307F7D03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D614DD" w14:textId="25EBAD9D" w:rsidR="00ED5EFB" w:rsidRPr="00E57260" w:rsidRDefault="00ED5EF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Home health care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EB433E" w14:textId="5D702B7D" w:rsidR="00ED5EFB" w:rsidRPr="00E57260" w:rsidRDefault="00ED5EFB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3%</w:t>
            </w:r>
          </w:p>
        </w:tc>
      </w:tr>
      <w:tr w:rsidR="00ED5EFB" w:rsidRPr="00E57260" w14:paraId="08CEA0EF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D4AA4D" w14:textId="334130E1" w:rsidR="00ED5EFB" w:rsidRPr="00E57260" w:rsidRDefault="00ED5EF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Durable equipment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960871" w14:textId="66FCF2BD" w:rsidR="00ED5EFB" w:rsidRPr="00E57260" w:rsidRDefault="00ED5EFB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2%</w:t>
            </w:r>
          </w:p>
        </w:tc>
      </w:tr>
      <w:tr w:rsidR="00400CDB" w:rsidRPr="00E57260" w14:paraId="2D6F9A3F" w14:textId="77777777" w:rsidTr="004F775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98C99F" w14:textId="10F9360C" w:rsidR="00400CDB" w:rsidRPr="00E57260" w:rsidRDefault="00ED5EFB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Other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3CDEC" w14:textId="40556EC0" w:rsidR="00400CDB" w:rsidRPr="00E57260" w:rsidRDefault="004F7751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5</w:t>
            </w:r>
            <w:r w:rsidR="00ED5EFB" w:rsidRPr="00E57260">
              <w:rPr>
                <w:rFonts w:eastAsia="Times New Roman"/>
                <w:sz w:val="20"/>
                <w:szCs w:val="20"/>
              </w:rPr>
              <w:t>%</w:t>
            </w:r>
          </w:p>
        </w:tc>
      </w:tr>
    </w:tbl>
    <w:p w14:paraId="23E0AFBC" w14:textId="00C198AC" w:rsidR="004F7751" w:rsidRPr="00E57260" w:rsidRDefault="004F7751" w:rsidP="004F7751">
      <w:pPr>
        <w:tabs>
          <w:tab w:val="left" w:pos="2520"/>
        </w:tabs>
        <w:spacing w:after="0" w:line="240" w:lineRule="auto"/>
        <w:contextualSpacing/>
        <w:rPr>
          <w:rFonts w:ascii="Verdana" w:hAnsi="Verdana"/>
          <w:sz w:val="16"/>
          <w:szCs w:val="16"/>
        </w:rPr>
      </w:pPr>
      <w:r w:rsidRPr="00E57260">
        <w:rPr>
          <w:sz w:val="16"/>
          <w:szCs w:val="16"/>
        </w:rPr>
        <w:tab/>
        <w:t>Centers for Medicare &amp; Medicaid Services</w:t>
      </w:r>
      <w:r w:rsidRPr="00E57260">
        <w:rPr>
          <w:rFonts w:ascii="Verdana" w:hAnsi="Verdana"/>
          <w:sz w:val="16"/>
          <w:szCs w:val="16"/>
        </w:rPr>
        <w:t>, December 2017</w:t>
      </w:r>
    </w:p>
    <w:p w14:paraId="2C4EB2D7" w14:textId="77777777" w:rsidR="004F7751" w:rsidRPr="00E57260" w:rsidRDefault="004F7751" w:rsidP="004509C0">
      <w:pPr>
        <w:spacing w:after="0" w:line="240" w:lineRule="auto"/>
        <w:contextualSpacing/>
        <w:jc w:val="center"/>
        <w:rPr>
          <w:rFonts w:ascii="Verdana" w:hAnsi="Verdana"/>
          <w:sz w:val="16"/>
          <w:szCs w:val="16"/>
        </w:rPr>
      </w:pPr>
    </w:p>
    <w:p w14:paraId="77777777" w14:textId="7DC29157" w:rsidR="004509C0" w:rsidRPr="00E57260" w:rsidRDefault="006240BF" w:rsidP="004509C0">
      <w:pPr>
        <w:spacing w:after="0" w:line="240" w:lineRule="auto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  <w:r w:rsidRPr="00E57260">
        <w:rPr>
          <w:rFonts w:ascii="Verdana" w:hAnsi="Verdana"/>
          <w:b/>
          <w:color w:val="3366FF"/>
          <w:sz w:val="20"/>
          <w:szCs w:val="20"/>
        </w:rPr>
        <w:lastRenderedPageBreak/>
        <w:t>Medical Equipment Boom</w:t>
      </w:r>
    </w:p>
    <w:p w14:paraId="3D2F13CE" w14:textId="77777777" w:rsidR="004509C0" w:rsidRPr="00E57260" w:rsidRDefault="004509C0" w:rsidP="004509C0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2179E2D" w14:textId="01A66866" w:rsidR="004509C0" w:rsidRPr="00E57260" w:rsidRDefault="00D9631B" w:rsidP="004509C0">
      <w:pPr>
        <w:pStyle w:val="NoSpacing"/>
        <w:numPr>
          <w:ilvl w:val="0"/>
          <w:numId w:val="5"/>
        </w:numPr>
        <w:contextualSpacing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 xml:space="preserve">The </w:t>
      </w:r>
      <w:r w:rsidR="004F7751" w:rsidRPr="00E57260">
        <w:rPr>
          <w:rFonts w:ascii="Verdana" w:hAnsi="Verdana"/>
          <w:sz w:val="20"/>
          <w:szCs w:val="20"/>
        </w:rPr>
        <w:t xml:space="preserve">US </w:t>
      </w:r>
      <w:r w:rsidRPr="00E57260">
        <w:rPr>
          <w:rFonts w:ascii="Verdana" w:hAnsi="Verdana"/>
          <w:sz w:val="20"/>
          <w:szCs w:val="20"/>
        </w:rPr>
        <w:t>market for durable me</w:t>
      </w:r>
      <w:r w:rsidR="004F7751" w:rsidRPr="00E57260">
        <w:rPr>
          <w:rFonts w:ascii="Verdana" w:hAnsi="Verdana"/>
          <w:sz w:val="20"/>
          <w:szCs w:val="20"/>
        </w:rPr>
        <w:t xml:space="preserve">dical equipment (DME) </w:t>
      </w:r>
      <w:r w:rsidRPr="00E57260">
        <w:rPr>
          <w:rFonts w:ascii="Verdana" w:hAnsi="Verdana"/>
          <w:sz w:val="20"/>
          <w:szCs w:val="20"/>
        </w:rPr>
        <w:t>was estimated at $41.9 billion for 2016</w:t>
      </w:r>
      <w:r w:rsidR="004F7751" w:rsidRPr="00E57260">
        <w:rPr>
          <w:rFonts w:ascii="Verdana" w:hAnsi="Verdana"/>
          <w:sz w:val="20"/>
          <w:szCs w:val="20"/>
        </w:rPr>
        <w:t>,</w:t>
      </w:r>
      <w:r w:rsidRPr="00E57260">
        <w:rPr>
          <w:rFonts w:ascii="Verdana" w:hAnsi="Verdana"/>
          <w:sz w:val="20"/>
          <w:szCs w:val="20"/>
        </w:rPr>
        <w:t xml:space="preserve"> with a CAGR of 6.0% through 2025. There </w:t>
      </w:r>
      <w:r w:rsidR="00DA6813" w:rsidRPr="00E57260">
        <w:rPr>
          <w:rFonts w:ascii="Verdana" w:hAnsi="Verdana"/>
          <w:sz w:val="20"/>
          <w:szCs w:val="20"/>
        </w:rPr>
        <w:t>are mor</w:t>
      </w:r>
      <w:r w:rsidR="00E7764C">
        <w:rPr>
          <w:rFonts w:ascii="Verdana" w:hAnsi="Verdana"/>
          <w:sz w:val="20"/>
          <w:szCs w:val="20"/>
        </w:rPr>
        <w:t xml:space="preserve">e than 40 million Americans </w:t>
      </w:r>
      <w:r w:rsidRPr="00E57260">
        <w:rPr>
          <w:rFonts w:ascii="Verdana" w:hAnsi="Verdana"/>
          <w:sz w:val="20"/>
          <w:szCs w:val="20"/>
        </w:rPr>
        <w:t xml:space="preserve">65 </w:t>
      </w:r>
      <w:r w:rsidR="00E7764C">
        <w:rPr>
          <w:rFonts w:ascii="Verdana" w:hAnsi="Verdana"/>
          <w:sz w:val="20"/>
          <w:szCs w:val="20"/>
        </w:rPr>
        <w:t xml:space="preserve">years of age </w:t>
      </w:r>
      <w:r w:rsidRPr="00E57260">
        <w:rPr>
          <w:rFonts w:ascii="Verdana" w:hAnsi="Verdana"/>
          <w:sz w:val="20"/>
          <w:szCs w:val="20"/>
        </w:rPr>
        <w:t xml:space="preserve">and older, and </w:t>
      </w:r>
      <w:r w:rsidR="00582206" w:rsidRPr="00E57260">
        <w:rPr>
          <w:rFonts w:ascii="Verdana" w:hAnsi="Verdana"/>
          <w:sz w:val="20"/>
          <w:szCs w:val="20"/>
        </w:rPr>
        <w:t>this number is projected to double by 2050.</w:t>
      </w:r>
    </w:p>
    <w:p w14:paraId="6F1C041A" w14:textId="77777777" w:rsidR="004509C0" w:rsidRPr="00E57260" w:rsidRDefault="004509C0" w:rsidP="004509C0">
      <w:pPr>
        <w:pStyle w:val="NoSpacing"/>
        <w:contextualSpacing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0D65EE5" w14:textId="5915333C" w:rsidR="004509C0" w:rsidRPr="00E57260" w:rsidRDefault="00582206" w:rsidP="004509C0">
      <w:pPr>
        <w:pStyle w:val="NoSpacing"/>
        <w:numPr>
          <w:ilvl w:val="0"/>
          <w:numId w:val="5"/>
        </w:numPr>
        <w:contextualSpacing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Monitoring and therape</w:t>
      </w:r>
      <w:r w:rsidR="004F7751" w:rsidRPr="00E57260">
        <w:rPr>
          <w:rFonts w:ascii="Verdana" w:hAnsi="Verdana"/>
          <w:sz w:val="20"/>
          <w:szCs w:val="20"/>
        </w:rPr>
        <w:t>utic devices accounted for approximately</w:t>
      </w:r>
      <w:r w:rsidRPr="00E57260">
        <w:rPr>
          <w:rFonts w:ascii="Verdana" w:hAnsi="Verdana"/>
          <w:sz w:val="20"/>
          <w:szCs w:val="20"/>
        </w:rPr>
        <w:t xml:space="preserve"> 85% of the </w:t>
      </w:r>
      <w:r w:rsidR="004F7751" w:rsidRPr="00E57260">
        <w:rPr>
          <w:rFonts w:ascii="Verdana" w:hAnsi="Verdana"/>
          <w:sz w:val="20"/>
          <w:szCs w:val="20"/>
        </w:rPr>
        <w:t>2016 market</w:t>
      </w:r>
      <w:r w:rsidRPr="00E57260">
        <w:rPr>
          <w:rFonts w:ascii="Verdana" w:hAnsi="Verdana"/>
          <w:sz w:val="20"/>
          <w:szCs w:val="20"/>
        </w:rPr>
        <w:t>, followed by personal mobility devices</w:t>
      </w:r>
      <w:r w:rsidR="004F7751" w:rsidRPr="00E57260">
        <w:rPr>
          <w:rFonts w:ascii="Verdana" w:hAnsi="Verdana"/>
          <w:sz w:val="20"/>
          <w:szCs w:val="20"/>
        </w:rPr>
        <w:t>,</w:t>
      </w:r>
      <w:r w:rsidRPr="00E57260">
        <w:rPr>
          <w:rFonts w:ascii="Verdana" w:hAnsi="Verdana"/>
          <w:sz w:val="20"/>
          <w:szCs w:val="20"/>
        </w:rPr>
        <w:t xml:space="preserve"> such as walkers</w:t>
      </w:r>
      <w:r w:rsidR="004F7751" w:rsidRPr="00E57260">
        <w:rPr>
          <w:rFonts w:ascii="Verdana" w:hAnsi="Verdana"/>
          <w:sz w:val="20"/>
          <w:szCs w:val="20"/>
        </w:rPr>
        <w:t>, at approximately</w:t>
      </w:r>
      <w:r w:rsidRPr="00E57260">
        <w:rPr>
          <w:rFonts w:ascii="Verdana" w:hAnsi="Verdana"/>
          <w:sz w:val="20"/>
          <w:szCs w:val="20"/>
        </w:rPr>
        <w:t xml:space="preserve"> 1</w:t>
      </w:r>
      <w:r w:rsidR="004F7751" w:rsidRPr="00E57260">
        <w:rPr>
          <w:rFonts w:ascii="Verdana" w:hAnsi="Verdana"/>
          <w:sz w:val="20"/>
          <w:szCs w:val="20"/>
        </w:rPr>
        <w:t>2%, and the remainder</w:t>
      </w:r>
      <w:r w:rsidRPr="00E57260">
        <w:rPr>
          <w:rFonts w:ascii="Verdana" w:hAnsi="Verdana"/>
          <w:sz w:val="20"/>
          <w:szCs w:val="20"/>
        </w:rPr>
        <w:t xml:space="preserve"> </w:t>
      </w:r>
      <w:r w:rsidR="00E7764C">
        <w:rPr>
          <w:rFonts w:ascii="Verdana" w:hAnsi="Verdana"/>
          <w:sz w:val="20"/>
          <w:szCs w:val="20"/>
        </w:rPr>
        <w:t xml:space="preserve">was </w:t>
      </w:r>
      <w:r w:rsidRPr="00E57260">
        <w:rPr>
          <w:rFonts w:ascii="Verdana" w:hAnsi="Verdana"/>
          <w:sz w:val="20"/>
          <w:szCs w:val="20"/>
        </w:rPr>
        <w:t>bathroom safety items and medical furniture.</w:t>
      </w:r>
    </w:p>
    <w:p w14:paraId="5B033DFF" w14:textId="77777777" w:rsidR="004509C0" w:rsidRPr="00E57260" w:rsidRDefault="004509C0" w:rsidP="004509C0">
      <w:pPr>
        <w:pStyle w:val="NoSpacing"/>
        <w:contextualSpacing/>
        <w:rPr>
          <w:rFonts w:ascii="Verdana" w:hAnsi="Verdana"/>
          <w:sz w:val="20"/>
          <w:szCs w:val="20"/>
        </w:rPr>
      </w:pPr>
    </w:p>
    <w:p w14:paraId="266E526E" w14:textId="7DD2F2BF" w:rsidR="004509C0" w:rsidRPr="00E57260" w:rsidRDefault="004F7751" w:rsidP="004509C0">
      <w:pPr>
        <w:pStyle w:val="NoSpacing"/>
        <w:numPr>
          <w:ilvl w:val="0"/>
          <w:numId w:val="5"/>
        </w:numPr>
        <w:contextualSpacing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Monitoring and therapeutic devices for patients with diabetes, cancer and</w:t>
      </w:r>
      <w:r w:rsidR="0063663F" w:rsidRPr="00E57260">
        <w:rPr>
          <w:rFonts w:ascii="Verdana" w:hAnsi="Verdana"/>
          <w:sz w:val="20"/>
          <w:szCs w:val="20"/>
        </w:rPr>
        <w:t xml:space="preserve"> neurological disorders</w:t>
      </w:r>
      <w:r w:rsidRPr="00E57260">
        <w:rPr>
          <w:rFonts w:ascii="Verdana" w:hAnsi="Verdana"/>
          <w:sz w:val="20"/>
          <w:szCs w:val="20"/>
        </w:rPr>
        <w:t xml:space="preserve"> are projected to have the largest increases.</w:t>
      </w:r>
      <w:r w:rsidR="00582206" w:rsidRPr="00E57260">
        <w:rPr>
          <w:rFonts w:ascii="Verdana" w:hAnsi="Verdana"/>
          <w:sz w:val="20"/>
          <w:szCs w:val="20"/>
        </w:rPr>
        <w:t xml:space="preserve"> </w:t>
      </w:r>
      <w:r w:rsidRPr="00E57260">
        <w:rPr>
          <w:rFonts w:ascii="Verdana" w:hAnsi="Verdana"/>
          <w:sz w:val="20"/>
          <w:szCs w:val="20"/>
        </w:rPr>
        <w:t>T</w:t>
      </w:r>
      <w:r w:rsidR="006240BF" w:rsidRPr="00E57260">
        <w:rPr>
          <w:rFonts w:ascii="Verdana" w:hAnsi="Verdana"/>
          <w:sz w:val="20"/>
          <w:szCs w:val="20"/>
        </w:rPr>
        <w:t xml:space="preserve">he </w:t>
      </w:r>
      <w:r w:rsidRPr="00E57260">
        <w:rPr>
          <w:rFonts w:ascii="Verdana" w:hAnsi="Verdana"/>
          <w:sz w:val="20"/>
          <w:szCs w:val="20"/>
        </w:rPr>
        <w:t>increasing</w:t>
      </w:r>
      <w:r w:rsidR="00582206" w:rsidRPr="00E57260">
        <w:rPr>
          <w:rFonts w:ascii="Verdana" w:hAnsi="Verdana"/>
          <w:sz w:val="20"/>
          <w:szCs w:val="20"/>
        </w:rPr>
        <w:t xml:space="preserve"> popularity of </w:t>
      </w:r>
      <w:r w:rsidRPr="00E57260">
        <w:rPr>
          <w:rFonts w:ascii="Verdana" w:hAnsi="Verdana"/>
          <w:sz w:val="20"/>
          <w:szCs w:val="20"/>
        </w:rPr>
        <w:t>powered wheelchairs will drive the mobility segment.</w:t>
      </w:r>
    </w:p>
    <w:p w14:paraId="715D03ED" w14:textId="77777777" w:rsidR="004509C0" w:rsidRPr="00E57260" w:rsidRDefault="004509C0" w:rsidP="004509C0">
      <w:pPr>
        <w:pStyle w:val="NoSpacing"/>
        <w:contextualSpacing/>
        <w:rPr>
          <w:rFonts w:ascii="Verdana" w:hAnsi="Verdana"/>
          <w:sz w:val="20"/>
          <w:szCs w:val="20"/>
        </w:rPr>
      </w:pPr>
    </w:p>
    <w:p w14:paraId="186C7D42" w14:textId="0BA5B133" w:rsidR="004509C0" w:rsidRPr="00E57260" w:rsidRDefault="007F061D" w:rsidP="004509C0">
      <w:pPr>
        <w:pStyle w:val="Header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 xml:space="preserve">Medical Device Company Comparative Sales, </w:t>
      </w:r>
      <w:r w:rsidR="0063663F" w:rsidRPr="00E57260">
        <w:rPr>
          <w:b/>
          <w:sz w:val="20"/>
          <w:szCs w:val="20"/>
        </w:rPr>
        <w:t>2016</w:t>
      </w:r>
      <w:r w:rsidR="0063663F" w:rsidRPr="00E57260">
        <w:rPr>
          <w:rFonts w:ascii="Verdana" w:hAnsi="Verdana"/>
          <w:b/>
          <w:sz w:val="20"/>
          <w:szCs w:val="20"/>
        </w:rPr>
        <w:t>–</w:t>
      </w:r>
      <w:r w:rsidRPr="00E57260">
        <w:rPr>
          <w:b/>
          <w:sz w:val="20"/>
          <w:szCs w:val="20"/>
        </w:rPr>
        <w:t>2017</w:t>
      </w:r>
    </w:p>
    <w:tbl>
      <w:tblPr>
        <w:tblW w:w="9468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05"/>
        <w:gridCol w:w="1606"/>
        <w:gridCol w:w="1605"/>
        <w:gridCol w:w="1606"/>
        <w:gridCol w:w="1606"/>
      </w:tblGrid>
      <w:tr w:rsidR="007F061D" w:rsidRPr="00E57260" w14:paraId="781A9E93" w14:textId="77777777" w:rsidTr="0063663F">
        <w:trPr>
          <w:jc w:val="center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0DFEA8" w14:textId="1ADA8C4B" w:rsidR="007F061D" w:rsidRPr="00E57260" w:rsidRDefault="007F061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Number of Employees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C14F526" w14:textId="6F9D6830" w:rsidR="007C7403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Increase</w:t>
            </w:r>
          </w:p>
          <w:p w14:paraId="3163777E" w14:textId="4B697404" w:rsidR="007F061D" w:rsidRPr="00E57260" w:rsidRDefault="0063663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C7403" w:rsidRPr="00E57260">
              <w:rPr>
                <w:rFonts w:eastAsia="Times New Roman"/>
                <w:sz w:val="20"/>
                <w:szCs w:val="20"/>
              </w:rPr>
              <w:t>5%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4FB63AE" w14:textId="04B2E3D7" w:rsidR="007C7403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Increase</w:t>
            </w:r>
          </w:p>
          <w:p w14:paraId="1C28D7C7" w14:textId="4B442EB5" w:rsidR="007F061D" w:rsidRPr="00E57260" w:rsidRDefault="0063663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C7403" w:rsidRPr="00E57260">
              <w:rPr>
                <w:rFonts w:eastAsia="Times New Roman"/>
                <w:sz w:val="20"/>
                <w:szCs w:val="20"/>
              </w:rPr>
              <w:t>10%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0091F2E" w14:textId="5DDB5FE2" w:rsidR="007C7403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Increase</w:t>
            </w:r>
          </w:p>
          <w:p w14:paraId="4A8DB355" w14:textId="527352DE" w:rsidR="007F061D" w:rsidRPr="00E57260" w:rsidRDefault="0063663F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C7403" w:rsidRPr="00E57260">
              <w:rPr>
                <w:rFonts w:eastAsia="Times New Roman"/>
                <w:sz w:val="20"/>
                <w:szCs w:val="20"/>
              </w:rPr>
              <w:t>15%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7BF34C8" w14:textId="70A44FA8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Increase 15% or More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A5146CB" w14:textId="45557FCF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No Increase or Decrease</w:t>
            </w:r>
          </w:p>
        </w:tc>
      </w:tr>
      <w:tr w:rsidR="007F061D" w:rsidRPr="00E57260" w14:paraId="1CE94AA5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0425900" w14:textId="3796AB71" w:rsidR="007F061D" w:rsidRPr="00E57260" w:rsidRDefault="0063663F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F061D" w:rsidRPr="00E5726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025D82" w14:textId="3E0AEF65" w:rsidR="007F061D" w:rsidRPr="00E57260" w:rsidRDefault="007C7403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29%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C40D98" w14:textId="448ED2FA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21%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DB9C20" w14:textId="3640A021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2117FF" w14:textId="684BEDA0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28%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C248C" w14:textId="43E7F295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13%</w:t>
            </w:r>
          </w:p>
        </w:tc>
      </w:tr>
      <w:tr w:rsidR="007F061D" w:rsidRPr="00E57260" w14:paraId="44663603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E15004" w14:textId="499036B4" w:rsidR="007F061D" w:rsidRPr="00E57260" w:rsidRDefault="0063663F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F061D" w:rsidRPr="00E5726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6CB7D7" w14:textId="345227B4" w:rsidR="007F061D" w:rsidRPr="00E57260" w:rsidRDefault="007C7403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B828D1" w14:textId="4EC9FB9B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25%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19A949" w14:textId="35C653A2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7E15F7" w14:textId="14833E07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25%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385498" w14:textId="09EF53A9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11%</w:t>
            </w:r>
          </w:p>
        </w:tc>
      </w:tr>
      <w:tr w:rsidR="007F061D" w:rsidRPr="00E57260" w14:paraId="19312651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32E250" w14:textId="78DEB412" w:rsidR="007F061D" w:rsidRPr="00E57260" w:rsidRDefault="0063663F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50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F061D" w:rsidRPr="00E57260">
              <w:rPr>
                <w:rFonts w:eastAsia="Times New Roman"/>
                <w:sz w:val="20"/>
                <w:szCs w:val="20"/>
              </w:rPr>
              <w:t>249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CA286C" w14:textId="3D6927F4" w:rsidR="007F061D" w:rsidRPr="00E57260" w:rsidRDefault="007C7403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700926" w14:textId="062E7FE7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EE8FEC" w14:textId="40ED869A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12%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187790" w14:textId="735198EF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F9BB15" w14:textId="1C65049C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8%</w:t>
            </w:r>
          </w:p>
        </w:tc>
      </w:tr>
      <w:tr w:rsidR="007F061D" w:rsidRPr="00E57260" w14:paraId="26DA2D1A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97BAEF" w14:textId="7337055F" w:rsidR="007F061D" w:rsidRPr="00E57260" w:rsidRDefault="0063663F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150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="007F061D" w:rsidRPr="00E57260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3F0291" w14:textId="6A6E8AD8" w:rsidR="007F061D" w:rsidRPr="00E57260" w:rsidRDefault="007C7403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32%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A4812C" w14:textId="2DD166D2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34%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7E5D67" w14:textId="556264C6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15%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04E1F" w14:textId="3AC0DBA4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12%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5035C3" w14:textId="13B70902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7%</w:t>
            </w:r>
          </w:p>
        </w:tc>
      </w:tr>
      <w:tr w:rsidR="007F061D" w:rsidRPr="00E57260" w14:paraId="63E55EA9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5D7501" w14:textId="5FB7B923" w:rsidR="007F061D" w:rsidRPr="00E57260" w:rsidRDefault="007F061D" w:rsidP="004509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1000+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DF58C8" w14:textId="6FE150D0" w:rsidR="007F061D" w:rsidRPr="00E57260" w:rsidRDefault="007C7403" w:rsidP="00D53A70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39%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B29CC67" w14:textId="31E63985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38%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8A044D3" w14:textId="683963D4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F0BE35" w14:textId="7CB7A4E9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1CEB9" w14:textId="2C3E8A3D" w:rsidR="007F061D" w:rsidRPr="00E57260" w:rsidRDefault="007C7403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2%</w:t>
            </w:r>
          </w:p>
        </w:tc>
      </w:tr>
    </w:tbl>
    <w:p w14:paraId="716D6BF5" w14:textId="680D3D9A" w:rsidR="004509C0" w:rsidRPr="00E57260" w:rsidRDefault="007C7403" w:rsidP="0063663F">
      <w:pPr>
        <w:spacing w:after="0" w:line="240" w:lineRule="auto"/>
        <w:rPr>
          <w:sz w:val="20"/>
          <w:szCs w:val="20"/>
        </w:rPr>
      </w:pPr>
      <w:r w:rsidRPr="00E57260">
        <w:rPr>
          <w:sz w:val="16"/>
          <w:szCs w:val="16"/>
        </w:rPr>
        <w:t>Emergo Global Medical Device Industry Outlook for 2018</w:t>
      </w:r>
      <w:r w:rsidR="004509C0" w:rsidRPr="00E57260">
        <w:rPr>
          <w:sz w:val="16"/>
          <w:szCs w:val="16"/>
        </w:rPr>
        <w:t xml:space="preserve">, </w:t>
      </w:r>
      <w:r w:rsidRPr="00E57260">
        <w:rPr>
          <w:sz w:val="16"/>
          <w:szCs w:val="16"/>
        </w:rPr>
        <w:t>February</w:t>
      </w:r>
      <w:r w:rsidR="004509C0" w:rsidRPr="00E57260">
        <w:rPr>
          <w:sz w:val="16"/>
          <w:szCs w:val="16"/>
        </w:rPr>
        <w:t xml:space="preserve"> 201</w:t>
      </w:r>
      <w:r w:rsidRPr="00E57260">
        <w:rPr>
          <w:sz w:val="16"/>
          <w:szCs w:val="16"/>
        </w:rPr>
        <w:t>8</w:t>
      </w:r>
    </w:p>
    <w:p w14:paraId="63BEC237" w14:textId="77777777" w:rsidR="006240BF" w:rsidRPr="00E57260" w:rsidRDefault="006240BF" w:rsidP="004509C0">
      <w:pPr>
        <w:pStyle w:val="NoSpacing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</w:p>
    <w:p w14:paraId="0DD38BCB" w14:textId="2F561301" w:rsidR="004509C0" w:rsidRPr="00E57260" w:rsidRDefault="00594B9D" w:rsidP="004509C0">
      <w:pPr>
        <w:pStyle w:val="NoSpacing"/>
        <w:contextualSpacing/>
        <w:jc w:val="center"/>
        <w:rPr>
          <w:rFonts w:ascii="Verdana" w:hAnsi="Verdana"/>
          <w:b/>
          <w:color w:val="3366FF"/>
          <w:sz w:val="20"/>
          <w:szCs w:val="20"/>
        </w:rPr>
      </w:pPr>
      <w:r w:rsidRPr="00E57260">
        <w:rPr>
          <w:rFonts w:ascii="Verdana" w:hAnsi="Verdana"/>
          <w:b/>
          <w:color w:val="3366FF"/>
          <w:sz w:val="20"/>
          <w:szCs w:val="20"/>
        </w:rPr>
        <w:t>Future Med Tech</w:t>
      </w:r>
    </w:p>
    <w:p w14:paraId="07A6B2E8" w14:textId="77777777" w:rsidR="004509C0" w:rsidRPr="00E57260" w:rsidRDefault="004509C0" w:rsidP="004509C0">
      <w:pPr>
        <w:pStyle w:val="NoSpacing"/>
        <w:contextualSpacing/>
        <w:rPr>
          <w:rFonts w:ascii="Verdana" w:hAnsi="Verdana"/>
          <w:sz w:val="20"/>
          <w:szCs w:val="20"/>
        </w:rPr>
      </w:pPr>
    </w:p>
    <w:p w14:paraId="212A1EB0" w14:textId="389A8AE9" w:rsidR="004509C0" w:rsidRPr="00E57260" w:rsidRDefault="00594B9D" w:rsidP="004509C0">
      <w:pPr>
        <w:pStyle w:val="NoSpacing"/>
        <w:numPr>
          <w:ilvl w:val="0"/>
          <w:numId w:val="6"/>
        </w:numPr>
        <w:contextualSpacing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 xml:space="preserve">Wearable devices </w:t>
      </w:r>
      <w:r w:rsidR="00D53A70" w:rsidRPr="00E57260">
        <w:rPr>
          <w:rFonts w:ascii="Verdana" w:hAnsi="Verdana"/>
          <w:sz w:val="20"/>
          <w:szCs w:val="20"/>
        </w:rPr>
        <w:t>ar</w:t>
      </w:r>
      <w:r w:rsidRPr="00E57260">
        <w:rPr>
          <w:rFonts w:ascii="Verdana" w:hAnsi="Verdana"/>
          <w:sz w:val="20"/>
          <w:szCs w:val="20"/>
        </w:rPr>
        <w:t xml:space="preserve">e able to monitor, record and report medical information to patients’ physicians remotely. </w:t>
      </w:r>
      <w:r w:rsidR="0063663F" w:rsidRPr="00E57260">
        <w:rPr>
          <w:rFonts w:ascii="Verdana" w:hAnsi="Verdana"/>
          <w:sz w:val="20"/>
          <w:szCs w:val="20"/>
        </w:rPr>
        <w:t>More than</w:t>
      </w:r>
      <w:r w:rsidR="00B66860" w:rsidRPr="00E57260">
        <w:rPr>
          <w:rFonts w:ascii="Verdana" w:hAnsi="Verdana"/>
          <w:sz w:val="20"/>
          <w:szCs w:val="20"/>
        </w:rPr>
        <w:t xml:space="preserve"> 19 million patients will use this type of device during 2018 and 7 million will use telemedicine services.</w:t>
      </w:r>
    </w:p>
    <w:p w14:paraId="67E80673" w14:textId="77777777" w:rsidR="004509C0" w:rsidRPr="00E57260" w:rsidRDefault="004509C0" w:rsidP="004509C0">
      <w:pPr>
        <w:pStyle w:val="NoSpacing"/>
        <w:contextualSpacing/>
        <w:rPr>
          <w:rFonts w:ascii="Verdana" w:hAnsi="Verdana"/>
          <w:sz w:val="20"/>
          <w:szCs w:val="20"/>
        </w:rPr>
      </w:pPr>
    </w:p>
    <w:p w14:paraId="4B4C52AD" w14:textId="5CE80A9F" w:rsidR="004509C0" w:rsidRPr="00E57260" w:rsidRDefault="00B66860" w:rsidP="004509C0">
      <w:pPr>
        <w:pStyle w:val="NoSpacing"/>
        <w:numPr>
          <w:ilvl w:val="0"/>
          <w:numId w:val="6"/>
        </w:numPr>
        <w:contextualSpacing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The same technology used in</w:t>
      </w:r>
      <w:r w:rsidR="0063663F" w:rsidRPr="00E57260">
        <w:rPr>
          <w:rFonts w:ascii="Verdana" w:hAnsi="Verdana"/>
          <w:sz w:val="20"/>
          <w:szCs w:val="20"/>
        </w:rPr>
        <w:t xml:space="preserve"> self-driving cars is being adopted</w:t>
      </w:r>
      <w:r w:rsidRPr="00E57260">
        <w:rPr>
          <w:rFonts w:ascii="Verdana" w:hAnsi="Verdana"/>
          <w:sz w:val="20"/>
          <w:szCs w:val="20"/>
        </w:rPr>
        <w:t xml:space="preserve"> for self-driving wheelchairs. </w:t>
      </w:r>
      <w:r w:rsidR="0063663F" w:rsidRPr="00E57260">
        <w:rPr>
          <w:rFonts w:ascii="Verdana" w:hAnsi="Verdana"/>
          <w:sz w:val="20"/>
          <w:szCs w:val="20"/>
        </w:rPr>
        <w:t>Exoskeletons are another advanced mobility technology</w:t>
      </w:r>
      <w:r w:rsidR="00EC718F" w:rsidRPr="00E57260">
        <w:rPr>
          <w:rFonts w:ascii="Verdana" w:hAnsi="Verdana"/>
          <w:sz w:val="20"/>
          <w:szCs w:val="20"/>
        </w:rPr>
        <w:t xml:space="preserve">. </w:t>
      </w:r>
    </w:p>
    <w:p w14:paraId="4A0C9C13" w14:textId="77777777" w:rsidR="004509C0" w:rsidRPr="00E57260" w:rsidRDefault="004509C0" w:rsidP="004509C0">
      <w:pPr>
        <w:pStyle w:val="NoSpacing"/>
        <w:contextualSpacing/>
        <w:rPr>
          <w:rFonts w:ascii="Verdana" w:hAnsi="Verdana"/>
          <w:sz w:val="20"/>
          <w:szCs w:val="20"/>
        </w:rPr>
      </w:pPr>
    </w:p>
    <w:p w14:paraId="60CC6DF3" w14:textId="10BEAA3F" w:rsidR="004509C0" w:rsidRPr="00E57260" w:rsidRDefault="00EC718F" w:rsidP="004509C0">
      <w:pPr>
        <w:pStyle w:val="NoSpacing"/>
        <w:numPr>
          <w:ilvl w:val="0"/>
          <w:numId w:val="6"/>
        </w:numPr>
        <w:contextualSpacing/>
        <w:rPr>
          <w:rFonts w:ascii="Verdana" w:hAnsi="Verdana"/>
          <w:sz w:val="20"/>
          <w:szCs w:val="20"/>
        </w:rPr>
      </w:pPr>
      <w:r w:rsidRPr="00E57260">
        <w:rPr>
          <w:rFonts w:ascii="Verdana" w:hAnsi="Verdana"/>
          <w:sz w:val="20"/>
          <w:szCs w:val="20"/>
        </w:rPr>
        <w:t>Other innovat</w:t>
      </w:r>
      <w:r w:rsidR="0063663F" w:rsidRPr="00E57260">
        <w:rPr>
          <w:rFonts w:ascii="Verdana" w:hAnsi="Verdana"/>
          <w:sz w:val="20"/>
          <w:szCs w:val="20"/>
        </w:rPr>
        <w:t>ive products include the closed-</w:t>
      </w:r>
      <w:r w:rsidRPr="00E57260">
        <w:rPr>
          <w:rFonts w:ascii="Verdana" w:hAnsi="Verdana"/>
          <w:sz w:val="20"/>
          <w:szCs w:val="20"/>
        </w:rPr>
        <w:t>loop insulin system, or artificial pancreas</w:t>
      </w:r>
      <w:r w:rsidR="0063663F" w:rsidRPr="00E57260">
        <w:rPr>
          <w:rFonts w:ascii="Verdana" w:hAnsi="Verdana"/>
          <w:sz w:val="20"/>
          <w:szCs w:val="20"/>
        </w:rPr>
        <w:t>;</w:t>
      </w:r>
      <w:r w:rsidR="00DA6813" w:rsidRPr="00E57260">
        <w:rPr>
          <w:rFonts w:ascii="Verdana" w:hAnsi="Verdana"/>
          <w:sz w:val="20"/>
          <w:szCs w:val="20"/>
        </w:rPr>
        <w:t xml:space="preserve"> wearable</w:t>
      </w:r>
      <w:r w:rsidR="009C78CE" w:rsidRPr="00E57260">
        <w:rPr>
          <w:rFonts w:ascii="Verdana" w:hAnsi="Verdana"/>
          <w:sz w:val="20"/>
          <w:szCs w:val="20"/>
        </w:rPr>
        <w:t xml:space="preserve"> airbag</w:t>
      </w:r>
      <w:r w:rsidR="0063663F" w:rsidRPr="00E57260">
        <w:rPr>
          <w:rFonts w:ascii="Verdana" w:hAnsi="Verdana"/>
          <w:sz w:val="20"/>
          <w:szCs w:val="20"/>
        </w:rPr>
        <w:t>s to protect from hip fractures;</w:t>
      </w:r>
      <w:r w:rsidR="009C78CE" w:rsidRPr="00E57260">
        <w:rPr>
          <w:rFonts w:ascii="Verdana" w:hAnsi="Verdana"/>
          <w:sz w:val="20"/>
          <w:szCs w:val="20"/>
        </w:rPr>
        <w:t xml:space="preserve"> smart shoes that alert emergency contacts when there is a fall</w:t>
      </w:r>
      <w:r w:rsidR="0063663F" w:rsidRPr="00E57260">
        <w:rPr>
          <w:rFonts w:ascii="Verdana" w:hAnsi="Verdana"/>
          <w:sz w:val="20"/>
          <w:szCs w:val="20"/>
        </w:rPr>
        <w:t>;</w:t>
      </w:r>
      <w:r w:rsidR="009C78CE" w:rsidRPr="00E57260">
        <w:rPr>
          <w:rFonts w:ascii="Verdana" w:hAnsi="Verdana"/>
          <w:sz w:val="20"/>
          <w:szCs w:val="20"/>
        </w:rPr>
        <w:t xml:space="preserve"> and an electromagnetic pulse device to relieve pain.</w:t>
      </w:r>
    </w:p>
    <w:p w14:paraId="11DB62D2" w14:textId="77777777" w:rsidR="00F94CE8" w:rsidRPr="00E57260" w:rsidRDefault="00F94CE8" w:rsidP="00260DE9">
      <w:pPr>
        <w:pStyle w:val="NoSpacing"/>
        <w:rPr>
          <w:sz w:val="20"/>
          <w:szCs w:val="20"/>
        </w:rPr>
      </w:pPr>
    </w:p>
    <w:p w14:paraId="3AE02DBE" w14:textId="6198ED3F" w:rsidR="00594B9D" w:rsidRPr="00E57260" w:rsidRDefault="0063663F" w:rsidP="00594B9D">
      <w:pPr>
        <w:pStyle w:val="Header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>Medical Device Companies’</w:t>
      </w:r>
      <w:r w:rsidR="00594B9D" w:rsidRPr="00E57260">
        <w:rPr>
          <w:b/>
          <w:sz w:val="20"/>
          <w:szCs w:val="20"/>
        </w:rPr>
        <w:t xml:space="preserve"> Biggest Challenges, 2018</w:t>
      </w:r>
    </w:p>
    <w:tbl>
      <w:tblPr>
        <w:tblW w:w="544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1174"/>
      </w:tblGrid>
      <w:tr w:rsidR="00594B9D" w:rsidRPr="00E57260" w14:paraId="095ADE8F" w14:textId="77777777" w:rsidTr="0063663F">
        <w:trPr>
          <w:jc w:val="center"/>
        </w:trPr>
        <w:tc>
          <w:tcPr>
            <w:tcW w:w="42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47B022" w14:textId="38E276E8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Challenge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8A47CF6" w14:textId="6F519EDE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</w:tr>
      <w:tr w:rsidR="00594B9D" w:rsidRPr="00E57260" w14:paraId="4E2D3FB8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18CAB8" w14:textId="46597773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Changing regulatory environment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2D834" w14:textId="71485E67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68%</w:t>
            </w:r>
          </w:p>
        </w:tc>
      </w:tr>
      <w:tr w:rsidR="00594B9D" w:rsidRPr="00E57260" w14:paraId="14D5861E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CF452C" w14:textId="005A7747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New product development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9D97CF" w14:textId="299E9AF6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47%</w:t>
            </w:r>
          </w:p>
        </w:tc>
      </w:tr>
      <w:tr w:rsidR="00594B9D" w:rsidRPr="00E57260" w14:paraId="300C8ABE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43D915" w14:textId="44ABA3BD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Funding/capital/credit/financing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EBC5B5" w14:textId="07B55FC2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35%</w:t>
            </w:r>
          </w:p>
        </w:tc>
      </w:tr>
      <w:tr w:rsidR="00594B9D" w:rsidRPr="00E57260" w14:paraId="185A9148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86DCED" w14:textId="54273DA3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Pricing or profitability pressures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D65A7E" w14:textId="00747DD8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35%</w:t>
            </w:r>
          </w:p>
        </w:tc>
      </w:tr>
      <w:tr w:rsidR="00594B9D" w:rsidRPr="00E57260" w14:paraId="3A269213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843439" w14:textId="100C82F7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Employee retention/recruiting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D449F9" w14:textId="4B08F9C0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26%</w:t>
            </w:r>
          </w:p>
        </w:tc>
      </w:tr>
      <w:tr w:rsidR="00594B9D" w:rsidRPr="00E57260" w14:paraId="63C33125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F2675C" w14:textId="32620CAF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Increased competition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60D473" w14:textId="768D7421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23%</w:t>
            </w:r>
          </w:p>
        </w:tc>
      </w:tr>
      <w:tr w:rsidR="00594B9D" w:rsidRPr="00E57260" w14:paraId="36B81809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4139EC" w14:textId="2BAD1F09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Changing reimbursement environment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530A1F" w14:textId="2B8C584A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18%</w:t>
            </w:r>
          </w:p>
        </w:tc>
      </w:tr>
      <w:tr w:rsidR="00594B9D" w:rsidRPr="00E57260" w14:paraId="65D92ED7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7EE3C4" w14:textId="4223D551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Keeping pace with technological change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669118" w14:textId="73BB545F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18%</w:t>
            </w:r>
          </w:p>
        </w:tc>
      </w:tr>
      <w:tr w:rsidR="00594B9D" w:rsidRPr="00E57260" w14:paraId="347AB173" w14:textId="77777777" w:rsidTr="0063663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E6E83D" w14:textId="74A0B971" w:rsidR="00594B9D" w:rsidRPr="00E57260" w:rsidRDefault="00594B9D" w:rsidP="00594B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Other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F6CB7" w14:textId="54F72AD9" w:rsidR="00594B9D" w:rsidRPr="00E57260" w:rsidRDefault="00594B9D" w:rsidP="00D53A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6%</w:t>
            </w:r>
          </w:p>
        </w:tc>
      </w:tr>
    </w:tbl>
    <w:p w14:paraId="61F6641D" w14:textId="4C9AB35D" w:rsidR="00594B9D" w:rsidRPr="00E57260" w:rsidRDefault="00594B9D" w:rsidP="0063663F">
      <w:pPr>
        <w:tabs>
          <w:tab w:val="left" w:pos="1980"/>
        </w:tabs>
        <w:spacing w:after="0" w:line="240" w:lineRule="auto"/>
        <w:rPr>
          <w:sz w:val="20"/>
          <w:szCs w:val="20"/>
        </w:rPr>
      </w:pPr>
      <w:r w:rsidRPr="00E57260">
        <w:rPr>
          <w:sz w:val="16"/>
          <w:szCs w:val="16"/>
        </w:rPr>
        <w:tab/>
      </w:r>
      <w:r w:rsidR="00D53A70" w:rsidRPr="00E57260">
        <w:rPr>
          <w:sz w:val="16"/>
          <w:szCs w:val="16"/>
        </w:rPr>
        <w:tab/>
      </w:r>
      <w:r w:rsidRPr="00E57260">
        <w:rPr>
          <w:sz w:val="16"/>
          <w:szCs w:val="16"/>
        </w:rPr>
        <w:t>Emergo Global Medical Device Industry Outlook for 2018, February 2018</w:t>
      </w:r>
    </w:p>
    <w:p w14:paraId="05B35E5D" w14:textId="77777777" w:rsidR="00F94CE8" w:rsidRPr="00E57260" w:rsidRDefault="00F94CE8" w:rsidP="00F94CE8">
      <w:pPr>
        <w:pStyle w:val="NoSpacing"/>
        <w:contextualSpacing/>
        <w:jc w:val="center"/>
        <w:rPr>
          <w:b/>
          <w:color w:val="3366FF"/>
          <w:sz w:val="20"/>
          <w:szCs w:val="20"/>
        </w:rPr>
      </w:pPr>
      <w:r w:rsidRPr="00E57260">
        <w:rPr>
          <w:b/>
          <w:color w:val="3366FF"/>
          <w:sz w:val="20"/>
          <w:szCs w:val="20"/>
        </w:rPr>
        <w:lastRenderedPageBreak/>
        <w:t>Additional Analysis</w:t>
      </w:r>
    </w:p>
    <w:p w14:paraId="4D37D21A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718411C0" w14:textId="5BE84A59" w:rsidR="00F94CE8" w:rsidRPr="00E57260" w:rsidRDefault="00F1119C" w:rsidP="00F94CE8">
      <w:pPr>
        <w:pStyle w:val="NoSpacing"/>
        <w:contextualSpacing/>
        <w:rPr>
          <w:sz w:val="20"/>
          <w:szCs w:val="20"/>
        </w:rPr>
      </w:pPr>
      <w:r w:rsidRPr="00E57260">
        <w:rPr>
          <w:sz w:val="20"/>
          <w:szCs w:val="20"/>
        </w:rPr>
        <w:t>The Media Audit’s 2018 Rolling Aggregate Survey of 58 US GMAs</w:t>
      </w:r>
      <w:r w:rsidR="00B1139C" w:rsidRPr="00E57260">
        <w:rPr>
          <w:sz w:val="20"/>
          <w:szCs w:val="20"/>
        </w:rPr>
        <w:t>,</w:t>
      </w:r>
      <w:r w:rsidRPr="00E57260">
        <w:rPr>
          <w:sz w:val="20"/>
          <w:szCs w:val="20"/>
        </w:rPr>
        <w:t xml:space="preserve"> representing more than</w:t>
      </w:r>
      <w:r w:rsidR="00B1139C" w:rsidRPr="00E57260">
        <w:rPr>
          <w:sz w:val="20"/>
          <w:szCs w:val="20"/>
        </w:rPr>
        <w:t xml:space="preserve"> 120 US adults, reveals the largest percentages of adults in three primary age groups who exercised 12+ times at a health club during the past year and visited a physical therapist during the past 2 years. </w:t>
      </w:r>
    </w:p>
    <w:p w14:paraId="27C390FF" w14:textId="77777777" w:rsidR="00B1139C" w:rsidRPr="00E57260" w:rsidRDefault="00B1139C" w:rsidP="00F94CE8">
      <w:pPr>
        <w:pStyle w:val="NoSpacing"/>
        <w:contextualSpacing/>
        <w:rPr>
          <w:sz w:val="20"/>
          <w:szCs w:val="20"/>
        </w:rPr>
      </w:pPr>
    </w:p>
    <w:p w14:paraId="266D1B4F" w14:textId="37FC8E27" w:rsidR="00B1139C" w:rsidRPr="00E57260" w:rsidRDefault="00B1139C" w:rsidP="00B1139C">
      <w:pPr>
        <w:pStyle w:val="Header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>Adults</w:t>
      </w:r>
      <w:r w:rsidRPr="00E57260">
        <w:rPr>
          <w:b/>
          <w:sz w:val="20"/>
          <w:szCs w:val="20"/>
        </w:rPr>
        <w:t xml:space="preserve"> 18+ Who </w:t>
      </w:r>
      <w:r w:rsidRPr="00E57260">
        <w:rPr>
          <w:b/>
          <w:sz w:val="20"/>
          <w:szCs w:val="20"/>
        </w:rPr>
        <w:t>Participated in Physical Activity During the Past 12 Months and Visited a Physical Therapist During the Past 2 Years</w:t>
      </w:r>
      <w:r w:rsidRPr="00E57260">
        <w:rPr>
          <w:b/>
          <w:sz w:val="20"/>
          <w:szCs w:val="20"/>
        </w:rPr>
        <w:t>, 2018</w:t>
      </w:r>
    </w:p>
    <w:tbl>
      <w:tblPr>
        <w:tblW w:w="10241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1083"/>
        <w:gridCol w:w="1060"/>
        <w:gridCol w:w="1108"/>
        <w:gridCol w:w="1052"/>
        <w:gridCol w:w="1061"/>
        <w:gridCol w:w="1099"/>
      </w:tblGrid>
      <w:tr w:rsidR="00B1139C" w:rsidRPr="00E57260" w14:paraId="298A60C8" w14:textId="7B191F78" w:rsidTr="00B1139C">
        <w:trPr>
          <w:trHeight w:val="285"/>
          <w:jc w:val="center"/>
        </w:trPr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BD64B7" w14:textId="1273D144" w:rsidR="00B1139C" w:rsidRPr="00E57260" w:rsidRDefault="00B1139C" w:rsidP="00F35F8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Physical Activity</w:t>
            </w:r>
          </w:p>
        </w:tc>
        <w:tc>
          <w:tcPr>
            <w:tcW w:w="214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CD911A" w14:textId="6AD7139E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Adults</w:t>
            </w:r>
            <w:r w:rsidRPr="00E57260">
              <w:rPr>
                <w:rFonts w:eastAsia="Times New Roman"/>
                <w:sz w:val="20"/>
                <w:szCs w:val="20"/>
              </w:rPr>
              <w:t xml:space="preserve"> 18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E5726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47D5E" w14:textId="3BEF325E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 xml:space="preserve">Adults </w:t>
            </w:r>
            <w:r w:rsidRPr="00E57260">
              <w:rPr>
                <w:rFonts w:eastAsia="Times New Roman"/>
                <w:sz w:val="20"/>
                <w:szCs w:val="20"/>
              </w:rPr>
              <w:t>35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E57260">
              <w:rPr>
                <w:rFonts w:eastAsia="Times New Roman"/>
                <w:sz w:val="20"/>
                <w:szCs w:val="20"/>
              </w:rPr>
              <w:t>6</w:t>
            </w:r>
            <w:r w:rsidRPr="00E5726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94684" w14:textId="626C26CC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Adults 65+</w:t>
            </w:r>
          </w:p>
        </w:tc>
      </w:tr>
      <w:tr w:rsidR="00B1139C" w:rsidRPr="00E57260" w14:paraId="7A825903" w14:textId="763DD0A0" w:rsidTr="00B1139C">
        <w:tblPrEx>
          <w:tblBorders>
            <w:top w:val="none" w:sz="0" w:space="0" w:color="auto"/>
          </w:tblBorders>
        </w:tblPrEx>
        <w:trPr>
          <w:trHeight w:val="198"/>
          <w:jc w:val="center"/>
        </w:trPr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AFA622" w14:textId="77777777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9853926" w14:textId="77777777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6EE35A1" w14:textId="77777777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Index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B8C3EA0" w14:textId="77777777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E4B5180" w14:textId="77777777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Index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auto"/>
            </w:tcBorders>
            <w:vAlign w:val="center"/>
          </w:tcPr>
          <w:p w14:paraId="4D51D186" w14:textId="6D267540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8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3C796E9B" w14:textId="7D67FDD3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Index</w:t>
            </w:r>
          </w:p>
        </w:tc>
      </w:tr>
      <w:tr w:rsidR="00B1139C" w:rsidRPr="00E57260" w14:paraId="32C2C390" w14:textId="2C764156" w:rsidTr="00B1139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778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9DCD29" w14:textId="6A195A77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Participate in hunting/fishing during past 12 months</w:t>
            </w:r>
          </w:p>
        </w:tc>
        <w:tc>
          <w:tcPr>
            <w:tcW w:w="1083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48E83" w14:textId="5E723399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21.8%</w:t>
            </w:r>
          </w:p>
        </w:tc>
        <w:tc>
          <w:tcPr>
            <w:tcW w:w="106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C11BB" w14:textId="5E326E0A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F0FA1D" w14:textId="581AFDD0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18.8%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B819CD" w14:textId="1E88052F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7C3EEA8" w14:textId="22C5DD7B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10.6%</w: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FB55D3A" w14:textId="1BCE7DBE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91</w:t>
            </w:r>
          </w:p>
        </w:tc>
      </w:tr>
      <w:tr w:rsidR="00B1139C" w:rsidRPr="00E57260" w14:paraId="3D7DF9B2" w14:textId="19504245" w:rsidTr="00B1139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D528FA" w14:textId="67BD754C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Participate in 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snow skiing/boarding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 xml:space="preserve"> during past 12 months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1EB78" w14:textId="4FB46054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7.7%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031CC1" w14:textId="55E06988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7300DD" w14:textId="633B8FC6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5.8%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F4F593" w14:textId="7F078581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F31BFE4" w14:textId="5BBAB57E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1.7%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0B1A0C" w14:textId="24D189F4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120</w:t>
            </w:r>
          </w:p>
        </w:tc>
      </w:tr>
      <w:tr w:rsidR="00B1139C" w:rsidRPr="00E57260" w14:paraId="191B2EEB" w14:textId="64E408FB" w:rsidTr="00B1139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AB9422" w14:textId="1E6230F0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Participated in golf during past 12 months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E8650" w14:textId="1D3D5948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7.4%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537A1C" w14:textId="5596CE96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147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807637" w14:textId="5E999940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7.8%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3E0FC" w14:textId="459921F6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D1331BE" w14:textId="15A60DB1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8.2%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B396F23" w14:textId="1E67EDAF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113</w:t>
            </w:r>
          </w:p>
        </w:tc>
      </w:tr>
      <w:tr w:rsidR="00B1139C" w:rsidRPr="00E57260" w14:paraId="62595D02" w14:textId="4D24ED3C" w:rsidTr="00B1139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7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E39B27" w14:textId="37FC205C" w:rsidR="00B1139C" w:rsidRPr="00E57260" w:rsidRDefault="00B1139C" w:rsidP="00B113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Exercised 12+ times at a health club during the past 12 months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40055" w14:textId="15802983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27.1%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4D9C8F" w14:textId="70C531F8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7C186E" w14:textId="1EB8C1EC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22.8%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C1FED1" w14:textId="30F42F43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138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6BDA1917" w14:textId="141616C3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21.9%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ADFFA0" w14:textId="2E73F58E" w:rsidR="00B1139C" w:rsidRPr="00E57260" w:rsidRDefault="00B1139C" w:rsidP="00B1139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132</w:t>
            </w:r>
          </w:p>
        </w:tc>
      </w:tr>
    </w:tbl>
    <w:p w14:paraId="195201B3" w14:textId="31A023B3" w:rsidR="00B1139C" w:rsidRPr="00E57260" w:rsidRDefault="00B1139C" w:rsidP="00B1139C">
      <w:pPr>
        <w:pStyle w:val="NoSpacing"/>
        <w:ind w:hanging="450"/>
        <w:contextualSpacing/>
        <w:rPr>
          <w:sz w:val="20"/>
          <w:szCs w:val="20"/>
        </w:rPr>
      </w:pPr>
      <w:r w:rsidRPr="00E57260">
        <w:rPr>
          <w:sz w:val="16"/>
          <w:szCs w:val="16"/>
        </w:rPr>
        <w:t>Based on The Media Audit’s February 2018 Rolling Aggregate Survey</w:t>
      </w:r>
      <w:r w:rsidRPr="00E57260">
        <w:rPr>
          <w:sz w:val="16"/>
          <w:szCs w:val="16"/>
        </w:rPr>
        <w:tab/>
      </w:r>
    </w:p>
    <w:p w14:paraId="15E033EF" w14:textId="77777777" w:rsidR="00B1139C" w:rsidRPr="00E57260" w:rsidRDefault="00B1139C" w:rsidP="00F94CE8">
      <w:pPr>
        <w:pStyle w:val="NoSpacing"/>
        <w:contextualSpacing/>
        <w:rPr>
          <w:sz w:val="20"/>
          <w:szCs w:val="20"/>
        </w:rPr>
      </w:pPr>
    </w:p>
    <w:p w14:paraId="72A9D893" w14:textId="4E6DF866" w:rsidR="00F94CE8" w:rsidRPr="00E57260" w:rsidRDefault="002E1F85" w:rsidP="00F94CE8">
      <w:pPr>
        <w:pStyle w:val="NoSpacing"/>
        <w:contextualSpacing/>
        <w:rPr>
          <w:sz w:val="20"/>
          <w:szCs w:val="20"/>
        </w:rPr>
      </w:pPr>
      <w:r w:rsidRPr="00E57260">
        <w:rPr>
          <w:sz w:val="20"/>
          <w:szCs w:val="20"/>
        </w:rPr>
        <w:t xml:space="preserve">A </w:t>
      </w:r>
      <w:r w:rsidR="009469BD" w:rsidRPr="00E57260">
        <w:rPr>
          <w:sz w:val="20"/>
          <w:szCs w:val="20"/>
        </w:rPr>
        <w:t xml:space="preserve">comparison of adults 18+ </w:t>
      </w:r>
      <w:r w:rsidRPr="00E57260">
        <w:rPr>
          <w:sz w:val="20"/>
          <w:szCs w:val="20"/>
        </w:rPr>
        <w:t xml:space="preserve">in the same three primary age groups by their annual household income and why visited </w:t>
      </w:r>
      <w:r w:rsidRPr="00E57260">
        <w:rPr>
          <w:sz w:val="20"/>
          <w:szCs w:val="20"/>
        </w:rPr>
        <w:t>a physical therapist during the past 2 years</w:t>
      </w:r>
      <w:r w:rsidRPr="00E57260">
        <w:rPr>
          <w:sz w:val="20"/>
          <w:szCs w:val="20"/>
        </w:rPr>
        <w:t xml:space="preserve"> show most of them were in the $35,000 to $149,999 range.</w:t>
      </w:r>
    </w:p>
    <w:p w14:paraId="73DF0920" w14:textId="77777777" w:rsidR="002E1F85" w:rsidRPr="00E57260" w:rsidRDefault="002E1F85" w:rsidP="00F94CE8">
      <w:pPr>
        <w:pStyle w:val="NoSpacing"/>
        <w:contextualSpacing/>
        <w:rPr>
          <w:sz w:val="20"/>
          <w:szCs w:val="20"/>
        </w:rPr>
      </w:pPr>
    </w:p>
    <w:p w14:paraId="661FBD02" w14:textId="77777777" w:rsidR="002E1F85" w:rsidRPr="00E57260" w:rsidRDefault="002E1F85" w:rsidP="002E1F85">
      <w:pPr>
        <w:pStyle w:val="Header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>Adults</w:t>
      </w:r>
      <w:r w:rsidR="009469BD" w:rsidRPr="00E57260">
        <w:rPr>
          <w:b/>
          <w:sz w:val="20"/>
          <w:szCs w:val="20"/>
        </w:rPr>
        <w:t xml:space="preserve"> 18+ Who </w:t>
      </w:r>
      <w:r w:rsidRPr="00E57260">
        <w:rPr>
          <w:b/>
          <w:sz w:val="20"/>
          <w:szCs w:val="20"/>
        </w:rPr>
        <w:t xml:space="preserve">Visited a Physical Therapist During the </w:t>
      </w:r>
    </w:p>
    <w:p w14:paraId="3274B5A0" w14:textId="6AA2E764" w:rsidR="009469BD" w:rsidRPr="00E57260" w:rsidRDefault="002E1F85" w:rsidP="002E1F85">
      <w:pPr>
        <w:pStyle w:val="Header"/>
        <w:contextualSpacing/>
        <w:jc w:val="center"/>
        <w:rPr>
          <w:b/>
          <w:sz w:val="20"/>
          <w:szCs w:val="20"/>
        </w:rPr>
      </w:pPr>
      <w:r w:rsidRPr="00E57260">
        <w:rPr>
          <w:b/>
          <w:sz w:val="20"/>
          <w:szCs w:val="20"/>
        </w:rPr>
        <w:t>Past 2 Years</w:t>
      </w:r>
      <w:r w:rsidR="009469BD" w:rsidRPr="00E57260">
        <w:rPr>
          <w:b/>
          <w:sz w:val="20"/>
          <w:szCs w:val="20"/>
        </w:rPr>
        <w:t>, by Household Incomes, 2018</w:t>
      </w:r>
    </w:p>
    <w:tbl>
      <w:tblPr>
        <w:tblW w:w="8747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1083"/>
        <w:gridCol w:w="1060"/>
        <w:gridCol w:w="1108"/>
        <w:gridCol w:w="1052"/>
        <w:gridCol w:w="1061"/>
        <w:gridCol w:w="1099"/>
      </w:tblGrid>
      <w:tr w:rsidR="002E1F85" w:rsidRPr="00E57260" w14:paraId="416B3D9F" w14:textId="59FC1C4A" w:rsidTr="005A52A3">
        <w:trPr>
          <w:trHeight w:val="285"/>
          <w:jc w:val="center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688F7F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Range of Household Income</w:t>
            </w:r>
          </w:p>
        </w:tc>
        <w:tc>
          <w:tcPr>
            <w:tcW w:w="214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5C2D8" w14:textId="56422BE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Adults 18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E5726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20ABCA" w14:textId="25EAC476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Adults 35</w:t>
            </w:r>
            <w:r w:rsidRPr="00E57260"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E57260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D630BA" w14:textId="3A7FB8D0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Adults 65+</w:t>
            </w:r>
          </w:p>
        </w:tc>
      </w:tr>
      <w:tr w:rsidR="002E1F85" w:rsidRPr="00E57260" w14:paraId="18D16A94" w14:textId="0460E169" w:rsidTr="00C60BE3">
        <w:tblPrEx>
          <w:tblBorders>
            <w:top w:val="none" w:sz="0" w:space="0" w:color="auto"/>
          </w:tblBorders>
        </w:tblPrEx>
        <w:trPr>
          <w:trHeight w:val="198"/>
          <w:jc w:val="center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27E36A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74C2D80" w14:textId="7777777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07A7917" w14:textId="7777777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Index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5844F48" w14:textId="7777777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E25486" w14:textId="7777777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Index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auto"/>
            </w:tcBorders>
            <w:vAlign w:val="center"/>
          </w:tcPr>
          <w:p w14:paraId="4E9D1FEF" w14:textId="398FD1AB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Percent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8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13B42BA6" w14:textId="18B40053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Index</w:t>
            </w:r>
          </w:p>
        </w:tc>
      </w:tr>
      <w:tr w:rsidR="002E1F85" w:rsidRPr="00E57260" w14:paraId="49D4B6DC" w14:textId="7CB54DC5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F277B3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$15,000</w:t>
            </w:r>
            <w:r w:rsidRPr="00E57260">
              <w:rPr>
                <w:rFonts w:ascii="Verdana" w:hAnsi="Verdana"/>
                <w:sz w:val="20"/>
                <w:szCs w:val="20"/>
              </w:rPr>
              <w:t>–$24,999</w:t>
            </w:r>
          </w:p>
        </w:tc>
        <w:tc>
          <w:tcPr>
            <w:tcW w:w="1083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6CFE3" w14:textId="4C7D3FE1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9.7%</w:t>
            </w:r>
          </w:p>
        </w:tc>
        <w:tc>
          <w:tcPr>
            <w:tcW w:w="106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22AB5" w14:textId="7C086F6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ED232A" w14:textId="1B145CD1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7.1%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6AF20D" w14:textId="77398EB2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1110D042" w14:textId="28790053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6.1%</w: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52757733" w14:textId="450E2FC4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66</w:t>
            </w:r>
          </w:p>
        </w:tc>
      </w:tr>
      <w:tr w:rsidR="002E1F85" w:rsidRPr="00E57260" w14:paraId="5A4ACB14" w14:textId="356E5461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780379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$25,000</w:t>
            </w:r>
            <w:r w:rsidRPr="00E57260">
              <w:rPr>
                <w:rFonts w:ascii="Verdana" w:hAnsi="Verdana"/>
                <w:sz w:val="20"/>
                <w:szCs w:val="20"/>
              </w:rPr>
              <w:t>–$34,999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9DB80" w14:textId="6AA6CC5C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9.3%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D68D3A" w14:textId="1BFACEB3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F4B33D" w14:textId="76243B8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9.2%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D0021" w14:textId="670C5D11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4DD94F4B" w14:textId="4C4B543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10.7%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64A7EC65" w14:textId="00EA6593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85</w:t>
            </w:r>
          </w:p>
        </w:tc>
      </w:tr>
      <w:tr w:rsidR="002E1F85" w:rsidRPr="00E57260" w14:paraId="0782AAEB" w14:textId="7B612374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5D96FC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$35,000</w:t>
            </w:r>
            <w:r w:rsidRPr="00E57260">
              <w:rPr>
                <w:rFonts w:ascii="Verdana" w:hAnsi="Verdana"/>
                <w:sz w:val="20"/>
                <w:szCs w:val="20"/>
              </w:rPr>
              <w:t>–$49,999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5F76B" w14:textId="7FD8645E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14.9%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1B4B7" w14:textId="2B8F64F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9EB016" w14:textId="605B49D6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13.8%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D63380" w14:textId="292C8FD4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06BC3934" w14:textId="3B477698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17.0%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589A1D8A" w14:textId="3F9D75EB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97</w:t>
            </w:r>
          </w:p>
        </w:tc>
      </w:tr>
      <w:tr w:rsidR="002E1F85" w:rsidRPr="00E57260" w14:paraId="7E77337C" w14:textId="5A354DC0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AE39EC3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$50,000</w:t>
            </w:r>
            <w:r w:rsidRPr="00E57260">
              <w:rPr>
                <w:rFonts w:ascii="Verdana" w:hAnsi="Verdana"/>
                <w:sz w:val="20"/>
                <w:szCs w:val="20"/>
              </w:rPr>
              <w:t>–$74,999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E6AD1" w14:textId="3720D9C1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19.6%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64B4CE" w14:textId="024E9749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793DB9" w14:textId="2D967FE0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18.2%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41917C" w14:textId="01B46F46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40EB082B" w14:textId="16C18F5E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21.3%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49F49DAF" w14:textId="1AA5B83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94</w:t>
            </w:r>
          </w:p>
        </w:tc>
      </w:tr>
      <w:tr w:rsidR="002E1F85" w:rsidRPr="00E57260" w14:paraId="26357970" w14:textId="50C13990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FF1C66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$75,000</w:t>
            </w:r>
            <w:r w:rsidRPr="00E57260">
              <w:rPr>
                <w:rFonts w:ascii="Verdana" w:hAnsi="Verdana"/>
                <w:sz w:val="20"/>
                <w:szCs w:val="20"/>
              </w:rPr>
              <w:t>–$99,999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154BC" w14:textId="1C0E7AA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15.3%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4CAEC8" w14:textId="728415CF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D9D326" w14:textId="021D7B11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15.8%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61DE4" w14:textId="4006FC3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43F9046F" w14:textId="62987F6D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16.3%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1FCA2DA5" w14:textId="0F5D5EF4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109</w:t>
            </w:r>
          </w:p>
        </w:tc>
      </w:tr>
      <w:tr w:rsidR="002E1F85" w:rsidRPr="00E57260" w14:paraId="7B697484" w14:textId="23B713BB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808DB5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$100,000</w:t>
            </w:r>
            <w:r w:rsidRPr="00E57260">
              <w:rPr>
                <w:rFonts w:ascii="Verdana" w:hAnsi="Verdana"/>
                <w:sz w:val="20"/>
                <w:szCs w:val="20"/>
              </w:rPr>
              <w:t>–$149,999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958A9" w14:textId="50459F6F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B0145" w14:textId="1A023B4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4C7E8B" w14:textId="6706ADEE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17.8%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9F8977" w14:textId="064B6180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0A04F1C6" w14:textId="0C106EC4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16.4%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417CC3DA" w14:textId="6D760A8D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139</w:t>
            </w:r>
          </w:p>
        </w:tc>
      </w:tr>
      <w:tr w:rsidR="002E1F85" w:rsidRPr="00E57260" w14:paraId="6F447EED" w14:textId="64203DCC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A7E770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$150,000</w:t>
            </w:r>
            <w:r w:rsidRPr="00E57260">
              <w:rPr>
                <w:rFonts w:ascii="Verdana" w:hAnsi="Verdana"/>
                <w:sz w:val="20"/>
                <w:szCs w:val="20"/>
              </w:rPr>
              <w:t>–$199,999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6745A" w14:textId="62A886A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3.9%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8A712B" w14:textId="7642A488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245B9C" w14:textId="14E81D68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6.4%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DB331C" w14:textId="27BCD136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18E18701" w14:textId="647FA9A6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5.2%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43EF9493" w14:textId="109C2AD6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127</w:t>
            </w:r>
          </w:p>
        </w:tc>
      </w:tr>
      <w:tr w:rsidR="002E1F85" w:rsidRPr="00E57260" w14:paraId="391238C1" w14:textId="254CD582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C64E6C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$200,000</w:t>
            </w:r>
            <w:r w:rsidRPr="00E57260">
              <w:rPr>
                <w:rFonts w:ascii="Verdana" w:hAnsi="Verdana"/>
                <w:sz w:val="20"/>
                <w:szCs w:val="20"/>
              </w:rPr>
              <w:t>–$299,999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B56AF" w14:textId="75AEFCE0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1.8%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F93C0E" w14:textId="552806CC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81E60A" w14:textId="11B2C176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3.8%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62D857" w14:textId="11B4923A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131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1BDCC5FC" w14:textId="52240BF0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1.8%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0FA79CAB" w14:textId="4BEAD8DE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106</w:t>
            </w:r>
          </w:p>
        </w:tc>
      </w:tr>
      <w:tr w:rsidR="002E1F85" w:rsidRPr="00E57260" w14:paraId="689D0EF0" w14:textId="3FA23EBD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1811F8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$300,000+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60001" w14:textId="7B99AFD3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2.4%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EB06F3" w14:textId="51FB2B2F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7650EC" w14:textId="575A840D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1.3%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53DC" w14:textId="4688BD6A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541C511C" w14:textId="0B8E9EF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1.7%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4E4DB98B" w14:textId="7974DC77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167</w:t>
            </w:r>
          </w:p>
        </w:tc>
      </w:tr>
      <w:tr w:rsidR="002E1F85" w:rsidRPr="00E57260" w14:paraId="61DF4CB6" w14:textId="1026D0AE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52FC3B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$500,000+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3449E" w14:textId="2BB49BE4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1.8%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8C2B82" w14:textId="4ACD504C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6DBFFE" w14:textId="06D76B6B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0.3%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6B3BBB" w14:textId="1140AE88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5793CAD5" w14:textId="133ABBAB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0.5%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</w:tcPr>
          <w:p w14:paraId="3C2067EC" w14:textId="4F3E3B1A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129</w:t>
            </w:r>
          </w:p>
        </w:tc>
      </w:tr>
      <w:tr w:rsidR="002E1F85" w:rsidRPr="00E57260" w14:paraId="0292D3E3" w14:textId="29B3600D" w:rsidTr="002E1F8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8EC71F" w14:textId="77777777" w:rsidR="002E1F85" w:rsidRPr="00E57260" w:rsidRDefault="002E1F85" w:rsidP="002E1F8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E57260">
              <w:rPr>
                <w:rFonts w:ascii="Verdana" w:eastAsia="Times New Roman" w:hAnsi="Verdana"/>
                <w:sz w:val="20"/>
                <w:szCs w:val="20"/>
              </w:rPr>
              <w:t>$1,000,000+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9C468" w14:textId="418E3E9D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70A2F3" w14:textId="0904E00F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273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27FD99" w14:textId="797455E5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0.1%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38AEB2" w14:textId="7F101EC2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auto"/>
            </w:tcBorders>
          </w:tcPr>
          <w:p w14:paraId="35B995E5" w14:textId="216E4630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0.2%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61788ED0" w14:textId="1E876EF0" w:rsidR="002E1F85" w:rsidRPr="00E57260" w:rsidRDefault="002E1F85" w:rsidP="002E1F8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sz w:val="20"/>
                <w:szCs w:val="20"/>
              </w:rPr>
            </w:pPr>
            <w:r w:rsidRPr="00E57260">
              <w:rPr>
                <w:rFonts w:eastAsia="Times New Roman"/>
                <w:sz w:val="20"/>
                <w:szCs w:val="20"/>
              </w:rPr>
              <w:t>151</w:t>
            </w:r>
          </w:p>
        </w:tc>
      </w:tr>
    </w:tbl>
    <w:p w14:paraId="55D74A42" w14:textId="77777777" w:rsidR="009469BD" w:rsidRPr="00E57260" w:rsidRDefault="009469BD" w:rsidP="009469BD">
      <w:pPr>
        <w:pStyle w:val="NoSpacing"/>
        <w:tabs>
          <w:tab w:val="left" w:pos="1440"/>
        </w:tabs>
        <w:contextualSpacing/>
        <w:rPr>
          <w:sz w:val="20"/>
          <w:szCs w:val="20"/>
        </w:rPr>
      </w:pPr>
      <w:r w:rsidRPr="00E57260">
        <w:rPr>
          <w:sz w:val="16"/>
          <w:szCs w:val="16"/>
        </w:rPr>
        <w:tab/>
        <w:t>Based on The Media Audit’s February 2018 Rolling Aggregate Survey</w:t>
      </w:r>
      <w:r w:rsidRPr="00E57260">
        <w:rPr>
          <w:sz w:val="16"/>
          <w:szCs w:val="16"/>
        </w:rPr>
        <w:tab/>
      </w:r>
    </w:p>
    <w:p w14:paraId="78E679E8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3CDFB8E2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6DC49CD3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2AC14BFB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548CA371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3266F5ED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32F550B4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3C35B056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72BAAFC7" w14:textId="3CB69CD0" w:rsidR="00F94CE8" w:rsidRPr="00E57260" w:rsidRDefault="00F94CE8" w:rsidP="00F94CE8">
      <w:pPr>
        <w:spacing w:after="0" w:line="240" w:lineRule="auto"/>
        <w:rPr>
          <w:rFonts w:ascii="Verdana" w:hAnsi="Verdana"/>
          <w:sz w:val="16"/>
          <w:szCs w:val="16"/>
        </w:rPr>
      </w:pPr>
      <w:r w:rsidRPr="00E57260">
        <w:rPr>
          <w:rFonts w:ascii="Verdana" w:hAnsi="Verdana"/>
          <w:i/>
          <w:sz w:val="16"/>
        </w:rPr>
        <w:t>Sources:</w:t>
      </w:r>
      <w:r w:rsidRPr="00E57260">
        <w:rPr>
          <w:rFonts w:ascii="Verdana" w:hAnsi="Verdana"/>
          <w:sz w:val="16"/>
        </w:rPr>
        <w:t xml:space="preserve"> </w:t>
      </w:r>
      <w:r w:rsidR="00123266" w:rsidRPr="00E57260">
        <w:rPr>
          <w:rFonts w:ascii="Verdana" w:hAnsi="Verdana"/>
          <w:sz w:val="16"/>
          <w:szCs w:val="16"/>
        </w:rPr>
        <w:t>IBISWorld</w:t>
      </w:r>
      <w:r w:rsidRPr="00E57260">
        <w:rPr>
          <w:rFonts w:ascii="Verdana" w:hAnsi="Verdana"/>
          <w:sz w:val="16"/>
          <w:szCs w:val="16"/>
        </w:rPr>
        <w:t xml:space="preserve"> Website, </w:t>
      </w:r>
      <w:r w:rsidR="002E673D" w:rsidRPr="00E57260">
        <w:rPr>
          <w:rFonts w:ascii="Verdana" w:hAnsi="Verdana"/>
          <w:sz w:val="16"/>
          <w:szCs w:val="16"/>
        </w:rPr>
        <w:t>6</w:t>
      </w:r>
      <w:r w:rsidR="00306D88" w:rsidRPr="00E57260">
        <w:rPr>
          <w:rFonts w:ascii="Verdana" w:hAnsi="Verdana"/>
          <w:sz w:val="16"/>
          <w:szCs w:val="16"/>
        </w:rPr>
        <w:t>/18</w:t>
      </w:r>
      <w:r w:rsidRPr="00E57260">
        <w:rPr>
          <w:rFonts w:ascii="Verdana" w:hAnsi="Verdana"/>
          <w:sz w:val="16"/>
          <w:szCs w:val="16"/>
        </w:rPr>
        <w:t xml:space="preserve">; </w:t>
      </w:r>
      <w:r w:rsidR="00123266" w:rsidRPr="00E57260">
        <w:rPr>
          <w:rFonts w:ascii="Verdana" w:hAnsi="Verdana"/>
          <w:sz w:val="16"/>
          <w:szCs w:val="16"/>
        </w:rPr>
        <w:t>Host Healthcare</w:t>
      </w:r>
      <w:r w:rsidRPr="00E57260">
        <w:rPr>
          <w:rFonts w:ascii="Verdana" w:hAnsi="Verdana"/>
          <w:sz w:val="16"/>
          <w:szCs w:val="16"/>
        </w:rPr>
        <w:t xml:space="preserve"> Website, </w:t>
      </w:r>
      <w:r w:rsidR="002E673D" w:rsidRPr="00E57260">
        <w:rPr>
          <w:rFonts w:ascii="Verdana" w:hAnsi="Verdana"/>
          <w:sz w:val="16"/>
          <w:szCs w:val="16"/>
        </w:rPr>
        <w:t>6</w:t>
      </w:r>
      <w:r w:rsidR="00306D88" w:rsidRPr="00E57260">
        <w:rPr>
          <w:rFonts w:ascii="Verdana" w:hAnsi="Verdana"/>
          <w:sz w:val="16"/>
          <w:szCs w:val="16"/>
        </w:rPr>
        <w:t>/18</w:t>
      </w:r>
      <w:r w:rsidRPr="00E57260">
        <w:rPr>
          <w:rFonts w:ascii="Verdana" w:hAnsi="Verdana"/>
          <w:sz w:val="16"/>
          <w:szCs w:val="16"/>
        </w:rPr>
        <w:t xml:space="preserve">; </w:t>
      </w:r>
      <w:r w:rsidR="00123266" w:rsidRPr="00E57260">
        <w:rPr>
          <w:rFonts w:ascii="Verdana" w:hAnsi="Verdana"/>
          <w:i/>
          <w:sz w:val="16"/>
          <w:szCs w:val="16"/>
        </w:rPr>
        <w:t>Fortune</w:t>
      </w:r>
      <w:r w:rsidR="009A3EBE" w:rsidRPr="00E57260">
        <w:rPr>
          <w:rFonts w:ascii="Verdana" w:hAnsi="Verdana"/>
          <w:sz w:val="16"/>
          <w:szCs w:val="16"/>
        </w:rPr>
        <w:t xml:space="preserve"> </w:t>
      </w:r>
      <w:r w:rsidRPr="00E57260">
        <w:rPr>
          <w:rFonts w:ascii="Verdana" w:hAnsi="Verdana"/>
          <w:sz w:val="16"/>
          <w:szCs w:val="16"/>
        </w:rPr>
        <w:t>Website</w:t>
      </w:r>
      <w:r w:rsidR="002E673D" w:rsidRPr="00E57260">
        <w:rPr>
          <w:rFonts w:ascii="Verdana" w:hAnsi="Verdana"/>
          <w:sz w:val="16"/>
          <w:szCs w:val="16"/>
        </w:rPr>
        <w:t>, 6</w:t>
      </w:r>
      <w:r w:rsidR="00306D88" w:rsidRPr="00E57260">
        <w:rPr>
          <w:rFonts w:ascii="Verdana" w:hAnsi="Verdana"/>
          <w:sz w:val="16"/>
          <w:szCs w:val="16"/>
        </w:rPr>
        <w:t>/18</w:t>
      </w:r>
      <w:r w:rsidR="00123266" w:rsidRPr="00E57260">
        <w:rPr>
          <w:rFonts w:ascii="Verdana" w:hAnsi="Verdana"/>
          <w:sz w:val="16"/>
          <w:szCs w:val="16"/>
        </w:rPr>
        <w:t>; CNBC Website</w:t>
      </w:r>
      <w:r w:rsidR="004353D3" w:rsidRPr="00E57260">
        <w:rPr>
          <w:rFonts w:ascii="Verdana" w:hAnsi="Verdana"/>
          <w:sz w:val="16"/>
          <w:szCs w:val="16"/>
        </w:rPr>
        <w:t>, 6/18;American Physical Therapy Association Website, 6/18; Commission on Accreditation in Physical Therapy Education Website, 6/18; Grandview Research Website, 6/18; Business Wire Website, 6/18; Globe News Wire Website, 6/18; PR Newswire Website, 6/18; Home Health Care News Website, 6/18; Agency for Healthcare Research &amp; Quality Website, 6/18;Emergo Website, 6/18; BizVibe Website, 6/18; Medical Device and Diagnostic Industry Website, 6/18; CNet Website, 6/18</w:t>
      </w:r>
      <w:r w:rsidR="002E1F85" w:rsidRPr="00E57260">
        <w:rPr>
          <w:rFonts w:ascii="Verdana" w:hAnsi="Verdana"/>
          <w:sz w:val="16"/>
          <w:szCs w:val="16"/>
        </w:rPr>
        <w:t xml:space="preserve">; </w:t>
      </w:r>
      <w:r w:rsidR="002E1F85" w:rsidRPr="00E57260">
        <w:rPr>
          <w:sz w:val="16"/>
          <w:szCs w:val="16"/>
        </w:rPr>
        <w:t>The Media Audit Website</w:t>
      </w:r>
      <w:r w:rsidR="002E1F85" w:rsidRPr="00E57260">
        <w:rPr>
          <w:rFonts w:ascii="Verdana" w:hAnsi="Verdana"/>
          <w:sz w:val="16"/>
          <w:szCs w:val="16"/>
        </w:rPr>
        <w:t xml:space="preserve">, </w:t>
      </w:r>
      <w:r w:rsidR="002E1F85" w:rsidRPr="00E57260">
        <w:rPr>
          <w:rFonts w:ascii="Verdana" w:hAnsi="Verdana"/>
          <w:sz w:val="16"/>
          <w:szCs w:val="16"/>
        </w:rPr>
        <w:t>6</w:t>
      </w:r>
      <w:r w:rsidR="002E1F85" w:rsidRPr="00E57260">
        <w:rPr>
          <w:rFonts w:ascii="Verdana" w:hAnsi="Verdana"/>
          <w:sz w:val="16"/>
          <w:szCs w:val="16"/>
        </w:rPr>
        <w:t>/18.</w:t>
      </w:r>
    </w:p>
    <w:p w14:paraId="7EF64BA4" w14:textId="77777777" w:rsidR="00F94CE8" w:rsidRPr="00E57260" w:rsidRDefault="00F94CE8" w:rsidP="00F94CE8">
      <w:pPr>
        <w:spacing w:after="0" w:line="240" w:lineRule="auto"/>
        <w:rPr>
          <w:rFonts w:ascii="Verdana" w:hAnsi="Verdana"/>
          <w:sz w:val="16"/>
        </w:rPr>
      </w:pPr>
    </w:p>
    <w:p w14:paraId="49C0D793" w14:textId="1B3C7D7D" w:rsidR="00F94CE8" w:rsidRPr="00E57260" w:rsidRDefault="00F94CE8" w:rsidP="00F94CE8">
      <w:pPr>
        <w:spacing w:after="0" w:line="240" w:lineRule="auto"/>
        <w:rPr>
          <w:rFonts w:ascii="Verdana" w:hAnsi="Verdana"/>
          <w:strike/>
          <w:sz w:val="16"/>
        </w:rPr>
      </w:pPr>
      <w:r w:rsidRPr="00E57260">
        <w:rPr>
          <w:rFonts w:ascii="Verdana" w:hAnsi="Verdana"/>
          <w:i/>
          <w:sz w:val="16"/>
        </w:rPr>
        <w:t>Updated</w:t>
      </w:r>
      <w:r w:rsidR="003F0FE1" w:rsidRPr="00E57260">
        <w:rPr>
          <w:rFonts w:ascii="Verdana" w:hAnsi="Verdana"/>
          <w:sz w:val="16"/>
        </w:rPr>
        <w:t xml:space="preserve">: </w:t>
      </w:r>
      <w:r w:rsidR="002E673D" w:rsidRPr="00E57260">
        <w:rPr>
          <w:rFonts w:ascii="Verdana" w:hAnsi="Verdana"/>
          <w:sz w:val="16"/>
        </w:rPr>
        <w:t>June</w:t>
      </w:r>
      <w:r w:rsidRPr="00E57260">
        <w:rPr>
          <w:rFonts w:ascii="Verdana" w:hAnsi="Verdana"/>
          <w:sz w:val="16"/>
        </w:rPr>
        <w:t xml:space="preserve"> 201</w:t>
      </w:r>
      <w:r w:rsidR="00306D88" w:rsidRPr="00E57260">
        <w:rPr>
          <w:rFonts w:ascii="Verdana" w:hAnsi="Verdana"/>
          <w:sz w:val="16"/>
        </w:rPr>
        <w:t>8</w:t>
      </w:r>
    </w:p>
    <w:p w14:paraId="061B0C21" w14:textId="77777777" w:rsidR="00F94CE8" w:rsidRPr="00E57260" w:rsidRDefault="00F94CE8" w:rsidP="00F94CE8">
      <w:pPr>
        <w:pStyle w:val="NoSpacing"/>
        <w:contextualSpacing/>
        <w:rPr>
          <w:sz w:val="20"/>
          <w:szCs w:val="20"/>
        </w:rPr>
      </w:pPr>
    </w:p>
    <w:p w14:paraId="56AD0CC7" w14:textId="55100F24" w:rsidR="00F94CE8" w:rsidRPr="00E57260" w:rsidRDefault="00F94CE8" w:rsidP="00F94CE8">
      <w:pPr>
        <w:pStyle w:val="NoSpacing"/>
        <w:contextualSpacing/>
        <w:rPr>
          <w:sz w:val="16"/>
          <w:szCs w:val="16"/>
        </w:rPr>
      </w:pPr>
      <w:r w:rsidRPr="00E57260">
        <w:rPr>
          <w:rFonts w:ascii="Verdana" w:hAnsi="Verdana"/>
          <w:sz w:val="16"/>
          <w:szCs w:val="16"/>
        </w:rPr>
        <w:t>©</w:t>
      </w:r>
      <w:r w:rsidR="00306D88" w:rsidRPr="00E57260">
        <w:rPr>
          <w:sz w:val="16"/>
          <w:szCs w:val="16"/>
        </w:rPr>
        <w:t xml:space="preserve"> 2018</w:t>
      </w:r>
      <w:r w:rsidRPr="00E57260">
        <w:rPr>
          <w:sz w:val="16"/>
          <w:szCs w:val="16"/>
        </w:rPr>
        <w:t xml:space="preserve"> Media Group Online, Inc. All rights reserved.</w:t>
      </w:r>
    </w:p>
    <w:p w14:paraId="47D01060" w14:textId="77777777" w:rsidR="00F94CE8" w:rsidRPr="00E57260" w:rsidRDefault="00F94CE8" w:rsidP="00260DE9">
      <w:pPr>
        <w:pStyle w:val="NoSpacing"/>
        <w:rPr>
          <w:sz w:val="20"/>
          <w:szCs w:val="20"/>
        </w:rPr>
      </w:pPr>
    </w:p>
    <w:sectPr w:rsidR="00F94CE8" w:rsidRPr="00E57260" w:rsidSect="00260DE9">
      <w:headerReference w:type="default" r:id="rId8"/>
      <w:footerReference w:type="default" r:id="rId9"/>
      <w:pgSz w:w="12240" w:h="15840" w:code="1"/>
      <w:pgMar w:top="2160" w:right="1440" w:bottom="1440" w:left="1440" w:header="14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E6A3F" w14:textId="77777777" w:rsidR="00F31DA3" w:rsidRDefault="00F31DA3" w:rsidP="00260DE9">
      <w:pPr>
        <w:spacing w:after="0" w:line="240" w:lineRule="auto"/>
      </w:pPr>
      <w:r>
        <w:separator/>
      </w:r>
    </w:p>
  </w:endnote>
  <w:endnote w:type="continuationSeparator" w:id="0">
    <w:p w14:paraId="7CD68CFB" w14:textId="77777777" w:rsidR="00F31DA3" w:rsidRDefault="00F31DA3" w:rsidP="0026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3B7" w14:textId="77777777" w:rsidR="00123266" w:rsidRDefault="00123266" w:rsidP="003E2E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4724D9F8" wp14:editId="6BCACCF1">
          <wp:extent cx="300990" cy="300990"/>
          <wp:effectExtent l="19050" t="0" r="3810" b="0"/>
          <wp:docPr id="4" name="Picture 3" descr="MGOlogoBlack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OlogoBlack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42" cy="300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5080" w14:textId="77777777" w:rsidR="00123266" w:rsidRPr="0097480E" w:rsidRDefault="00123266" w:rsidP="00EF6AB9">
    <w:pPr>
      <w:pStyle w:val="Footer"/>
      <w:jc w:val="center"/>
      <w:rPr>
        <w:rFonts w:ascii="Arial" w:hAnsi="Arial" w:cs="Arial"/>
        <w:sz w:val="16"/>
        <w:szCs w:val="16"/>
      </w:rPr>
    </w:pPr>
    <w:r w:rsidRPr="0097480E">
      <w:rPr>
        <w:rFonts w:ascii="Arial" w:hAnsi="Arial" w:cs="Arial"/>
        <w:sz w:val="16"/>
        <w:szCs w:val="16"/>
        <w:shd w:val="clear" w:color="auto" w:fill="FFFFFF"/>
      </w:rPr>
      <w:t>Media Group Online, Inc.</w:t>
    </w:r>
    <w:r w:rsidRPr="0097480E">
      <w:rPr>
        <w:rFonts w:ascii="Arial" w:hAnsi="Arial" w:cs="Arial"/>
        <w:sz w:val="16"/>
        <w:szCs w:val="16"/>
      </w:rPr>
      <w:t xml:space="preserve">• </w:t>
    </w:r>
    <w:r w:rsidRPr="0097480E">
      <w:rPr>
        <w:rFonts w:ascii="Arial" w:hAnsi="Arial" w:cs="Arial"/>
        <w:sz w:val="16"/>
        <w:szCs w:val="16"/>
        <w:shd w:val="clear" w:color="auto" w:fill="FFFFFF"/>
      </w:rPr>
      <w:t>103 Sterling Mine Rd.</w:t>
    </w:r>
    <w:r w:rsidRPr="0097480E">
      <w:rPr>
        <w:rFonts w:ascii="Arial" w:hAnsi="Arial" w:cs="Arial"/>
        <w:sz w:val="16"/>
        <w:szCs w:val="16"/>
      </w:rPr>
      <w:t xml:space="preserve">• </w:t>
    </w:r>
    <w:r w:rsidRPr="0097480E">
      <w:rPr>
        <w:rFonts w:ascii="Arial" w:hAnsi="Arial" w:cs="Arial"/>
        <w:sz w:val="16"/>
        <w:szCs w:val="16"/>
        <w:shd w:val="clear" w:color="auto" w:fill="FFFFFF"/>
      </w:rPr>
      <w:t xml:space="preserve">Sloatsburg, NY 10974 </w:t>
    </w:r>
    <w:r w:rsidRPr="0097480E">
      <w:rPr>
        <w:rFonts w:ascii="Arial" w:hAnsi="Arial" w:cs="Arial"/>
        <w:sz w:val="16"/>
        <w:szCs w:val="16"/>
      </w:rPr>
      <w:t>• Tel 866-921-1026 • Fax 845-712-5168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5BA7D" w14:textId="77777777" w:rsidR="00F31DA3" w:rsidRDefault="00F31DA3" w:rsidP="00260DE9">
      <w:pPr>
        <w:spacing w:after="0" w:line="240" w:lineRule="auto"/>
      </w:pPr>
      <w:r>
        <w:separator/>
      </w:r>
    </w:p>
  </w:footnote>
  <w:footnote w:type="continuationSeparator" w:id="0">
    <w:p w14:paraId="2D20F76A" w14:textId="77777777" w:rsidR="00F31DA3" w:rsidRDefault="00F31DA3" w:rsidP="0026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DC73" w14:textId="77777777" w:rsidR="00123266" w:rsidRDefault="001232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DB21C" wp14:editId="7366BB1A">
          <wp:simplePos x="0" y="0"/>
          <wp:positionH relativeFrom="column">
            <wp:posOffset>-638175</wp:posOffset>
          </wp:positionH>
          <wp:positionV relativeFrom="paragraph">
            <wp:posOffset>-771525</wp:posOffset>
          </wp:positionV>
          <wp:extent cx="5943600" cy="1192530"/>
          <wp:effectExtent l="0" t="0" r="0" b="0"/>
          <wp:wrapTight wrapText="bothSides">
            <wp:wrapPolygon edited="0">
              <wp:start x="1454" y="0"/>
              <wp:lineTo x="1038" y="690"/>
              <wp:lineTo x="69" y="4486"/>
              <wp:lineTo x="0" y="7936"/>
              <wp:lineTo x="0" y="13802"/>
              <wp:lineTo x="138" y="17252"/>
              <wp:lineTo x="1177" y="21393"/>
              <wp:lineTo x="1385" y="21393"/>
              <wp:lineTo x="2838" y="21393"/>
              <wp:lineTo x="8931" y="16907"/>
              <wp:lineTo x="21531" y="15872"/>
              <wp:lineTo x="21531" y="6901"/>
              <wp:lineTo x="19938" y="4831"/>
              <wp:lineTo x="2838" y="0"/>
              <wp:lineTo x="145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OProfilerHeader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9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65375"/>
    <w:multiLevelType w:val="hybridMultilevel"/>
    <w:tmpl w:val="6A3CE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E7695"/>
    <w:multiLevelType w:val="hybridMultilevel"/>
    <w:tmpl w:val="3800D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646E4"/>
    <w:multiLevelType w:val="hybridMultilevel"/>
    <w:tmpl w:val="4D4CB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E091D"/>
    <w:multiLevelType w:val="hybridMultilevel"/>
    <w:tmpl w:val="9D402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849EF"/>
    <w:multiLevelType w:val="hybridMultilevel"/>
    <w:tmpl w:val="67F0E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51A32"/>
    <w:multiLevelType w:val="hybridMultilevel"/>
    <w:tmpl w:val="36D61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8C7949"/>
    <w:multiLevelType w:val="hybridMultilevel"/>
    <w:tmpl w:val="47EE0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3214C"/>
    <w:multiLevelType w:val="hybridMultilevel"/>
    <w:tmpl w:val="5ABA0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E9"/>
    <w:rsid w:val="000048D3"/>
    <w:rsid w:val="000052A8"/>
    <w:rsid w:val="0002308E"/>
    <w:rsid w:val="000577D6"/>
    <w:rsid w:val="000830D7"/>
    <w:rsid w:val="000D7C07"/>
    <w:rsid w:val="000D7DA2"/>
    <w:rsid w:val="00103818"/>
    <w:rsid w:val="00123266"/>
    <w:rsid w:val="00161104"/>
    <w:rsid w:val="001B64B0"/>
    <w:rsid w:val="002567C6"/>
    <w:rsid w:val="00260DE9"/>
    <w:rsid w:val="00283129"/>
    <w:rsid w:val="002D7C6C"/>
    <w:rsid w:val="002E1F85"/>
    <w:rsid w:val="002E673D"/>
    <w:rsid w:val="00306D88"/>
    <w:rsid w:val="00320066"/>
    <w:rsid w:val="003E2E9B"/>
    <w:rsid w:val="003F0FE1"/>
    <w:rsid w:val="00400CDB"/>
    <w:rsid w:val="00402B4F"/>
    <w:rsid w:val="00422A36"/>
    <w:rsid w:val="004353D3"/>
    <w:rsid w:val="004509C0"/>
    <w:rsid w:val="0045212B"/>
    <w:rsid w:val="00494CA5"/>
    <w:rsid w:val="004F7751"/>
    <w:rsid w:val="00541C7F"/>
    <w:rsid w:val="0055410B"/>
    <w:rsid w:val="00571D6A"/>
    <w:rsid w:val="00582206"/>
    <w:rsid w:val="00594B9D"/>
    <w:rsid w:val="00596832"/>
    <w:rsid w:val="00602FA4"/>
    <w:rsid w:val="00611CBB"/>
    <w:rsid w:val="006240BF"/>
    <w:rsid w:val="00635FF3"/>
    <w:rsid w:val="0063663F"/>
    <w:rsid w:val="00637CB9"/>
    <w:rsid w:val="007257B5"/>
    <w:rsid w:val="00793BD0"/>
    <w:rsid w:val="007B6E29"/>
    <w:rsid w:val="007B76F8"/>
    <w:rsid w:val="007C7403"/>
    <w:rsid w:val="007F061D"/>
    <w:rsid w:val="00833A3B"/>
    <w:rsid w:val="0088505B"/>
    <w:rsid w:val="009419F0"/>
    <w:rsid w:val="009469BD"/>
    <w:rsid w:val="0097480E"/>
    <w:rsid w:val="009A3EBE"/>
    <w:rsid w:val="009A6479"/>
    <w:rsid w:val="009A7E5D"/>
    <w:rsid w:val="009C46AD"/>
    <w:rsid w:val="009C78CE"/>
    <w:rsid w:val="00A031C1"/>
    <w:rsid w:val="00B1139C"/>
    <w:rsid w:val="00B66860"/>
    <w:rsid w:val="00B678CE"/>
    <w:rsid w:val="00C90F90"/>
    <w:rsid w:val="00D41246"/>
    <w:rsid w:val="00D53A70"/>
    <w:rsid w:val="00D63059"/>
    <w:rsid w:val="00D9631B"/>
    <w:rsid w:val="00DA6813"/>
    <w:rsid w:val="00DC4F7C"/>
    <w:rsid w:val="00E46563"/>
    <w:rsid w:val="00E57260"/>
    <w:rsid w:val="00E7764C"/>
    <w:rsid w:val="00EA7F37"/>
    <w:rsid w:val="00EC718F"/>
    <w:rsid w:val="00ED42A4"/>
    <w:rsid w:val="00ED5161"/>
    <w:rsid w:val="00ED5EFB"/>
    <w:rsid w:val="00EE0202"/>
    <w:rsid w:val="00EF6801"/>
    <w:rsid w:val="00EF6AB9"/>
    <w:rsid w:val="00F1119C"/>
    <w:rsid w:val="00F24A40"/>
    <w:rsid w:val="00F2704A"/>
    <w:rsid w:val="00F31DA3"/>
    <w:rsid w:val="00F94CE8"/>
    <w:rsid w:val="00FA495C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90252B"/>
  <w15:docId w15:val="{83B6032C-1722-6B4F-ACF2-73D74C0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2A8"/>
  </w:style>
  <w:style w:type="paragraph" w:styleId="Heading2">
    <w:name w:val="heading 2"/>
    <w:basedOn w:val="Normal"/>
    <w:next w:val="Normal"/>
    <w:link w:val="Heading2Char"/>
    <w:qFormat/>
    <w:rsid w:val="004509C0"/>
    <w:pPr>
      <w:keepNext/>
      <w:spacing w:after="0" w:line="240" w:lineRule="auto"/>
      <w:jc w:val="center"/>
      <w:outlineLvl w:val="1"/>
    </w:pPr>
    <w:rPr>
      <w:rFonts w:ascii="Verdana" w:eastAsia="Cambria" w:hAnsi="Verdana" w:cs="Times New Roman"/>
      <w:b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0DE9"/>
  </w:style>
  <w:style w:type="paragraph" w:styleId="Footer">
    <w:name w:val="footer"/>
    <w:basedOn w:val="Normal"/>
    <w:link w:val="FooterChar"/>
    <w:uiPriority w:val="99"/>
    <w:unhideWhenUsed/>
    <w:rsid w:val="002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E9"/>
  </w:style>
  <w:style w:type="paragraph" w:styleId="NoSpacing">
    <w:name w:val="No Spacing"/>
    <w:uiPriority w:val="1"/>
    <w:qFormat/>
    <w:rsid w:val="00260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9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09C0"/>
    <w:rPr>
      <w:rFonts w:ascii="Verdana" w:eastAsia="Cambria" w:hAnsi="Verdana" w:cs="Times New Roman"/>
      <w:b/>
      <w:color w:val="3366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F555A-60E1-624E-A7BB-6D90E155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Whelan</dc:creator>
  <cp:lastModifiedBy>Bob Sillick</cp:lastModifiedBy>
  <cp:revision>2</cp:revision>
  <dcterms:created xsi:type="dcterms:W3CDTF">2018-07-23T20:36:00Z</dcterms:created>
  <dcterms:modified xsi:type="dcterms:W3CDTF">2018-07-23T20:36:00Z</dcterms:modified>
</cp:coreProperties>
</file>