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3A01F846" w:rsidR="00F94CE8" w:rsidRPr="008B2598" w:rsidRDefault="008B2598" w:rsidP="00C11931">
      <w:pPr>
        <w:pStyle w:val="NoSpacing"/>
        <w:contextualSpacing/>
        <w:mirrorIndents/>
        <w:rPr>
          <w:rFonts w:ascii="Verdana" w:hAnsi="Verdana"/>
          <w:b/>
          <w:bCs/>
          <w:color w:val="FF0000"/>
          <w:sz w:val="20"/>
          <w:szCs w:val="20"/>
        </w:rPr>
      </w:pPr>
      <w:r w:rsidRPr="008B2598">
        <w:rPr>
          <w:rFonts w:ascii="Verdana" w:hAnsi="Verdana"/>
          <w:b/>
          <w:bCs/>
          <w:color w:val="FF0000"/>
          <w:sz w:val="20"/>
          <w:szCs w:val="20"/>
        </w:rPr>
        <w:t>Remodeling Industry 2022</w:t>
      </w:r>
    </w:p>
    <w:p w14:paraId="11DB62D2" w14:textId="77777777" w:rsidR="00F94CE8" w:rsidRPr="008A6C67" w:rsidRDefault="00F94CE8" w:rsidP="008A6C67">
      <w:pPr>
        <w:pStyle w:val="NoSpacing"/>
        <w:contextualSpacing/>
        <w:mirrorIndents/>
        <w:rPr>
          <w:rFonts w:ascii="Verdana" w:hAnsi="Verdana"/>
          <w:sz w:val="20"/>
          <w:szCs w:val="20"/>
        </w:rPr>
      </w:pPr>
    </w:p>
    <w:p w14:paraId="37132FB5" w14:textId="77777777" w:rsidR="008A6C67" w:rsidRPr="008A6C67" w:rsidRDefault="008A6C67" w:rsidP="008A6C67">
      <w:pPr>
        <w:spacing w:after="0" w:line="240" w:lineRule="auto"/>
        <w:contextualSpacing/>
        <w:mirrorIndents/>
        <w:jc w:val="center"/>
        <w:rPr>
          <w:rFonts w:ascii="Verdana" w:hAnsi="Verdana"/>
          <w:b/>
          <w:bCs/>
          <w:color w:val="0070C0"/>
          <w:sz w:val="20"/>
          <w:szCs w:val="20"/>
        </w:rPr>
      </w:pPr>
      <w:r w:rsidRPr="008A6C67">
        <w:rPr>
          <w:rFonts w:ascii="Verdana" w:hAnsi="Verdana"/>
          <w:b/>
          <w:bCs/>
          <w:color w:val="0070C0"/>
          <w:sz w:val="20"/>
          <w:szCs w:val="20"/>
        </w:rPr>
        <w:t>Remaining Hot into 2022</w:t>
      </w:r>
    </w:p>
    <w:p w14:paraId="761A168E" w14:textId="77777777" w:rsidR="008A6C67" w:rsidRPr="008A6C67" w:rsidRDefault="008A6C67" w:rsidP="008A6C67">
      <w:pPr>
        <w:spacing w:after="0" w:line="240" w:lineRule="auto"/>
        <w:contextualSpacing/>
        <w:mirrorIndents/>
        <w:rPr>
          <w:rFonts w:ascii="Verdana" w:hAnsi="Verdana"/>
          <w:sz w:val="20"/>
          <w:szCs w:val="20"/>
        </w:rPr>
      </w:pPr>
    </w:p>
    <w:p w14:paraId="255844F0" w14:textId="0880F7F2" w:rsidR="008A6C67" w:rsidRDefault="008A6C67" w:rsidP="008A6C67">
      <w:pPr>
        <w:spacing w:after="0" w:line="240" w:lineRule="auto"/>
        <w:contextualSpacing/>
        <w:mirrorIndents/>
        <w:rPr>
          <w:rFonts w:ascii="Verdana" w:hAnsi="Verdana"/>
          <w:sz w:val="20"/>
          <w:szCs w:val="20"/>
        </w:rPr>
      </w:pPr>
      <w:r>
        <w:rPr>
          <w:rFonts w:ascii="Verdana" w:hAnsi="Verdana"/>
          <w:sz w:val="20"/>
          <w:szCs w:val="20"/>
        </w:rPr>
        <w:t>Remodeling (and home improvements) ha</w:t>
      </w:r>
      <w:r w:rsidR="00EA758A">
        <w:rPr>
          <w:rFonts w:ascii="Verdana" w:hAnsi="Verdana"/>
          <w:sz w:val="20"/>
          <w:szCs w:val="20"/>
        </w:rPr>
        <w:t>s</w:t>
      </w:r>
      <w:r>
        <w:rPr>
          <w:rFonts w:ascii="Verdana" w:hAnsi="Verdana"/>
          <w:sz w:val="20"/>
          <w:szCs w:val="20"/>
        </w:rPr>
        <w:t xml:space="preserve"> been one of the hottest sectors throughout 2021</w:t>
      </w:r>
      <w:r w:rsidR="00203ECA">
        <w:rPr>
          <w:rFonts w:ascii="Verdana" w:hAnsi="Verdana"/>
          <w:sz w:val="20"/>
          <w:szCs w:val="20"/>
        </w:rPr>
        <w:t>. The Zonda Residential Remodeling Index</w:t>
      </w:r>
      <w:r w:rsidR="00EA758A">
        <w:rPr>
          <w:rFonts w:ascii="Verdana" w:hAnsi="Verdana"/>
          <w:sz w:val="20"/>
          <w:szCs w:val="20"/>
        </w:rPr>
        <w:t xml:space="preserve"> (RRI)</w:t>
      </w:r>
      <w:r w:rsidR="00203ECA">
        <w:rPr>
          <w:rFonts w:ascii="Verdana" w:hAnsi="Verdana"/>
          <w:sz w:val="20"/>
          <w:szCs w:val="20"/>
        </w:rPr>
        <w:t xml:space="preserve"> </w:t>
      </w:r>
      <w:r w:rsidR="00EA758A">
        <w:rPr>
          <w:rFonts w:ascii="Verdana" w:hAnsi="Verdana"/>
          <w:sz w:val="20"/>
          <w:szCs w:val="20"/>
        </w:rPr>
        <w:t>reached 150.2 for Q3 2021, a 12.1% YOY increase</w:t>
      </w:r>
      <w:r w:rsidR="00E45E7F">
        <w:rPr>
          <w:rFonts w:ascii="Verdana" w:hAnsi="Verdana"/>
          <w:sz w:val="20"/>
          <w:szCs w:val="20"/>
        </w:rPr>
        <w:t xml:space="preserve"> and an overall increase for the entire year of 12.4%.</w:t>
      </w:r>
    </w:p>
    <w:p w14:paraId="439F0636" w14:textId="46BE2F0B" w:rsidR="00EA758A" w:rsidRDefault="00EA758A" w:rsidP="008A6C67">
      <w:pPr>
        <w:spacing w:after="0" w:line="240" w:lineRule="auto"/>
        <w:contextualSpacing/>
        <w:mirrorIndents/>
        <w:rPr>
          <w:rFonts w:ascii="Verdana" w:hAnsi="Verdana"/>
          <w:sz w:val="20"/>
          <w:szCs w:val="20"/>
        </w:rPr>
      </w:pPr>
    </w:p>
    <w:p w14:paraId="091F8248" w14:textId="15BE78C1" w:rsidR="00EA758A" w:rsidRDefault="00EA758A" w:rsidP="008A6C67">
      <w:pPr>
        <w:spacing w:after="0" w:line="240" w:lineRule="auto"/>
        <w:contextualSpacing/>
        <w:mirrorIndents/>
        <w:rPr>
          <w:rFonts w:ascii="Verdana" w:hAnsi="Verdana"/>
          <w:sz w:val="20"/>
          <w:szCs w:val="20"/>
        </w:rPr>
      </w:pPr>
      <w:r>
        <w:rPr>
          <w:rFonts w:ascii="Verdana" w:hAnsi="Verdana"/>
          <w:sz w:val="20"/>
          <w:szCs w:val="20"/>
        </w:rPr>
        <w:t>Zonda</w:t>
      </w:r>
      <w:r w:rsidR="00E45E7F">
        <w:rPr>
          <w:rFonts w:ascii="Verdana" w:hAnsi="Verdana"/>
          <w:sz w:val="20"/>
          <w:szCs w:val="20"/>
        </w:rPr>
        <w:t xml:space="preserve"> is </w:t>
      </w:r>
      <w:r>
        <w:rPr>
          <w:rFonts w:ascii="Verdana" w:hAnsi="Verdana"/>
          <w:sz w:val="20"/>
          <w:szCs w:val="20"/>
        </w:rPr>
        <w:t>forecast</w:t>
      </w:r>
      <w:r w:rsidR="00E45E7F">
        <w:rPr>
          <w:rFonts w:ascii="Verdana" w:hAnsi="Verdana"/>
          <w:sz w:val="20"/>
          <w:szCs w:val="20"/>
        </w:rPr>
        <w:t>ing the RRI for all of 2022 will decrease a slight 0.8% primarily because the housing market is predicted to pause from its torrid pace. Increases in the RRI are expected for 2023 at 1.6% and 2024 at 2.0.%</w:t>
      </w:r>
    </w:p>
    <w:p w14:paraId="0DF22547" w14:textId="1D8CBE61" w:rsidR="00EA758A" w:rsidRDefault="00EA758A" w:rsidP="008A6C67">
      <w:pPr>
        <w:spacing w:after="0" w:line="240" w:lineRule="auto"/>
        <w:contextualSpacing/>
        <w:mirrorIndents/>
        <w:rPr>
          <w:rFonts w:ascii="Verdana" w:hAnsi="Verdana"/>
          <w:sz w:val="20"/>
          <w:szCs w:val="20"/>
        </w:rPr>
      </w:pPr>
    </w:p>
    <w:p w14:paraId="3B7061CF" w14:textId="283F4C05" w:rsidR="00EA758A" w:rsidRDefault="00EA758A" w:rsidP="008A6C67">
      <w:pPr>
        <w:spacing w:after="0" w:line="240" w:lineRule="auto"/>
        <w:contextualSpacing/>
        <w:mirrorIndents/>
        <w:rPr>
          <w:rFonts w:ascii="Verdana" w:hAnsi="Verdana"/>
          <w:sz w:val="20"/>
          <w:szCs w:val="20"/>
        </w:rPr>
      </w:pPr>
      <w:r>
        <w:rPr>
          <w:rFonts w:ascii="Verdana" w:hAnsi="Verdana"/>
          <w:sz w:val="20"/>
          <w:szCs w:val="20"/>
        </w:rPr>
        <w:t>The Joint Center for Housing Studies of Harvard University (JCHS) forecasts substantial remodeling/home improvement spending during the first three quarters of 2022 before moderating during Q4 2022, but spending will remain robust.</w:t>
      </w:r>
    </w:p>
    <w:p w14:paraId="3D2A7F67" w14:textId="77777777" w:rsidR="00BE4963" w:rsidRDefault="00BE4963" w:rsidP="008A6C67">
      <w:pPr>
        <w:spacing w:after="0" w:line="240" w:lineRule="auto"/>
        <w:contextualSpacing/>
        <w:mirrorIndents/>
        <w:rPr>
          <w:rFonts w:ascii="Verdana" w:hAnsi="Verdana"/>
          <w:sz w:val="20"/>
          <w:szCs w:val="20"/>
        </w:rPr>
      </w:pPr>
    </w:p>
    <w:p w14:paraId="5F030F4D" w14:textId="000BC96B" w:rsidR="00E45E7F" w:rsidRPr="00BE4963" w:rsidRDefault="006F38AD" w:rsidP="00BE4963">
      <w:pPr>
        <w:pStyle w:val="Header"/>
        <w:contextualSpacing/>
        <w:jc w:val="center"/>
        <w:rPr>
          <w:rFonts w:ascii="Verdana" w:hAnsi="Verdana"/>
          <w:b/>
          <w:sz w:val="20"/>
          <w:szCs w:val="20"/>
        </w:rPr>
      </w:pPr>
      <w:r>
        <w:rPr>
          <w:rFonts w:ascii="Verdana" w:hAnsi="Verdana"/>
          <w:b/>
          <w:sz w:val="20"/>
          <w:szCs w:val="20"/>
        </w:rPr>
        <w:t xml:space="preserve">Leading Indicator of Remodeling Activity by Four-Quarter Moving Spending and Range of Change for </w:t>
      </w:r>
      <w:r w:rsidR="00BE4963">
        <w:rPr>
          <w:rFonts w:ascii="Verdana" w:hAnsi="Verdana"/>
          <w:b/>
          <w:sz w:val="20"/>
          <w:szCs w:val="20"/>
        </w:rPr>
        <w:t>2021</w:t>
      </w:r>
      <w:r>
        <w:rPr>
          <w:rFonts w:ascii="Verdana" w:hAnsi="Verdana"/>
          <w:b/>
          <w:sz w:val="20"/>
          <w:szCs w:val="20"/>
        </w:rPr>
        <w:t xml:space="preserve"> Actual and 2022 Projected, January 2022</w:t>
      </w:r>
    </w:p>
    <w:tbl>
      <w:tblPr>
        <w:tblW w:w="7934" w:type="dxa"/>
        <w:jc w:val="center"/>
        <w:tblBorders>
          <w:left w:val="single" w:sz="8" w:space="0" w:color="000000"/>
          <w:right w:val="single" w:sz="8" w:space="0" w:color="000000"/>
        </w:tblBorders>
        <w:tblLayout w:type="fixed"/>
        <w:tblLook w:val="0000" w:firstRow="0" w:lastRow="0" w:firstColumn="0" w:lastColumn="0" w:noHBand="0" w:noVBand="0"/>
      </w:tblPr>
      <w:tblGrid>
        <w:gridCol w:w="1440"/>
        <w:gridCol w:w="1267"/>
        <w:gridCol w:w="1267"/>
        <w:gridCol w:w="1440"/>
        <w:gridCol w:w="1260"/>
        <w:gridCol w:w="1260"/>
      </w:tblGrid>
      <w:tr w:rsidR="00BE4963" w:rsidRPr="00CC1ECE" w14:paraId="74C66573" w14:textId="77777777" w:rsidTr="00A03B0C">
        <w:trPr>
          <w:jc w:val="center"/>
        </w:trPr>
        <w:tc>
          <w:tcPr>
            <w:tcW w:w="1440" w:type="dxa"/>
            <w:tcBorders>
              <w:top w:val="single" w:sz="12" w:space="0" w:color="000000"/>
              <w:left w:val="single" w:sz="12" w:space="0" w:color="000000"/>
              <w:bottom w:val="single" w:sz="18" w:space="0" w:color="C0504D" w:themeColor="accent2"/>
              <w:right w:val="single" w:sz="12" w:space="0" w:color="0070C0"/>
            </w:tcBorders>
            <w:vAlign w:val="center"/>
          </w:tcPr>
          <w:p w14:paraId="2F414C6C" w14:textId="09D9B618" w:rsidR="00BE4963" w:rsidRPr="00CC1ECE" w:rsidRDefault="006F38A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771D8527" w14:textId="63AAC401" w:rsidR="00BE4963" w:rsidRDefault="006F38A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Spending</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428A12AB" w14:textId="71B9D0C7" w:rsidR="00BE4963" w:rsidRPr="00CC1ECE" w:rsidRDefault="006F38A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w:t>
            </w:r>
          </w:p>
        </w:tc>
        <w:tc>
          <w:tcPr>
            <w:tcW w:w="1440" w:type="dxa"/>
            <w:tcBorders>
              <w:top w:val="single" w:sz="12" w:space="0" w:color="000000"/>
              <w:left w:val="single" w:sz="18" w:space="0" w:color="0070C0"/>
              <w:bottom w:val="single" w:sz="18" w:space="0" w:color="C0504D" w:themeColor="accent2"/>
              <w:right w:val="single" w:sz="12" w:space="0" w:color="0070C0"/>
            </w:tcBorders>
            <w:vAlign w:val="center"/>
          </w:tcPr>
          <w:p w14:paraId="45FAFA5F" w14:textId="7A48B555" w:rsidR="00BE4963" w:rsidRDefault="006F38A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2022</w:t>
            </w:r>
          </w:p>
        </w:tc>
        <w:tc>
          <w:tcPr>
            <w:tcW w:w="1260" w:type="dxa"/>
            <w:tcBorders>
              <w:top w:val="single" w:sz="12" w:space="0" w:color="000000"/>
              <w:left w:val="single" w:sz="12" w:space="0" w:color="0070C0"/>
              <w:bottom w:val="single" w:sz="18" w:space="0" w:color="C0504D" w:themeColor="accent2"/>
              <w:right w:val="single" w:sz="8" w:space="0" w:color="0070C0"/>
            </w:tcBorders>
            <w:vAlign w:val="center"/>
          </w:tcPr>
          <w:p w14:paraId="4863D698" w14:textId="3BDAAFFD" w:rsidR="00BE4963" w:rsidRDefault="006F38A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Spending</w:t>
            </w:r>
          </w:p>
        </w:tc>
        <w:tc>
          <w:tcPr>
            <w:tcW w:w="1260" w:type="dxa"/>
            <w:tcBorders>
              <w:top w:val="single" w:sz="12" w:space="0" w:color="000000"/>
              <w:left w:val="single" w:sz="8" w:space="0" w:color="0070C0"/>
              <w:bottom w:val="single" w:sz="18" w:space="0" w:color="C0504D" w:themeColor="accent2"/>
              <w:right w:val="single" w:sz="12" w:space="0" w:color="auto"/>
            </w:tcBorders>
            <w:vAlign w:val="center"/>
          </w:tcPr>
          <w:p w14:paraId="392C5505" w14:textId="3FB50B67" w:rsidR="00BE4963" w:rsidRDefault="006F38A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w:t>
            </w:r>
          </w:p>
        </w:tc>
      </w:tr>
      <w:tr w:rsidR="00BE4963" w:rsidRPr="00CC1ECE" w14:paraId="43C922A4" w14:textId="77777777" w:rsidTr="00D44B3B">
        <w:trPr>
          <w:trHeight w:val="243"/>
          <w:jc w:val="center"/>
        </w:trPr>
        <w:tc>
          <w:tcPr>
            <w:tcW w:w="1440"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7A2ED54D" w14:textId="4BD482E0" w:rsidR="00BE4963" w:rsidRPr="00CC1ECE" w:rsidRDefault="006F38A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Q1</w:t>
            </w:r>
          </w:p>
        </w:tc>
        <w:tc>
          <w:tcPr>
            <w:tcW w:w="1267" w:type="dxa"/>
            <w:tcBorders>
              <w:top w:val="single" w:sz="18" w:space="0" w:color="C0504D" w:themeColor="accent2"/>
              <w:left w:val="single" w:sz="12" w:space="0" w:color="0070C0"/>
              <w:bottom w:val="single" w:sz="4" w:space="0" w:color="auto"/>
              <w:right w:val="single" w:sz="8" w:space="0" w:color="0070C0"/>
            </w:tcBorders>
            <w:shd w:val="clear" w:color="auto" w:fill="auto"/>
            <w:vAlign w:val="center"/>
          </w:tcPr>
          <w:p w14:paraId="71B9D3CB" w14:textId="655255C5" w:rsidR="00BE4963" w:rsidRPr="00CC1ECE"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$350 B</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EAF1DD" w:themeFill="accent3" w:themeFillTint="33"/>
            <w:vAlign w:val="center"/>
          </w:tcPr>
          <w:p w14:paraId="00FF1773" w14:textId="0AC2EF0E" w:rsidR="00BE4963" w:rsidRPr="00CC1ECE"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w:t>
            </w:r>
          </w:p>
        </w:tc>
        <w:tc>
          <w:tcPr>
            <w:tcW w:w="1440" w:type="dxa"/>
            <w:tcBorders>
              <w:top w:val="single" w:sz="18" w:space="0" w:color="C0504D" w:themeColor="accent2"/>
              <w:left w:val="single" w:sz="18" w:space="0" w:color="0070C0"/>
              <w:bottom w:val="single" w:sz="4" w:space="0" w:color="auto"/>
              <w:right w:val="single" w:sz="12" w:space="0" w:color="0070C0"/>
            </w:tcBorders>
            <w:shd w:val="clear" w:color="auto" w:fill="auto"/>
            <w:vAlign w:val="center"/>
          </w:tcPr>
          <w:p w14:paraId="55333E43" w14:textId="6BBFD558" w:rsidR="00BE4963" w:rsidRPr="00CC1ECE" w:rsidRDefault="006F38A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Q1</w:t>
            </w:r>
          </w:p>
        </w:tc>
        <w:tc>
          <w:tcPr>
            <w:tcW w:w="1260" w:type="dxa"/>
            <w:tcBorders>
              <w:top w:val="single" w:sz="18" w:space="0" w:color="C0504D" w:themeColor="accent2"/>
              <w:left w:val="single" w:sz="12" w:space="0" w:color="0070C0"/>
              <w:bottom w:val="single" w:sz="4" w:space="0" w:color="auto"/>
              <w:right w:val="single" w:sz="8" w:space="0" w:color="0070C0"/>
            </w:tcBorders>
            <w:shd w:val="clear" w:color="auto" w:fill="auto"/>
            <w:vAlign w:val="center"/>
          </w:tcPr>
          <w:p w14:paraId="29E885FB" w14:textId="0071FDD3" w:rsidR="00BE4963" w:rsidRPr="00CC1ECE"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$390 B</w:t>
            </w:r>
          </w:p>
        </w:tc>
        <w:tc>
          <w:tcPr>
            <w:tcW w:w="1260" w:type="dxa"/>
            <w:tcBorders>
              <w:top w:val="single" w:sz="18" w:space="0" w:color="C0504D" w:themeColor="accent2"/>
              <w:left w:val="single" w:sz="8" w:space="0" w:color="0070C0"/>
              <w:bottom w:val="single" w:sz="4" w:space="0" w:color="auto"/>
              <w:right w:val="single" w:sz="12" w:space="0" w:color="auto"/>
            </w:tcBorders>
            <w:shd w:val="clear" w:color="auto" w:fill="D6E3BC" w:themeFill="accent3" w:themeFillTint="66"/>
            <w:vAlign w:val="center"/>
          </w:tcPr>
          <w:p w14:paraId="5868B3DE" w14:textId="3E367BC0" w:rsidR="00BE4963" w:rsidRPr="00CC1ECE"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11.3%</w:t>
            </w:r>
          </w:p>
        </w:tc>
      </w:tr>
      <w:tr w:rsidR="00BE4963" w:rsidRPr="00CC1ECE" w14:paraId="79731908" w14:textId="77777777" w:rsidTr="00D44B3B">
        <w:trPr>
          <w:trHeight w:val="243"/>
          <w:jc w:val="center"/>
        </w:trPr>
        <w:tc>
          <w:tcPr>
            <w:tcW w:w="1440" w:type="dxa"/>
            <w:tcBorders>
              <w:top w:val="single" w:sz="4" w:space="0" w:color="auto"/>
              <w:left w:val="single" w:sz="12" w:space="0" w:color="000000"/>
              <w:bottom w:val="single" w:sz="4" w:space="0" w:color="000000"/>
              <w:right w:val="single" w:sz="12" w:space="0" w:color="0070C0"/>
            </w:tcBorders>
            <w:shd w:val="clear" w:color="auto" w:fill="auto"/>
            <w:vAlign w:val="center"/>
          </w:tcPr>
          <w:p w14:paraId="54D7B3B8" w14:textId="503CC9A1" w:rsidR="00BE4963" w:rsidRDefault="006F38A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Q2</w:t>
            </w:r>
          </w:p>
        </w:tc>
        <w:tc>
          <w:tcPr>
            <w:tcW w:w="1267" w:type="dxa"/>
            <w:tcBorders>
              <w:top w:val="single" w:sz="4" w:space="0" w:color="auto"/>
              <w:left w:val="single" w:sz="12" w:space="0" w:color="0070C0"/>
              <w:bottom w:val="single" w:sz="4" w:space="0" w:color="000000"/>
              <w:right w:val="single" w:sz="8" w:space="0" w:color="0070C0"/>
            </w:tcBorders>
            <w:shd w:val="clear" w:color="auto" w:fill="auto"/>
            <w:vAlign w:val="center"/>
          </w:tcPr>
          <w:p w14:paraId="721680A5" w14:textId="219F9683" w:rsidR="00BE4963"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$351 B</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64521BDF" w14:textId="5DF5A00E" w:rsidR="00BE4963"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5.7%</w:t>
            </w:r>
          </w:p>
        </w:tc>
        <w:tc>
          <w:tcPr>
            <w:tcW w:w="1440" w:type="dxa"/>
            <w:tcBorders>
              <w:top w:val="single" w:sz="4" w:space="0" w:color="auto"/>
              <w:left w:val="single" w:sz="18" w:space="0" w:color="0070C0"/>
              <w:bottom w:val="single" w:sz="4" w:space="0" w:color="000000"/>
              <w:right w:val="single" w:sz="12" w:space="0" w:color="0070C0"/>
            </w:tcBorders>
            <w:shd w:val="clear" w:color="auto" w:fill="auto"/>
            <w:vAlign w:val="center"/>
          </w:tcPr>
          <w:p w14:paraId="3D042370" w14:textId="7C7C038B" w:rsidR="00BE4963" w:rsidRDefault="006F38A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Q2</w:t>
            </w:r>
          </w:p>
        </w:tc>
        <w:tc>
          <w:tcPr>
            <w:tcW w:w="1260" w:type="dxa"/>
            <w:tcBorders>
              <w:top w:val="single" w:sz="4" w:space="0" w:color="auto"/>
              <w:left w:val="single" w:sz="12" w:space="0" w:color="0070C0"/>
              <w:bottom w:val="single" w:sz="4" w:space="0" w:color="000000"/>
              <w:right w:val="single" w:sz="8" w:space="0" w:color="0070C0"/>
            </w:tcBorders>
            <w:shd w:val="clear" w:color="auto" w:fill="auto"/>
            <w:vAlign w:val="center"/>
          </w:tcPr>
          <w:p w14:paraId="62D048F7" w14:textId="397F6F29" w:rsidR="00BE4963"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$404 B</w:t>
            </w:r>
          </w:p>
        </w:tc>
        <w:tc>
          <w:tcPr>
            <w:tcW w:w="1260"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6B8C1E4B" w14:textId="6C776BBD" w:rsidR="00BE4963"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15.2%</w:t>
            </w:r>
          </w:p>
        </w:tc>
      </w:tr>
      <w:tr w:rsidR="00BE4963" w:rsidRPr="00CC1ECE" w14:paraId="71FC5B53" w14:textId="77777777" w:rsidTr="00D44B3B">
        <w:trPr>
          <w:trHeight w:val="243"/>
          <w:jc w:val="center"/>
        </w:trPr>
        <w:tc>
          <w:tcPr>
            <w:tcW w:w="1440" w:type="dxa"/>
            <w:tcBorders>
              <w:top w:val="single" w:sz="4" w:space="0" w:color="auto"/>
              <w:left w:val="single" w:sz="12" w:space="0" w:color="000000"/>
              <w:bottom w:val="single" w:sz="4" w:space="0" w:color="000000"/>
              <w:right w:val="single" w:sz="12" w:space="0" w:color="0070C0"/>
            </w:tcBorders>
            <w:shd w:val="clear" w:color="auto" w:fill="auto"/>
            <w:vAlign w:val="center"/>
          </w:tcPr>
          <w:p w14:paraId="4F94366D" w14:textId="2550F697" w:rsidR="00BE4963" w:rsidRDefault="006F38A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Q3</w:t>
            </w:r>
          </w:p>
        </w:tc>
        <w:tc>
          <w:tcPr>
            <w:tcW w:w="1267" w:type="dxa"/>
            <w:tcBorders>
              <w:top w:val="single" w:sz="4" w:space="0" w:color="auto"/>
              <w:left w:val="single" w:sz="12" w:space="0" w:color="0070C0"/>
              <w:bottom w:val="single" w:sz="4" w:space="0" w:color="000000"/>
              <w:right w:val="single" w:sz="8" w:space="0" w:color="0070C0"/>
            </w:tcBorders>
            <w:shd w:val="clear" w:color="auto" w:fill="auto"/>
            <w:vAlign w:val="center"/>
          </w:tcPr>
          <w:p w14:paraId="03F8CA72" w14:textId="4E2B0027" w:rsidR="00BE4963"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$357 B</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7A7B1887" w14:textId="53339C54" w:rsidR="00BE4963"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7.6%</w:t>
            </w:r>
          </w:p>
        </w:tc>
        <w:tc>
          <w:tcPr>
            <w:tcW w:w="1440" w:type="dxa"/>
            <w:tcBorders>
              <w:top w:val="single" w:sz="4" w:space="0" w:color="auto"/>
              <w:left w:val="single" w:sz="18" w:space="0" w:color="0070C0"/>
              <w:bottom w:val="single" w:sz="4" w:space="0" w:color="000000"/>
              <w:right w:val="single" w:sz="12" w:space="0" w:color="0070C0"/>
            </w:tcBorders>
            <w:shd w:val="clear" w:color="auto" w:fill="auto"/>
            <w:vAlign w:val="center"/>
          </w:tcPr>
          <w:p w14:paraId="5F68FE2F" w14:textId="3F701309" w:rsidR="00BE4963" w:rsidRDefault="006F38A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Q3</w:t>
            </w:r>
          </w:p>
        </w:tc>
        <w:tc>
          <w:tcPr>
            <w:tcW w:w="1260" w:type="dxa"/>
            <w:tcBorders>
              <w:top w:val="single" w:sz="4" w:space="0" w:color="auto"/>
              <w:left w:val="single" w:sz="12" w:space="0" w:color="0070C0"/>
              <w:bottom w:val="single" w:sz="4" w:space="0" w:color="000000"/>
              <w:right w:val="single" w:sz="8" w:space="0" w:color="0070C0"/>
            </w:tcBorders>
            <w:shd w:val="clear" w:color="auto" w:fill="auto"/>
            <w:vAlign w:val="center"/>
          </w:tcPr>
          <w:p w14:paraId="59EC36C0" w14:textId="0669566A" w:rsidR="00BE4963"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$427 B</w:t>
            </w:r>
          </w:p>
        </w:tc>
        <w:tc>
          <w:tcPr>
            <w:tcW w:w="1260"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55FD503F" w14:textId="10105965" w:rsidR="00BE4963"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19.7%</w:t>
            </w:r>
          </w:p>
        </w:tc>
      </w:tr>
      <w:tr w:rsidR="00BE4963" w:rsidRPr="00CC1ECE" w14:paraId="2A90A91A" w14:textId="77777777" w:rsidTr="00D44B3B">
        <w:trPr>
          <w:trHeight w:val="54"/>
          <w:jc w:val="center"/>
        </w:trPr>
        <w:tc>
          <w:tcPr>
            <w:tcW w:w="1440"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79486234" w14:textId="2085CF9D" w:rsidR="00BE4963" w:rsidRPr="00CC1ECE" w:rsidRDefault="006F38A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Q4 </w:t>
            </w:r>
          </w:p>
        </w:tc>
        <w:tc>
          <w:tcPr>
            <w:tcW w:w="1267" w:type="dxa"/>
            <w:tcBorders>
              <w:top w:val="single" w:sz="4" w:space="0" w:color="000000"/>
              <w:left w:val="single" w:sz="12" w:space="0" w:color="0070C0"/>
              <w:bottom w:val="single" w:sz="12" w:space="0" w:color="000000"/>
              <w:right w:val="single" w:sz="8" w:space="0" w:color="0070C0"/>
            </w:tcBorders>
            <w:shd w:val="clear" w:color="auto" w:fill="auto"/>
            <w:vAlign w:val="center"/>
          </w:tcPr>
          <w:p w14:paraId="68EC6A30" w14:textId="60838156" w:rsidR="00BE4963" w:rsidRPr="00CC1ECE"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$368 B</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50B292AC" w14:textId="0FE433DB" w:rsidR="00BE4963" w:rsidRPr="00CC1ECE"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9.4%</w:t>
            </w:r>
          </w:p>
        </w:tc>
        <w:tc>
          <w:tcPr>
            <w:tcW w:w="1440"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6DB1A527" w14:textId="2B370587" w:rsidR="00BE4963" w:rsidRPr="00CC1ECE" w:rsidRDefault="006F38A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Q4</w:t>
            </w:r>
          </w:p>
        </w:tc>
        <w:tc>
          <w:tcPr>
            <w:tcW w:w="1260" w:type="dxa"/>
            <w:tcBorders>
              <w:top w:val="single" w:sz="4" w:space="0" w:color="000000"/>
              <w:left w:val="single" w:sz="12" w:space="0" w:color="0070C0"/>
              <w:bottom w:val="single" w:sz="12" w:space="0" w:color="000000"/>
              <w:right w:val="single" w:sz="8" w:space="0" w:color="0070C0"/>
            </w:tcBorders>
            <w:shd w:val="clear" w:color="auto" w:fill="auto"/>
            <w:vAlign w:val="center"/>
          </w:tcPr>
          <w:p w14:paraId="5319ACBF" w14:textId="27F46A0F" w:rsidR="00BE4963" w:rsidRPr="00CC1ECE"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$432 B</w:t>
            </w:r>
          </w:p>
        </w:tc>
        <w:tc>
          <w:tcPr>
            <w:tcW w:w="1260" w:type="dxa"/>
            <w:tcBorders>
              <w:top w:val="single" w:sz="4" w:space="0" w:color="000000"/>
              <w:left w:val="single" w:sz="8" w:space="0" w:color="0070C0"/>
              <w:bottom w:val="single" w:sz="12" w:space="0" w:color="000000"/>
              <w:right w:val="single" w:sz="12" w:space="0" w:color="auto"/>
            </w:tcBorders>
            <w:shd w:val="clear" w:color="auto" w:fill="C2D69B" w:themeFill="accent3" w:themeFillTint="99"/>
            <w:vAlign w:val="center"/>
          </w:tcPr>
          <w:p w14:paraId="1B0504AA" w14:textId="3C17F04E" w:rsidR="00BE4963" w:rsidRPr="00CC1ECE" w:rsidRDefault="006F38AD" w:rsidP="009A071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17.3%</w:t>
            </w:r>
          </w:p>
        </w:tc>
      </w:tr>
    </w:tbl>
    <w:p w14:paraId="0AB41EE5" w14:textId="66D5C604" w:rsidR="00BE4963" w:rsidRPr="0068494F" w:rsidRDefault="00D44B3B" w:rsidP="00D44B3B">
      <w:pPr>
        <w:pStyle w:val="NoSpacing"/>
        <w:tabs>
          <w:tab w:val="left" w:pos="720"/>
        </w:tabs>
        <w:contextualSpacing/>
        <w:mirrorIndents/>
        <w:rPr>
          <w:rFonts w:ascii="Verdana" w:hAnsi="Verdana"/>
          <w:sz w:val="20"/>
          <w:szCs w:val="20"/>
        </w:rPr>
      </w:pPr>
      <w:r>
        <w:rPr>
          <w:rFonts w:ascii="Verdana" w:hAnsi="Verdana"/>
          <w:sz w:val="16"/>
          <w:szCs w:val="16"/>
        </w:rPr>
        <w:tab/>
        <w:t>The Joint Center for Housing Studies of Harvard University</w:t>
      </w:r>
      <w:r w:rsidR="00BE4963" w:rsidRPr="00CC1ECE">
        <w:rPr>
          <w:rFonts w:ascii="Verdana" w:hAnsi="Verdana"/>
          <w:sz w:val="16"/>
          <w:szCs w:val="16"/>
        </w:rPr>
        <w:t xml:space="preserve">, </w:t>
      </w:r>
      <w:r w:rsidR="00BE4963">
        <w:rPr>
          <w:rFonts w:ascii="Verdana" w:hAnsi="Verdana"/>
          <w:sz w:val="16"/>
          <w:szCs w:val="16"/>
        </w:rPr>
        <w:t>January 202</w:t>
      </w:r>
      <w:r>
        <w:rPr>
          <w:rFonts w:ascii="Verdana" w:hAnsi="Verdana"/>
          <w:sz w:val="16"/>
          <w:szCs w:val="16"/>
        </w:rPr>
        <w:t>2</w:t>
      </w:r>
    </w:p>
    <w:p w14:paraId="6020918C" w14:textId="77777777" w:rsidR="008A6C67" w:rsidRDefault="008A6C67" w:rsidP="008A6C67">
      <w:pPr>
        <w:spacing w:after="0" w:line="240" w:lineRule="auto"/>
        <w:contextualSpacing/>
        <w:mirrorIndents/>
        <w:rPr>
          <w:rFonts w:ascii="Verdana" w:hAnsi="Verdana"/>
          <w:sz w:val="20"/>
          <w:szCs w:val="20"/>
        </w:rPr>
      </w:pPr>
    </w:p>
    <w:p w14:paraId="61E043B0" w14:textId="4BF70FA9" w:rsidR="008A6C67" w:rsidRPr="00D44B3B" w:rsidRDefault="008A6C67" w:rsidP="00D44B3B">
      <w:pPr>
        <w:spacing w:after="0" w:line="240" w:lineRule="auto"/>
        <w:contextualSpacing/>
        <w:mirrorIndents/>
        <w:jc w:val="center"/>
        <w:rPr>
          <w:rFonts w:ascii="Verdana" w:hAnsi="Verdana"/>
          <w:b/>
          <w:bCs/>
          <w:sz w:val="20"/>
          <w:szCs w:val="20"/>
        </w:rPr>
      </w:pPr>
      <w:r w:rsidRPr="00D44B3B">
        <w:rPr>
          <w:rFonts w:ascii="Verdana" w:hAnsi="Verdana"/>
          <w:b/>
          <w:bCs/>
          <w:color w:val="0070C0"/>
          <w:sz w:val="20"/>
          <w:szCs w:val="20"/>
        </w:rPr>
        <w:t>Home Building and Buying Are Still Major Remodeling Drivers</w:t>
      </w:r>
    </w:p>
    <w:p w14:paraId="7391ABBF" w14:textId="77777777" w:rsidR="008A6C67" w:rsidRPr="008A6C67" w:rsidRDefault="008A6C67" w:rsidP="008A6C67">
      <w:pPr>
        <w:spacing w:after="0" w:line="240" w:lineRule="auto"/>
        <w:contextualSpacing/>
        <w:mirrorIndents/>
        <w:rPr>
          <w:rFonts w:ascii="Verdana" w:hAnsi="Verdana"/>
          <w:sz w:val="20"/>
          <w:szCs w:val="20"/>
        </w:rPr>
      </w:pPr>
    </w:p>
    <w:p w14:paraId="0EF6484B" w14:textId="6D61178B" w:rsidR="00844042" w:rsidRDefault="00251271" w:rsidP="008A6C67">
      <w:pPr>
        <w:spacing w:after="0" w:line="240" w:lineRule="auto"/>
        <w:contextualSpacing/>
        <w:mirrorIndents/>
        <w:rPr>
          <w:rFonts w:ascii="Verdana" w:hAnsi="Verdana"/>
          <w:sz w:val="20"/>
          <w:szCs w:val="20"/>
        </w:rPr>
      </w:pPr>
      <w:r>
        <w:rPr>
          <w:rFonts w:ascii="Verdana" w:hAnsi="Verdana"/>
          <w:sz w:val="20"/>
          <w:szCs w:val="20"/>
        </w:rPr>
        <w:t>Although the residential real estate market remain</w:t>
      </w:r>
      <w:r w:rsidR="00A03B0C">
        <w:rPr>
          <w:rFonts w:ascii="Verdana" w:hAnsi="Verdana"/>
          <w:sz w:val="20"/>
          <w:szCs w:val="20"/>
        </w:rPr>
        <w:t>ed</w:t>
      </w:r>
      <w:r>
        <w:rPr>
          <w:rFonts w:ascii="Verdana" w:hAnsi="Verdana"/>
          <w:sz w:val="20"/>
          <w:szCs w:val="20"/>
        </w:rPr>
        <w:t xml:space="preserve"> tight at the beginning of 2022</w:t>
      </w:r>
      <w:r w:rsidR="00462E51">
        <w:rPr>
          <w:rFonts w:ascii="Verdana" w:hAnsi="Verdana"/>
          <w:sz w:val="20"/>
          <w:szCs w:val="20"/>
        </w:rPr>
        <w:t>,</w:t>
      </w:r>
      <w:r>
        <w:rPr>
          <w:rFonts w:ascii="Verdana" w:hAnsi="Verdana"/>
          <w:sz w:val="20"/>
          <w:szCs w:val="20"/>
        </w:rPr>
        <w:t xml:space="preserve"> with more buyers chasing fewer listings, housing starts have been positive, increasing 15.6% YOY during 2021 and 2.5% YOY during December 2021.</w:t>
      </w:r>
    </w:p>
    <w:p w14:paraId="32DAF10B" w14:textId="145DF430" w:rsidR="00251271" w:rsidRDefault="00251271" w:rsidP="008A6C67">
      <w:pPr>
        <w:spacing w:after="0" w:line="240" w:lineRule="auto"/>
        <w:contextualSpacing/>
        <w:mirrorIndents/>
        <w:rPr>
          <w:rFonts w:ascii="Verdana" w:hAnsi="Verdana"/>
          <w:sz w:val="20"/>
          <w:szCs w:val="20"/>
        </w:rPr>
      </w:pPr>
    </w:p>
    <w:p w14:paraId="736D89F6" w14:textId="5D448980" w:rsidR="00251271" w:rsidRDefault="00251271" w:rsidP="008A6C67">
      <w:pPr>
        <w:spacing w:after="0" w:line="240" w:lineRule="auto"/>
        <w:contextualSpacing/>
        <w:mirrorIndents/>
        <w:rPr>
          <w:rFonts w:ascii="Verdana" w:hAnsi="Verdana"/>
          <w:sz w:val="20"/>
          <w:szCs w:val="20"/>
        </w:rPr>
      </w:pPr>
      <w:r>
        <w:rPr>
          <w:rFonts w:ascii="Verdana" w:hAnsi="Verdana"/>
          <w:sz w:val="20"/>
          <w:szCs w:val="20"/>
        </w:rPr>
        <w:t>In the existing-home subsector</w:t>
      </w:r>
      <w:r w:rsidR="00844042">
        <w:rPr>
          <w:rFonts w:ascii="Verdana" w:hAnsi="Verdana"/>
          <w:sz w:val="20"/>
          <w:szCs w:val="20"/>
        </w:rPr>
        <w:t>, the National Association of Realtors (NAR) report</w:t>
      </w:r>
      <w:r w:rsidR="00A03B0C">
        <w:rPr>
          <w:rFonts w:ascii="Verdana" w:hAnsi="Verdana"/>
          <w:sz w:val="20"/>
          <w:szCs w:val="20"/>
        </w:rPr>
        <w:t>ed</w:t>
      </w:r>
      <w:r w:rsidR="00844042">
        <w:rPr>
          <w:rFonts w:ascii="Verdana" w:hAnsi="Verdana"/>
          <w:sz w:val="20"/>
          <w:szCs w:val="20"/>
        </w:rPr>
        <w:t xml:space="preserve"> an 8.5% YOY increase for 2021. During December, however, sales decreased 7.1% YOY, but the NAR said the decline had more to do with a limited supply </w:t>
      </w:r>
      <w:r w:rsidR="00A03B0C">
        <w:rPr>
          <w:rFonts w:ascii="Verdana" w:hAnsi="Verdana"/>
          <w:sz w:val="20"/>
          <w:szCs w:val="20"/>
        </w:rPr>
        <w:t>than</w:t>
      </w:r>
      <w:r w:rsidR="00844042">
        <w:rPr>
          <w:rFonts w:ascii="Verdana" w:hAnsi="Verdana"/>
          <w:sz w:val="20"/>
          <w:szCs w:val="20"/>
        </w:rPr>
        <w:t xml:space="preserve"> less demand.</w:t>
      </w:r>
    </w:p>
    <w:p w14:paraId="37460E8F" w14:textId="15A9607D" w:rsidR="00844042" w:rsidRDefault="00844042" w:rsidP="008A6C67">
      <w:pPr>
        <w:spacing w:after="0" w:line="240" w:lineRule="auto"/>
        <w:contextualSpacing/>
        <w:mirrorIndents/>
        <w:rPr>
          <w:rFonts w:ascii="Verdana" w:hAnsi="Verdana"/>
          <w:sz w:val="20"/>
          <w:szCs w:val="20"/>
        </w:rPr>
      </w:pPr>
    </w:p>
    <w:p w14:paraId="1DE75B67" w14:textId="028F635F" w:rsidR="00844042" w:rsidRDefault="00844042" w:rsidP="008A6C67">
      <w:pPr>
        <w:spacing w:after="0" w:line="240" w:lineRule="auto"/>
        <w:contextualSpacing/>
        <w:mirrorIndents/>
        <w:rPr>
          <w:rFonts w:ascii="Verdana" w:hAnsi="Verdana"/>
          <w:sz w:val="20"/>
          <w:szCs w:val="20"/>
        </w:rPr>
      </w:pPr>
      <w:r>
        <w:rPr>
          <w:rFonts w:ascii="Verdana" w:hAnsi="Verdana"/>
          <w:sz w:val="20"/>
          <w:szCs w:val="20"/>
        </w:rPr>
        <w:t xml:space="preserve">A spokesperson from Zonda reported single-family homes with construction permits not yet started increased 38.5% during early 2022 compared to January 2021. Single-family homes already in the construction phase increased </w:t>
      </w:r>
      <w:r w:rsidR="00462E51">
        <w:rPr>
          <w:rFonts w:ascii="Verdana" w:hAnsi="Verdana"/>
          <w:sz w:val="20"/>
          <w:szCs w:val="20"/>
        </w:rPr>
        <w:t xml:space="preserve">by </w:t>
      </w:r>
      <w:r>
        <w:rPr>
          <w:rFonts w:ascii="Verdana" w:hAnsi="Verdana"/>
          <w:sz w:val="20"/>
          <w:szCs w:val="20"/>
        </w:rPr>
        <w:t>26%</w:t>
      </w:r>
      <w:r w:rsidR="00B34B52">
        <w:rPr>
          <w:rFonts w:ascii="Verdana" w:hAnsi="Verdana"/>
          <w:sz w:val="20"/>
          <w:szCs w:val="20"/>
        </w:rPr>
        <w:t>.</w:t>
      </w:r>
    </w:p>
    <w:p w14:paraId="22C529E2" w14:textId="69860772" w:rsidR="00D44B3B" w:rsidRDefault="00D44B3B" w:rsidP="008A6C67">
      <w:pPr>
        <w:spacing w:after="0" w:line="240" w:lineRule="auto"/>
        <w:contextualSpacing/>
        <w:mirrorIndents/>
        <w:rPr>
          <w:rFonts w:ascii="Verdana" w:hAnsi="Verdana"/>
          <w:sz w:val="20"/>
          <w:szCs w:val="20"/>
        </w:rPr>
      </w:pPr>
    </w:p>
    <w:p w14:paraId="143F76FA" w14:textId="77777777" w:rsidR="00B34B52" w:rsidRDefault="00B34B52" w:rsidP="00B34B52">
      <w:pPr>
        <w:pStyle w:val="Header"/>
        <w:contextualSpacing/>
        <w:jc w:val="center"/>
        <w:rPr>
          <w:rFonts w:ascii="Verdana" w:hAnsi="Verdana"/>
          <w:b/>
          <w:sz w:val="20"/>
          <w:szCs w:val="20"/>
        </w:rPr>
      </w:pPr>
      <w:r>
        <w:rPr>
          <w:rFonts w:ascii="Verdana" w:hAnsi="Verdana"/>
          <w:b/>
          <w:sz w:val="20"/>
          <w:szCs w:val="20"/>
        </w:rPr>
        <w:t xml:space="preserve">National Association of Home Builders/Wells Fargo Housing </w:t>
      </w:r>
    </w:p>
    <w:p w14:paraId="42CD62B9" w14:textId="2C88B975" w:rsidR="00B34B52" w:rsidRPr="00CC1ECE" w:rsidRDefault="00B34B52" w:rsidP="00B34B52">
      <w:pPr>
        <w:pStyle w:val="Header"/>
        <w:contextualSpacing/>
        <w:jc w:val="center"/>
        <w:rPr>
          <w:rFonts w:ascii="Verdana" w:hAnsi="Verdana"/>
          <w:b/>
          <w:sz w:val="20"/>
          <w:szCs w:val="20"/>
        </w:rPr>
      </w:pPr>
      <w:r>
        <w:rPr>
          <w:rFonts w:ascii="Verdana" w:hAnsi="Verdana"/>
          <w:b/>
          <w:sz w:val="20"/>
          <w:szCs w:val="20"/>
        </w:rPr>
        <w:t>Market Index*, by Region, September 2021–January 2022</w:t>
      </w:r>
    </w:p>
    <w:tbl>
      <w:tblPr>
        <w:tblW w:w="8648" w:type="dxa"/>
        <w:jc w:val="center"/>
        <w:tblBorders>
          <w:left w:val="single" w:sz="8" w:space="0" w:color="000000"/>
          <w:right w:val="single" w:sz="8" w:space="0" w:color="000000"/>
        </w:tblBorders>
        <w:tblLayout w:type="fixed"/>
        <w:tblLook w:val="0000" w:firstRow="0" w:lastRow="0" w:firstColumn="0" w:lastColumn="0" w:noHBand="0" w:noVBand="0"/>
      </w:tblPr>
      <w:tblGrid>
        <w:gridCol w:w="1665"/>
        <w:gridCol w:w="1395"/>
        <w:gridCol w:w="1397"/>
        <w:gridCol w:w="1397"/>
        <w:gridCol w:w="1397"/>
        <w:gridCol w:w="1397"/>
      </w:tblGrid>
      <w:tr w:rsidR="00B34B52" w:rsidRPr="00CC1ECE" w14:paraId="207F8495" w14:textId="77777777" w:rsidTr="00A03B0C">
        <w:trPr>
          <w:jc w:val="center"/>
        </w:trPr>
        <w:tc>
          <w:tcPr>
            <w:tcW w:w="1665" w:type="dxa"/>
            <w:tcBorders>
              <w:top w:val="single" w:sz="12" w:space="0" w:color="000000"/>
              <w:left w:val="single" w:sz="12" w:space="0" w:color="000000"/>
              <w:bottom w:val="single" w:sz="18" w:space="0" w:color="C0504D" w:themeColor="accent2"/>
              <w:right w:val="single" w:sz="18" w:space="0" w:color="0070C0"/>
            </w:tcBorders>
            <w:vAlign w:val="center"/>
          </w:tcPr>
          <w:p w14:paraId="5C5133F0" w14:textId="77777777" w:rsidR="00B34B52" w:rsidRPr="00CC1ECE" w:rsidRDefault="00B34B52"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Region</w:t>
            </w:r>
          </w:p>
        </w:tc>
        <w:tc>
          <w:tcPr>
            <w:tcW w:w="1395" w:type="dxa"/>
            <w:tcBorders>
              <w:top w:val="single" w:sz="12" w:space="0" w:color="000000"/>
              <w:left w:val="single" w:sz="18" w:space="0" w:color="0070C0"/>
              <w:bottom w:val="single" w:sz="18" w:space="0" w:color="C0504D" w:themeColor="accent2"/>
              <w:right w:val="single" w:sz="8" w:space="0" w:color="0070C0"/>
            </w:tcBorders>
            <w:vAlign w:val="center"/>
          </w:tcPr>
          <w:p w14:paraId="183DE071" w14:textId="0C43C990" w:rsidR="00B34B52" w:rsidRDefault="00B34B52"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Sept.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32426B22" w14:textId="2F56DA9A" w:rsidR="00B34B52" w:rsidRPr="00CC1ECE" w:rsidRDefault="00B34B52"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Oct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3914D53D" w14:textId="3D22FCC6" w:rsidR="00B34B52" w:rsidRPr="00CC1ECE" w:rsidRDefault="00B34B52"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Nov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6F454F7D" w14:textId="2061A56A" w:rsidR="00B34B52" w:rsidRPr="00CC1ECE" w:rsidRDefault="00B34B52"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Dec 2021</w:t>
            </w:r>
          </w:p>
        </w:tc>
        <w:tc>
          <w:tcPr>
            <w:tcW w:w="1397" w:type="dxa"/>
            <w:tcBorders>
              <w:top w:val="single" w:sz="12" w:space="0" w:color="000000"/>
              <w:left w:val="single" w:sz="8" w:space="0" w:color="0070C0"/>
              <w:bottom w:val="single" w:sz="18" w:space="0" w:color="C0504D" w:themeColor="accent2"/>
              <w:right w:val="single" w:sz="12" w:space="0" w:color="auto"/>
            </w:tcBorders>
            <w:vAlign w:val="center"/>
          </w:tcPr>
          <w:p w14:paraId="51074F71" w14:textId="52FA4587" w:rsidR="00B34B52" w:rsidRPr="00CC1ECE" w:rsidRDefault="00B34B52"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Jan 2022</w:t>
            </w:r>
          </w:p>
        </w:tc>
      </w:tr>
      <w:tr w:rsidR="00B34B52" w:rsidRPr="00CC1ECE" w14:paraId="3FCA736E" w14:textId="77777777" w:rsidTr="00A03B0C">
        <w:trPr>
          <w:trHeight w:val="243"/>
          <w:jc w:val="center"/>
        </w:trPr>
        <w:tc>
          <w:tcPr>
            <w:tcW w:w="166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570E1C7F" w14:textId="77777777" w:rsidR="00B34B52" w:rsidRPr="00CC1ECE" w:rsidRDefault="00B34B5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United States</w:t>
            </w:r>
          </w:p>
        </w:tc>
        <w:tc>
          <w:tcPr>
            <w:tcW w:w="1395"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31366E9B" w14:textId="48DADB66"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76</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3682235" w14:textId="4DA5139D"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80</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CF51E93" w14:textId="60E08731"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83</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42A2C6A4" w14:textId="7F683DB8"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p>
        </w:tc>
        <w:tc>
          <w:tcPr>
            <w:tcW w:w="1397" w:type="dxa"/>
            <w:tcBorders>
              <w:top w:val="single" w:sz="18" w:space="0" w:color="C0504D" w:themeColor="accent2"/>
              <w:left w:val="single" w:sz="8" w:space="0" w:color="0070C0"/>
              <w:bottom w:val="single" w:sz="4" w:space="0" w:color="auto"/>
              <w:right w:val="single" w:sz="12" w:space="0" w:color="auto"/>
            </w:tcBorders>
            <w:shd w:val="clear" w:color="auto" w:fill="C2D69B" w:themeFill="accent3" w:themeFillTint="99"/>
            <w:vAlign w:val="center"/>
          </w:tcPr>
          <w:p w14:paraId="79AB683A" w14:textId="7E28D96B"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83</w:t>
            </w:r>
          </w:p>
        </w:tc>
      </w:tr>
      <w:tr w:rsidR="00B34B52" w:rsidRPr="00CC1ECE" w14:paraId="7A9936AE" w14:textId="77777777" w:rsidTr="00A03B0C">
        <w:trPr>
          <w:trHeight w:val="243"/>
          <w:jc w:val="center"/>
        </w:trPr>
        <w:tc>
          <w:tcPr>
            <w:tcW w:w="166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4BB0E43" w14:textId="77777777" w:rsidR="00B34B52" w:rsidRDefault="00B34B5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Northeast</w:t>
            </w:r>
          </w:p>
        </w:tc>
        <w:tc>
          <w:tcPr>
            <w:tcW w:w="1395"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3474A3DE" w14:textId="5FE8FFDB"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67</w:t>
            </w:r>
          </w:p>
        </w:tc>
        <w:tc>
          <w:tcPr>
            <w:tcW w:w="139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71F0F3C" w14:textId="54D2A46A"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73</w:t>
            </w:r>
          </w:p>
        </w:tc>
        <w:tc>
          <w:tcPr>
            <w:tcW w:w="139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D98440A" w14:textId="3273064A"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69</w:t>
            </w:r>
          </w:p>
        </w:tc>
        <w:tc>
          <w:tcPr>
            <w:tcW w:w="139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5772C45" w14:textId="7E08411D"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80</w:t>
            </w:r>
          </w:p>
        </w:tc>
        <w:tc>
          <w:tcPr>
            <w:tcW w:w="1397"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47EA17A0" w14:textId="0F5198AA"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71</w:t>
            </w:r>
          </w:p>
        </w:tc>
      </w:tr>
      <w:tr w:rsidR="00B34B52" w:rsidRPr="00CC1ECE" w14:paraId="613E75CB" w14:textId="77777777" w:rsidTr="00A03B0C">
        <w:trPr>
          <w:trHeight w:val="243"/>
          <w:jc w:val="center"/>
        </w:trPr>
        <w:tc>
          <w:tcPr>
            <w:tcW w:w="166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2D39E14" w14:textId="77777777" w:rsidR="00B34B52" w:rsidRDefault="00B34B5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Midwest</w:t>
            </w:r>
          </w:p>
        </w:tc>
        <w:tc>
          <w:tcPr>
            <w:tcW w:w="1395"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3D957EB1" w14:textId="6CC2F2EA"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69</w:t>
            </w:r>
          </w:p>
        </w:tc>
        <w:tc>
          <w:tcPr>
            <w:tcW w:w="139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B64629E" w14:textId="79056F66"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72</w:t>
            </w:r>
          </w:p>
        </w:tc>
        <w:tc>
          <w:tcPr>
            <w:tcW w:w="139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528432F" w14:textId="0073016A"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75</w:t>
            </w:r>
          </w:p>
        </w:tc>
        <w:tc>
          <w:tcPr>
            <w:tcW w:w="139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4A6183F" w14:textId="33E69D48"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76</w:t>
            </w:r>
          </w:p>
        </w:tc>
        <w:tc>
          <w:tcPr>
            <w:tcW w:w="1397"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22FD0F3E" w14:textId="181859C8"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74</w:t>
            </w:r>
          </w:p>
        </w:tc>
      </w:tr>
      <w:tr w:rsidR="00B34B52" w:rsidRPr="00CC1ECE" w14:paraId="60EEFB13" w14:textId="77777777" w:rsidTr="00A03B0C">
        <w:trPr>
          <w:trHeight w:val="243"/>
          <w:jc w:val="center"/>
        </w:trPr>
        <w:tc>
          <w:tcPr>
            <w:tcW w:w="166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439D665" w14:textId="77777777" w:rsidR="00B34B52" w:rsidRDefault="00B34B5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South</w:t>
            </w:r>
          </w:p>
        </w:tc>
        <w:tc>
          <w:tcPr>
            <w:tcW w:w="1395"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0C36B70B" w14:textId="19E4D2ED"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80</w:t>
            </w:r>
          </w:p>
        </w:tc>
        <w:tc>
          <w:tcPr>
            <w:tcW w:w="139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9E2BEE1" w14:textId="14CBBE5B"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p>
        </w:tc>
        <w:tc>
          <w:tcPr>
            <w:tcW w:w="1397" w:type="dxa"/>
            <w:tcBorders>
              <w:top w:val="single" w:sz="4" w:space="0" w:color="auto"/>
              <w:left w:val="single" w:sz="8" w:space="0" w:color="0070C0"/>
              <w:bottom w:val="single" w:sz="4" w:space="0" w:color="000000"/>
              <w:right w:val="single" w:sz="8" w:space="0" w:color="0070C0"/>
            </w:tcBorders>
            <w:shd w:val="clear" w:color="auto" w:fill="00B050"/>
            <w:vAlign w:val="center"/>
          </w:tcPr>
          <w:p w14:paraId="7AC17D93" w14:textId="5CF14E3C"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87</w:t>
            </w:r>
          </w:p>
        </w:tc>
        <w:tc>
          <w:tcPr>
            <w:tcW w:w="1397"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BFB6750" w14:textId="03B9C47E"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89</w:t>
            </w:r>
          </w:p>
        </w:tc>
        <w:tc>
          <w:tcPr>
            <w:tcW w:w="1397" w:type="dxa"/>
            <w:tcBorders>
              <w:top w:val="single" w:sz="4" w:space="0" w:color="auto"/>
              <w:left w:val="single" w:sz="8" w:space="0" w:color="0070C0"/>
              <w:bottom w:val="single" w:sz="4" w:space="0" w:color="000000"/>
              <w:right w:val="single" w:sz="12" w:space="0" w:color="auto"/>
            </w:tcBorders>
            <w:shd w:val="clear" w:color="auto" w:fill="00B050"/>
            <w:vAlign w:val="center"/>
          </w:tcPr>
          <w:p w14:paraId="26B74C18" w14:textId="73847632" w:rsidR="00B34B52"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87</w:t>
            </w:r>
          </w:p>
        </w:tc>
      </w:tr>
      <w:tr w:rsidR="00B34B52" w:rsidRPr="00CC1ECE" w14:paraId="62377C0D" w14:textId="77777777" w:rsidTr="00A03B0C">
        <w:trPr>
          <w:trHeight w:val="54"/>
          <w:jc w:val="center"/>
        </w:trPr>
        <w:tc>
          <w:tcPr>
            <w:tcW w:w="166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4B22F73F" w14:textId="77777777" w:rsidR="00B34B52" w:rsidRPr="00CC1ECE" w:rsidRDefault="00B34B5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West</w:t>
            </w:r>
          </w:p>
        </w:tc>
        <w:tc>
          <w:tcPr>
            <w:tcW w:w="1395" w:type="dxa"/>
            <w:tcBorders>
              <w:top w:val="single" w:sz="4" w:space="0" w:color="000000"/>
              <w:left w:val="single" w:sz="18" w:space="0" w:color="0070C0"/>
              <w:bottom w:val="single" w:sz="12" w:space="0" w:color="000000"/>
              <w:right w:val="single" w:sz="8" w:space="0" w:color="0070C0"/>
            </w:tcBorders>
            <w:shd w:val="clear" w:color="auto" w:fill="C2D69B" w:themeFill="accent3" w:themeFillTint="99"/>
            <w:vAlign w:val="center"/>
          </w:tcPr>
          <w:p w14:paraId="19114FCD" w14:textId="4B8A453A"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80</w:t>
            </w:r>
          </w:p>
        </w:tc>
        <w:tc>
          <w:tcPr>
            <w:tcW w:w="1397"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17740295" w14:textId="054D7C52"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c>
          <w:tcPr>
            <w:tcW w:w="1397" w:type="dxa"/>
            <w:tcBorders>
              <w:top w:val="single" w:sz="4" w:space="0" w:color="000000"/>
              <w:left w:val="single" w:sz="8" w:space="0" w:color="0070C0"/>
              <w:bottom w:val="single" w:sz="12" w:space="0" w:color="000000"/>
              <w:right w:val="single" w:sz="8" w:space="0" w:color="0070C0"/>
            </w:tcBorders>
            <w:shd w:val="clear" w:color="auto" w:fill="00B050"/>
            <w:vAlign w:val="center"/>
          </w:tcPr>
          <w:p w14:paraId="5893C7AC" w14:textId="0863A6AD"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88</w:t>
            </w:r>
          </w:p>
        </w:tc>
        <w:tc>
          <w:tcPr>
            <w:tcW w:w="1397" w:type="dxa"/>
            <w:tcBorders>
              <w:top w:val="single" w:sz="4" w:space="0" w:color="000000"/>
              <w:left w:val="single" w:sz="8" w:space="0" w:color="0070C0"/>
              <w:bottom w:val="single" w:sz="12" w:space="0" w:color="000000"/>
              <w:right w:val="single" w:sz="8" w:space="0" w:color="0070C0"/>
            </w:tcBorders>
            <w:shd w:val="clear" w:color="auto" w:fill="00B050"/>
            <w:vAlign w:val="center"/>
          </w:tcPr>
          <w:p w14:paraId="385FFE81" w14:textId="3595B8DC"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87</w:t>
            </w:r>
          </w:p>
        </w:tc>
        <w:tc>
          <w:tcPr>
            <w:tcW w:w="1397" w:type="dxa"/>
            <w:tcBorders>
              <w:top w:val="single" w:sz="4" w:space="0" w:color="000000"/>
              <w:left w:val="single" w:sz="8" w:space="0" w:color="0070C0"/>
              <w:bottom w:val="single" w:sz="12" w:space="0" w:color="000000"/>
              <w:right w:val="single" w:sz="12" w:space="0" w:color="auto"/>
            </w:tcBorders>
            <w:shd w:val="clear" w:color="auto" w:fill="00B050"/>
            <w:vAlign w:val="center"/>
          </w:tcPr>
          <w:p w14:paraId="55B37FB7" w14:textId="2A5FF958" w:rsidR="00B34B52" w:rsidRPr="00CC1ECE" w:rsidRDefault="00B34B52" w:rsidP="00A03B0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88</w:t>
            </w:r>
          </w:p>
        </w:tc>
      </w:tr>
    </w:tbl>
    <w:p w14:paraId="059EE022" w14:textId="3D1F75A5" w:rsidR="00B34B52" w:rsidRDefault="00B34B52" w:rsidP="00B34B52">
      <w:pPr>
        <w:tabs>
          <w:tab w:val="left" w:pos="360"/>
        </w:tabs>
        <w:spacing w:after="0" w:line="240" w:lineRule="auto"/>
        <w:contextualSpacing/>
        <w:mirrorIndents/>
        <w:rPr>
          <w:rFonts w:ascii="Verdana" w:hAnsi="Verdana"/>
          <w:sz w:val="20"/>
          <w:szCs w:val="20"/>
        </w:rPr>
      </w:pPr>
      <w:r>
        <w:rPr>
          <w:rFonts w:ascii="Verdana" w:hAnsi="Verdana"/>
          <w:sz w:val="16"/>
          <w:szCs w:val="16"/>
        </w:rPr>
        <w:tab/>
        <w:t>National Association of Home Builders/Wells Fargo</w:t>
      </w:r>
      <w:r w:rsidRPr="00CC1ECE">
        <w:rPr>
          <w:rFonts w:ascii="Verdana" w:hAnsi="Verdana"/>
          <w:sz w:val="16"/>
          <w:szCs w:val="16"/>
        </w:rPr>
        <w:t xml:space="preserve">, </w:t>
      </w:r>
      <w:r>
        <w:rPr>
          <w:rFonts w:ascii="Verdana" w:hAnsi="Verdana"/>
          <w:sz w:val="16"/>
          <w:szCs w:val="16"/>
        </w:rPr>
        <w:t xml:space="preserve">January 2022 </w:t>
      </w:r>
      <w:r>
        <w:rPr>
          <w:rFonts w:ascii="Verdana" w:hAnsi="Verdana"/>
          <w:sz w:val="16"/>
          <w:szCs w:val="16"/>
        </w:rPr>
        <w:tab/>
      </w:r>
      <w:r>
        <w:rPr>
          <w:rFonts w:ascii="Verdana" w:hAnsi="Verdana"/>
          <w:sz w:val="16"/>
          <w:szCs w:val="16"/>
        </w:rPr>
        <w:tab/>
        <w:t>*based on a 100-point scale</w:t>
      </w:r>
    </w:p>
    <w:p w14:paraId="55D89CA5" w14:textId="77777777" w:rsidR="00B34B52" w:rsidRDefault="00B34B52" w:rsidP="008A6C67">
      <w:pPr>
        <w:spacing w:after="0" w:line="240" w:lineRule="auto"/>
        <w:contextualSpacing/>
        <w:mirrorIndents/>
        <w:rPr>
          <w:rFonts w:ascii="Verdana" w:hAnsi="Verdana"/>
          <w:sz w:val="20"/>
          <w:szCs w:val="20"/>
        </w:rPr>
      </w:pPr>
    </w:p>
    <w:p w14:paraId="3676C569" w14:textId="00E488B7" w:rsidR="008A6C67" w:rsidRPr="00B34B52" w:rsidRDefault="008A6C67" w:rsidP="00B34B52">
      <w:pPr>
        <w:spacing w:after="0" w:line="240" w:lineRule="auto"/>
        <w:contextualSpacing/>
        <w:mirrorIndents/>
        <w:jc w:val="center"/>
        <w:rPr>
          <w:rFonts w:ascii="Verdana" w:hAnsi="Verdana"/>
          <w:b/>
          <w:bCs/>
          <w:color w:val="0070C0"/>
          <w:sz w:val="20"/>
          <w:szCs w:val="20"/>
        </w:rPr>
      </w:pPr>
      <w:r w:rsidRPr="00B34B52">
        <w:rPr>
          <w:rFonts w:ascii="Verdana" w:hAnsi="Verdana"/>
          <w:b/>
          <w:bCs/>
          <w:color w:val="0070C0"/>
          <w:sz w:val="20"/>
          <w:szCs w:val="20"/>
        </w:rPr>
        <w:lastRenderedPageBreak/>
        <w:t>Remodelers Remain Upbeat</w:t>
      </w:r>
    </w:p>
    <w:p w14:paraId="05800CEA" w14:textId="77777777" w:rsidR="008A6C67" w:rsidRPr="008A6C67" w:rsidRDefault="008A6C67" w:rsidP="008A6C67">
      <w:pPr>
        <w:spacing w:after="0" w:line="240" w:lineRule="auto"/>
        <w:contextualSpacing/>
        <w:mirrorIndents/>
        <w:rPr>
          <w:rFonts w:ascii="Verdana" w:hAnsi="Verdana"/>
          <w:sz w:val="20"/>
          <w:szCs w:val="20"/>
        </w:rPr>
      </w:pPr>
    </w:p>
    <w:p w14:paraId="0AAEF140" w14:textId="2AF049FD" w:rsidR="00B34B52" w:rsidRDefault="0077093A" w:rsidP="008A6C67">
      <w:pPr>
        <w:spacing w:after="0" w:line="240" w:lineRule="auto"/>
        <w:contextualSpacing/>
        <w:mirrorIndents/>
        <w:rPr>
          <w:rFonts w:ascii="Verdana" w:hAnsi="Verdana"/>
          <w:sz w:val="20"/>
          <w:szCs w:val="20"/>
        </w:rPr>
      </w:pPr>
      <w:r>
        <w:rPr>
          <w:rFonts w:ascii="Verdana" w:hAnsi="Verdana"/>
          <w:sz w:val="20"/>
          <w:szCs w:val="20"/>
        </w:rPr>
        <w:t xml:space="preserve">The overall Remodeling Market Index (RMI) compiled by the National Association of Home Builders and Royal Building Products was 83 for Q4 2021. The RMI is </w:t>
      </w:r>
      <w:r w:rsidR="00462E51">
        <w:rPr>
          <w:rFonts w:ascii="Verdana" w:hAnsi="Verdana"/>
          <w:sz w:val="20"/>
          <w:szCs w:val="20"/>
        </w:rPr>
        <w:t>the</w:t>
      </w:r>
      <w:r>
        <w:rPr>
          <w:rFonts w:ascii="Verdana" w:hAnsi="Verdana"/>
          <w:sz w:val="20"/>
          <w:szCs w:val="20"/>
        </w:rPr>
        <w:t xml:space="preserve"> average of the Current Conditions Index and the Future Indicators Index.</w:t>
      </w:r>
    </w:p>
    <w:p w14:paraId="01BEFD5D" w14:textId="170A9268" w:rsidR="0077093A" w:rsidRDefault="0077093A" w:rsidP="008A6C67">
      <w:pPr>
        <w:spacing w:after="0" w:line="240" w:lineRule="auto"/>
        <w:contextualSpacing/>
        <w:mirrorIndents/>
        <w:rPr>
          <w:rFonts w:ascii="Verdana" w:hAnsi="Verdana"/>
          <w:sz w:val="20"/>
          <w:szCs w:val="20"/>
        </w:rPr>
      </w:pPr>
    </w:p>
    <w:p w14:paraId="0B9F6D6A" w14:textId="00564729" w:rsidR="0077093A" w:rsidRDefault="0077093A" w:rsidP="008A6C67">
      <w:pPr>
        <w:spacing w:after="0" w:line="240" w:lineRule="auto"/>
        <w:contextualSpacing/>
        <w:mirrorIndents/>
        <w:rPr>
          <w:rFonts w:ascii="Verdana" w:hAnsi="Verdana"/>
          <w:sz w:val="20"/>
          <w:szCs w:val="20"/>
        </w:rPr>
      </w:pPr>
      <w:r>
        <w:rPr>
          <w:rFonts w:ascii="Verdana" w:hAnsi="Verdana"/>
          <w:sz w:val="20"/>
          <w:szCs w:val="20"/>
        </w:rPr>
        <w:t>The Current Conditions Index was 89 and the Future Indicators Index was 77, suggesting remodelers are more optimistic during the short term. Nonetheless, all three indices were higher than Q4 2020.</w:t>
      </w:r>
    </w:p>
    <w:p w14:paraId="08F4A240" w14:textId="2C012720" w:rsidR="0077093A" w:rsidRDefault="0077093A" w:rsidP="008A6C67">
      <w:pPr>
        <w:spacing w:after="0" w:line="240" w:lineRule="auto"/>
        <w:contextualSpacing/>
        <w:mirrorIndents/>
        <w:rPr>
          <w:rFonts w:ascii="Verdana" w:hAnsi="Verdana"/>
          <w:sz w:val="20"/>
          <w:szCs w:val="20"/>
        </w:rPr>
      </w:pPr>
    </w:p>
    <w:p w14:paraId="4346CF7B" w14:textId="0FF7132B" w:rsidR="0077093A" w:rsidRDefault="0077093A" w:rsidP="008A6C67">
      <w:pPr>
        <w:spacing w:after="0" w:line="240" w:lineRule="auto"/>
        <w:contextualSpacing/>
        <w:mirrorIndents/>
        <w:rPr>
          <w:rFonts w:ascii="Verdana" w:hAnsi="Verdana"/>
          <w:sz w:val="20"/>
          <w:szCs w:val="20"/>
        </w:rPr>
      </w:pPr>
      <w:r>
        <w:rPr>
          <w:rFonts w:ascii="Verdana" w:hAnsi="Verdana"/>
          <w:sz w:val="20"/>
          <w:szCs w:val="20"/>
        </w:rPr>
        <w:t xml:space="preserve">Remodelers may be less optimistic about the future based on survey results from The Farnsworth Group’s PRO Home Improvement Monthly Tracker for January 2022. 48.7% said they had delayed projects and 48.9% said </w:t>
      </w:r>
      <w:r w:rsidR="005B0067">
        <w:rPr>
          <w:rFonts w:ascii="Verdana" w:hAnsi="Verdana"/>
          <w:sz w:val="20"/>
          <w:szCs w:val="20"/>
        </w:rPr>
        <w:t xml:space="preserve">the lack of materials was the primary reason. </w:t>
      </w:r>
    </w:p>
    <w:p w14:paraId="14A723B4" w14:textId="6B116404" w:rsidR="005B0067" w:rsidRDefault="005B0067" w:rsidP="008A6C67">
      <w:pPr>
        <w:spacing w:after="0" w:line="240" w:lineRule="auto"/>
        <w:contextualSpacing/>
        <w:mirrorIndents/>
        <w:rPr>
          <w:rFonts w:ascii="Verdana" w:hAnsi="Verdana"/>
          <w:sz w:val="20"/>
          <w:szCs w:val="20"/>
        </w:rPr>
      </w:pPr>
    </w:p>
    <w:p w14:paraId="10399F82" w14:textId="602A1BDD" w:rsidR="00471FCD" w:rsidRPr="00BE4963" w:rsidRDefault="00471FCD" w:rsidP="00471FCD">
      <w:pPr>
        <w:pStyle w:val="Header"/>
        <w:contextualSpacing/>
        <w:jc w:val="center"/>
        <w:rPr>
          <w:rFonts w:ascii="Verdana" w:hAnsi="Verdana"/>
          <w:b/>
          <w:sz w:val="20"/>
          <w:szCs w:val="20"/>
        </w:rPr>
      </w:pPr>
      <w:r>
        <w:rPr>
          <w:rFonts w:ascii="Verdana" w:hAnsi="Verdana"/>
          <w:b/>
          <w:sz w:val="20"/>
          <w:szCs w:val="20"/>
        </w:rPr>
        <w:t>Professional Remodelers’ Current Biggest Challenges, January 2022</w:t>
      </w:r>
    </w:p>
    <w:tbl>
      <w:tblPr>
        <w:tblW w:w="9815" w:type="dxa"/>
        <w:jc w:val="center"/>
        <w:tblBorders>
          <w:left w:val="single" w:sz="8" w:space="0" w:color="000000"/>
          <w:right w:val="single" w:sz="8" w:space="0" w:color="000000"/>
        </w:tblBorders>
        <w:tblLayout w:type="fixed"/>
        <w:tblLook w:val="0000" w:firstRow="0" w:lastRow="0" w:firstColumn="0" w:lastColumn="0" w:noHBand="0" w:noVBand="0"/>
      </w:tblPr>
      <w:tblGrid>
        <w:gridCol w:w="3643"/>
        <w:gridCol w:w="1267"/>
        <w:gridCol w:w="3638"/>
        <w:gridCol w:w="1267"/>
      </w:tblGrid>
      <w:tr w:rsidR="00471FCD" w:rsidRPr="00CC1ECE" w14:paraId="3A6EC76E" w14:textId="77777777" w:rsidTr="00A03B0C">
        <w:trPr>
          <w:jc w:val="center"/>
        </w:trPr>
        <w:tc>
          <w:tcPr>
            <w:tcW w:w="3643" w:type="dxa"/>
            <w:tcBorders>
              <w:top w:val="single" w:sz="12" w:space="0" w:color="000000"/>
              <w:left w:val="single" w:sz="12" w:space="0" w:color="000000"/>
              <w:bottom w:val="single" w:sz="18" w:space="0" w:color="C0504D" w:themeColor="accent2"/>
              <w:right w:val="single" w:sz="8" w:space="0" w:color="0070C0"/>
            </w:tcBorders>
            <w:vAlign w:val="center"/>
          </w:tcPr>
          <w:p w14:paraId="0DA90377" w14:textId="0F51485A" w:rsidR="00471FCD" w:rsidRPr="00CC1ECE" w:rsidRDefault="00471FC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Challenge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A683F4A" w14:textId="332EBB40" w:rsidR="00471FCD" w:rsidRPr="00CC1ECE" w:rsidRDefault="00471FC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638" w:type="dxa"/>
            <w:tcBorders>
              <w:top w:val="single" w:sz="12" w:space="0" w:color="000000"/>
              <w:left w:val="single" w:sz="18" w:space="0" w:color="0070C0"/>
              <w:bottom w:val="single" w:sz="18" w:space="0" w:color="C0504D" w:themeColor="accent2"/>
              <w:right w:val="single" w:sz="8" w:space="0" w:color="0070C0"/>
            </w:tcBorders>
            <w:vAlign w:val="center"/>
          </w:tcPr>
          <w:p w14:paraId="4C50D42C" w14:textId="1D9F8C9E" w:rsidR="00471FCD" w:rsidRDefault="00471FC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Challenge</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1747D979" w14:textId="0CE24784" w:rsidR="00471FCD" w:rsidRDefault="00471FCD" w:rsidP="00A03B0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471FCD" w:rsidRPr="00CC1ECE" w14:paraId="461B22F4" w14:textId="77777777" w:rsidTr="007228BD">
        <w:trPr>
          <w:trHeight w:val="243"/>
          <w:jc w:val="center"/>
        </w:trPr>
        <w:tc>
          <w:tcPr>
            <w:tcW w:w="3643"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46E5A3F2" w14:textId="21D4FFB3" w:rsidR="00471FCD" w:rsidRPr="00CC1ECE"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Material pricing</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1957863E" w14:textId="7A7E091F" w:rsidR="00471FCD" w:rsidRPr="00CC1ECE"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56.5%</w:t>
            </w:r>
          </w:p>
        </w:tc>
        <w:tc>
          <w:tcPr>
            <w:tcW w:w="3638"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4DC5B032" w14:textId="026F69CF" w:rsidR="00471FCD" w:rsidRPr="00CC1ECE"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Leads</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EAF1DD" w:themeFill="accent3" w:themeFillTint="33"/>
            <w:vAlign w:val="center"/>
          </w:tcPr>
          <w:p w14:paraId="496BC2C0" w14:textId="4F05C329" w:rsidR="00471FCD" w:rsidRPr="00CC1ECE"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13.7%</w:t>
            </w:r>
          </w:p>
        </w:tc>
      </w:tr>
      <w:tr w:rsidR="00471FCD" w:rsidRPr="00CC1ECE" w14:paraId="18364F2F" w14:textId="77777777" w:rsidTr="007228BD">
        <w:trPr>
          <w:trHeight w:val="243"/>
          <w:jc w:val="center"/>
        </w:trPr>
        <w:tc>
          <w:tcPr>
            <w:tcW w:w="3643" w:type="dxa"/>
            <w:tcBorders>
              <w:top w:val="single" w:sz="4" w:space="0" w:color="auto"/>
              <w:left w:val="single" w:sz="12" w:space="0" w:color="000000"/>
              <w:bottom w:val="single" w:sz="4" w:space="0" w:color="000000"/>
              <w:right w:val="single" w:sz="8" w:space="0" w:color="0070C0"/>
            </w:tcBorders>
            <w:shd w:val="clear" w:color="auto" w:fill="auto"/>
            <w:vAlign w:val="center"/>
          </w:tcPr>
          <w:p w14:paraId="1A18D75D" w14:textId="2ACA49E7" w:rsidR="00471FCD"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Material availability</w:t>
            </w:r>
          </w:p>
        </w:tc>
        <w:tc>
          <w:tcPr>
            <w:tcW w:w="1267"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286ADCE6" w14:textId="1AC44448" w:rsidR="00471FCD"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54.2%</w:t>
            </w:r>
          </w:p>
        </w:tc>
        <w:tc>
          <w:tcPr>
            <w:tcW w:w="3638" w:type="dxa"/>
            <w:tcBorders>
              <w:top w:val="single" w:sz="4" w:space="0" w:color="auto"/>
              <w:left w:val="single" w:sz="18" w:space="0" w:color="0070C0"/>
              <w:bottom w:val="single" w:sz="4" w:space="0" w:color="000000"/>
              <w:right w:val="single" w:sz="8" w:space="0" w:color="0070C0"/>
            </w:tcBorders>
            <w:shd w:val="clear" w:color="auto" w:fill="auto"/>
            <w:vAlign w:val="center"/>
          </w:tcPr>
          <w:p w14:paraId="26A91D1A" w14:textId="722E9655" w:rsidR="00471FCD"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Inspection/Code Compliance</w:t>
            </w:r>
          </w:p>
        </w:tc>
        <w:tc>
          <w:tcPr>
            <w:tcW w:w="126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41D80B4D" w14:textId="514489A3" w:rsidR="00471FCD"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10.6%</w:t>
            </w:r>
          </w:p>
        </w:tc>
      </w:tr>
      <w:tr w:rsidR="00471FCD" w:rsidRPr="00CC1ECE" w14:paraId="58BA5DBC" w14:textId="77777777" w:rsidTr="007228BD">
        <w:trPr>
          <w:trHeight w:val="243"/>
          <w:jc w:val="center"/>
        </w:trPr>
        <w:tc>
          <w:tcPr>
            <w:tcW w:w="3643" w:type="dxa"/>
            <w:tcBorders>
              <w:top w:val="single" w:sz="4" w:space="0" w:color="auto"/>
              <w:left w:val="single" w:sz="12" w:space="0" w:color="000000"/>
              <w:bottom w:val="single" w:sz="4" w:space="0" w:color="000000"/>
              <w:right w:val="single" w:sz="8" w:space="0" w:color="0070C0"/>
            </w:tcBorders>
            <w:shd w:val="clear" w:color="auto" w:fill="auto"/>
            <w:vAlign w:val="center"/>
          </w:tcPr>
          <w:p w14:paraId="1B6D5811" w14:textId="26706FAE" w:rsidR="00471FCD"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Pandemic</w:t>
            </w:r>
          </w:p>
        </w:tc>
        <w:tc>
          <w:tcPr>
            <w:tcW w:w="1267"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219068AA" w14:textId="02891DE5" w:rsidR="00471FCD"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51.6%</w:t>
            </w:r>
          </w:p>
        </w:tc>
        <w:tc>
          <w:tcPr>
            <w:tcW w:w="3638" w:type="dxa"/>
            <w:tcBorders>
              <w:top w:val="single" w:sz="4" w:space="0" w:color="auto"/>
              <w:left w:val="single" w:sz="18" w:space="0" w:color="0070C0"/>
              <w:bottom w:val="single" w:sz="4" w:space="0" w:color="000000"/>
              <w:right w:val="single" w:sz="8" w:space="0" w:color="0070C0"/>
            </w:tcBorders>
            <w:shd w:val="clear" w:color="auto" w:fill="F2F2F2" w:themeFill="background1" w:themeFillShade="F2"/>
            <w:vAlign w:val="center"/>
          </w:tcPr>
          <w:p w14:paraId="3C0C09EA" w14:textId="5F6FE8B2" w:rsidR="00471FCD"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None of these</w:t>
            </w:r>
          </w:p>
        </w:tc>
        <w:tc>
          <w:tcPr>
            <w:tcW w:w="1267" w:type="dxa"/>
            <w:tcBorders>
              <w:top w:val="single" w:sz="4" w:space="0" w:color="auto"/>
              <w:left w:val="single" w:sz="8" w:space="0" w:color="0070C0"/>
              <w:bottom w:val="single" w:sz="4" w:space="0" w:color="000000"/>
              <w:right w:val="single" w:sz="12" w:space="0" w:color="auto"/>
            </w:tcBorders>
            <w:shd w:val="clear" w:color="auto" w:fill="F2F2F2" w:themeFill="background1" w:themeFillShade="F2"/>
            <w:vAlign w:val="center"/>
          </w:tcPr>
          <w:p w14:paraId="56F38ECE" w14:textId="30DAACAD" w:rsidR="00471FCD"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w:t>
            </w:r>
          </w:p>
        </w:tc>
      </w:tr>
      <w:tr w:rsidR="00471FCD" w:rsidRPr="00CC1ECE" w14:paraId="0EC6A631" w14:textId="77777777" w:rsidTr="007228BD">
        <w:trPr>
          <w:trHeight w:val="243"/>
          <w:jc w:val="center"/>
        </w:trPr>
        <w:tc>
          <w:tcPr>
            <w:tcW w:w="3643" w:type="dxa"/>
            <w:tcBorders>
              <w:top w:val="single" w:sz="4" w:space="0" w:color="auto"/>
              <w:left w:val="single" w:sz="12" w:space="0" w:color="000000"/>
              <w:bottom w:val="single" w:sz="4" w:space="0" w:color="000000"/>
              <w:right w:val="single" w:sz="8" w:space="0" w:color="0070C0"/>
            </w:tcBorders>
            <w:shd w:val="clear" w:color="auto" w:fill="auto"/>
            <w:vAlign w:val="center"/>
          </w:tcPr>
          <w:p w14:paraId="7688791D" w14:textId="4D76CE81" w:rsidR="00471FCD"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Labor</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1DC5949D" w14:textId="30F26696" w:rsidR="00471FCD"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30.8%</w:t>
            </w:r>
          </w:p>
        </w:tc>
        <w:tc>
          <w:tcPr>
            <w:tcW w:w="3638" w:type="dxa"/>
            <w:tcBorders>
              <w:top w:val="single" w:sz="4" w:space="0" w:color="auto"/>
              <w:left w:val="single" w:sz="18" w:space="0" w:color="0070C0"/>
              <w:bottom w:val="single" w:sz="4" w:space="0" w:color="000000"/>
              <w:right w:val="single" w:sz="8" w:space="0" w:color="0070C0"/>
            </w:tcBorders>
            <w:shd w:val="clear" w:color="auto" w:fill="F2F2F2" w:themeFill="background1" w:themeFillShade="F2"/>
            <w:vAlign w:val="center"/>
          </w:tcPr>
          <w:p w14:paraId="3FE31FC8" w14:textId="531EF634" w:rsidR="00471FCD"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Other</w:t>
            </w:r>
          </w:p>
        </w:tc>
        <w:tc>
          <w:tcPr>
            <w:tcW w:w="1267" w:type="dxa"/>
            <w:tcBorders>
              <w:top w:val="single" w:sz="4" w:space="0" w:color="auto"/>
              <w:left w:val="single" w:sz="8" w:space="0" w:color="0070C0"/>
              <w:bottom w:val="single" w:sz="4" w:space="0" w:color="000000"/>
              <w:right w:val="single" w:sz="12" w:space="0" w:color="auto"/>
            </w:tcBorders>
            <w:shd w:val="clear" w:color="auto" w:fill="F2F2F2" w:themeFill="background1" w:themeFillShade="F2"/>
            <w:vAlign w:val="center"/>
          </w:tcPr>
          <w:p w14:paraId="49D1C02F" w14:textId="508A140C" w:rsidR="00471FCD"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w:t>
            </w:r>
          </w:p>
        </w:tc>
      </w:tr>
      <w:tr w:rsidR="00471FCD" w:rsidRPr="00CC1ECE" w14:paraId="31F8E8D0" w14:textId="77777777" w:rsidTr="007228BD">
        <w:trPr>
          <w:trHeight w:val="54"/>
          <w:jc w:val="center"/>
        </w:trPr>
        <w:tc>
          <w:tcPr>
            <w:tcW w:w="3643"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75E2547A" w14:textId="55719D43" w:rsidR="00471FCD" w:rsidRPr="00CC1ECE"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Project timelines</w:t>
            </w:r>
          </w:p>
        </w:tc>
        <w:tc>
          <w:tcPr>
            <w:tcW w:w="1267"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6DD497C4" w14:textId="42DCBB58" w:rsidR="00471FCD" w:rsidRPr="00CC1ECE"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27.9%</w:t>
            </w:r>
          </w:p>
        </w:tc>
        <w:tc>
          <w:tcPr>
            <w:tcW w:w="3638"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0FCF24C1" w14:textId="225C36BB" w:rsidR="00471FCD" w:rsidRPr="00CC1ECE" w:rsidRDefault="00471FCD" w:rsidP="00471FC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auto"/>
            </w:tcBorders>
            <w:shd w:val="clear" w:color="auto" w:fill="D9D9D9" w:themeFill="background1" w:themeFillShade="D9"/>
            <w:vAlign w:val="center"/>
          </w:tcPr>
          <w:p w14:paraId="5BC865DE" w14:textId="6C66D30F" w:rsidR="00471FCD" w:rsidRPr="00CC1ECE" w:rsidRDefault="00471FCD" w:rsidP="00471FC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3508545F" w14:textId="0B366BC0" w:rsidR="00471FCD" w:rsidRPr="0068494F" w:rsidRDefault="00471FCD" w:rsidP="007228BD">
      <w:pPr>
        <w:pStyle w:val="NoSpacing"/>
        <w:contextualSpacing/>
        <w:mirrorIndents/>
        <w:rPr>
          <w:rFonts w:ascii="Verdana" w:hAnsi="Verdana"/>
          <w:sz w:val="20"/>
          <w:szCs w:val="20"/>
        </w:rPr>
      </w:pPr>
      <w:r>
        <w:rPr>
          <w:rFonts w:ascii="Verdana" w:hAnsi="Verdana"/>
          <w:sz w:val="16"/>
          <w:szCs w:val="16"/>
        </w:rPr>
        <w:t xml:space="preserve">The </w:t>
      </w:r>
      <w:r w:rsidR="007228BD">
        <w:rPr>
          <w:rFonts w:ascii="Verdana" w:hAnsi="Verdana"/>
          <w:sz w:val="16"/>
          <w:szCs w:val="16"/>
        </w:rPr>
        <w:t>Farnsworth Group</w:t>
      </w:r>
      <w:r w:rsidRPr="00CC1ECE">
        <w:rPr>
          <w:rFonts w:ascii="Verdana" w:hAnsi="Verdana"/>
          <w:sz w:val="16"/>
          <w:szCs w:val="16"/>
        </w:rPr>
        <w:t xml:space="preserve">, </w:t>
      </w:r>
      <w:r>
        <w:rPr>
          <w:rFonts w:ascii="Verdana" w:hAnsi="Verdana"/>
          <w:sz w:val="16"/>
          <w:szCs w:val="16"/>
        </w:rPr>
        <w:t>January 2022</w:t>
      </w:r>
    </w:p>
    <w:p w14:paraId="1536CD11" w14:textId="77777777" w:rsidR="005B0067" w:rsidRDefault="005B0067" w:rsidP="008A6C67">
      <w:pPr>
        <w:spacing w:after="0" w:line="240" w:lineRule="auto"/>
        <w:contextualSpacing/>
        <w:mirrorIndents/>
        <w:rPr>
          <w:rFonts w:ascii="Verdana" w:hAnsi="Verdana"/>
          <w:sz w:val="20"/>
          <w:szCs w:val="20"/>
        </w:rPr>
      </w:pPr>
    </w:p>
    <w:p w14:paraId="1C7C103A" w14:textId="7469D76C" w:rsidR="008A6C67" w:rsidRPr="00717F25" w:rsidRDefault="008A6C67" w:rsidP="00717F25">
      <w:pPr>
        <w:spacing w:after="0" w:line="240" w:lineRule="auto"/>
        <w:contextualSpacing/>
        <w:mirrorIndents/>
        <w:jc w:val="center"/>
        <w:rPr>
          <w:rFonts w:ascii="Verdana" w:hAnsi="Verdana"/>
          <w:b/>
          <w:bCs/>
          <w:color w:val="0070C0"/>
          <w:sz w:val="20"/>
          <w:szCs w:val="20"/>
        </w:rPr>
      </w:pPr>
      <w:r w:rsidRPr="00717F25">
        <w:rPr>
          <w:rFonts w:ascii="Verdana" w:hAnsi="Verdana"/>
          <w:b/>
          <w:bCs/>
          <w:color w:val="0070C0"/>
          <w:sz w:val="20"/>
          <w:szCs w:val="20"/>
        </w:rPr>
        <w:t>Inside the Trade</w:t>
      </w:r>
    </w:p>
    <w:p w14:paraId="5E8742C8" w14:textId="77777777" w:rsidR="008A6C67" w:rsidRPr="008A6C67" w:rsidRDefault="008A6C67" w:rsidP="008A6C67">
      <w:pPr>
        <w:spacing w:after="0" w:line="240" w:lineRule="auto"/>
        <w:contextualSpacing/>
        <w:mirrorIndents/>
        <w:rPr>
          <w:rFonts w:ascii="Verdana" w:hAnsi="Verdana"/>
          <w:sz w:val="20"/>
          <w:szCs w:val="20"/>
        </w:rPr>
      </w:pPr>
    </w:p>
    <w:p w14:paraId="5BF3FDAA" w14:textId="69E5F679" w:rsidR="00717F25" w:rsidRDefault="00717F25" w:rsidP="008A6C67">
      <w:pPr>
        <w:spacing w:after="0" w:line="240" w:lineRule="auto"/>
        <w:contextualSpacing/>
        <w:mirrorIndents/>
        <w:rPr>
          <w:rFonts w:ascii="Verdana" w:hAnsi="Verdana"/>
          <w:sz w:val="20"/>
          <w:szCs w:val="20"/>
        </w:rPr>
      </w:pPr>
      <w:r>
        <w:rPr>
          <w:rFonts w:ascii="Verdana" w:hAnsi="Verdana"/>
          <w:sz w:val="20"/>
          <w:szCs w:val="20"/>
        </w:rPr>
        <w:t>The Farnsworth Group survey cited above also found homeowners’ concerns with having workers in their home during the pandemic continues to be a major reason remodelers’ jobs have been delayed, increasing from 35.3% for December to 43.3% for January.</w:t>
      </w:r>
    </w:p>
    <w:p w14:paraId="414EF926" w14:textId="362D7406" w:rsidR="00717F25" w:rsidRDefault="00717F25" w:rsidP="008A6C67">
      <w:pPr>
        <w:spacing w:after="0" w:line="240" w:lineRule="auto"/>
        <w:contextualSpacing/>
        <w:mirrorIndents/>
        <w:rPr>
          <w:rFonts w:ascii="Verdana" w:hAnsi="Verdana"/>
          <w:sz w:val="20"/>
          <w:szCs w:val="20"/>
        </w:rPr>
      </w:pPr>
    </w:p>
    <w:p w14:paraId="08C8CB85" w14:textId="649E45D5" w:rsidR="00717F25" w:rsidRDefault="00100410" w:rsidP="008A6C67">
      <w:pPr>
        <w:spacing w:after="0" w:line="240" w:lineRule="auto"/>
        <w:contextualSpacing/>
        <w:mirrorIndents/>
        <w:rPr>
          <w:rFonts w:ascii="Verdana" w:hAnsi="Verdana"/>
          <w:sz w:val="20"/>
          <w:szCs w:val="20"/>
        </w:rPr>
      </w:pPr>
      <w:r>
        <w:rPr>
          <w:rFonts w:ascii="Verdana" w:hAnsi="Verdana"/>
          <w:sz w:val="20"/>
          <w:szCs w:val="20"/>
        </w:rPr>
        <w:t>Although only 18.1% of remodelers said a lack of labor/workers was delaying their projects, 58.0% were experiencing some level of labor shortages: low shortages 18.7%, moderate shortages 20.2%, severe shortages 11.4% and no shortages 42.0%.</w:t>
      </w:r>
    </w:p>
    <w:p w14:paraId="78F27641" w14:textId="08AFA2DD" w:rsidR="00100410" w:rsidRDefault="00100410" w:rsidP="008A6C67">
      <w:pPr>
        <w:spacing w:after="0" w:line="240" w:lineRule="auto"/>
        <w:contextualSpacing/>
        <w:mirrorIndents/>
        <w:rPr>
          <w:rFonts w:ascii="Verdana" w:hAnsi="Verdana"/>
          <w:sz w:val="20"/>
          <w:szCs w:val="20"/>
        </w:rPr>
      </w:pPr>
    </w:p>
    <w:p w14:paraId="5507A684" w14:textId="31B94BB6" w:rsidR="00100410" w:rsidRDefault="00100410" w:rsidP="008A6C67">
      <w:pPr>
        <w:spacing w:after="0" w:line="240" w:lineRule="auto"/>
        <w:contextualSpacing/>
        <w:mirrorIndents/>
        <w:rPr>
          <w:rFonts w:ascii="Verdana" w:hAnsi="Verdana"/>
          <w:sz w:val="20"/>
          <w:szCs w:val="20"/>
        </w:rPr>
      </w:pPr>
      <w:r>
        <w:rPr>
          <w:rFonts w:ascii="Verdana" w:hAnsi="Verdana"/>
          <w:sz w:val="20"/>
          <w:szCs w:val="20"/>
        </w:rPr>
        <w:t>The vast majority (84.0%) of professional remodelers continue to purchase their building materials in-store/at supplier</w:t>
      </w:r>
      <w:r w:rsidR="00462E51">
        <w:rPr>
          <w:rFonts w:ascii="Verdana" w:hAnsi="Verdana"/>
          <w:sz w:val="20"/>
          <w:szCs w:val="20"/>
        </w:rPr>
        <w:t>s</w:t>
      </w:r>
      <w:r>
        <w:rPr>
          <w:rFonts w:ascii="Verdana" w:hAnsi="Verdana"/>
          <w:sz w:val="20"/>
          <w:szCs w:val="20"/>
        </w:rPr>
        <w:t>; however, a substantial percentage (31.3%) of their purchases were online and delivered to the job</w:t>
      </w:r>
      <w:r w:rsidR="00462E51">
        <w:rPr>
          <w:rFonts w:ascii="Verdana" w:hAnsi="Verdana"/>
          <w:sz w:val="20"/>
          <w:szCs w:val="20"/>
        </w:rPr>
        <w:t xml:space="preserve"> </w:t>
      </w:r>
      <w:r>
        <w:rPr>
          <w:rFonts w:ascii="Verdana" w:hAnsi="Verdana"/>
          <w:sz w:val="20"/>
          <w:szCs w:val="20"/>
        </w:rPr>
        <w:t>site.</w:t>
      </w:r>
    </w:p>
    <w:p w14:paraId="68B1038D" w14:textId="7FD2BD6D" w:rsidR="00717F25" w:rsidRDefault="00717F25" w:rsidP="008A6C67">
      <w:pPr>
        <w:spacing w:after="0" w:line="240" w:lineRule="auto"/>
        <w:contextualSpacing/>
        <w:mirrorIndents/>
        <w:rPr>
          <w:rFonts w:ascii="Verdana" w:hAnsi="Verdana"/>
          <w:sz w:val="20"/>
          <w:szCs w:val="20"/>
        </w:rPr>
      </w:pPr>
    </w:p>
    <w:p w14:paraId="2AB294D3" w14:textId="29589D60" w:rsidR="00C96D2C" w:rsidRDefault="00C96D2C" w:rsidP="00100410">
      <w:pPr>
        <w:pStyle w:val="Header"/>
        <w:contextualSpacing/>
        <w:jc w:val="center"/>
        <w:rPr>
          <w:rFonts w:ascii="Verdana" w:hAnsi="Verdana"/>
          <w:b/>
          <w:sz w:val="20"/>
          <w:szCs w:val="20"/>
        </w:rPr>
      </w:pPr>
      <w:r>
        <w:rPr>
          <w:rFonts w:ascii="Verdana" w:hAnsi="Verdana"/>
          <w:b/>
          <w:sz w:val="20"/>
          <w:szCs w:val="20"/>
        </w:rPr>
        <w:t xml:space="preserve">Actions </w:t>
      </w:r>
      <w:r w:rsidR="00100410">
        <w:rPr>
          <w:rFonts w:ascii="Verdana" w:hAnsi="Verdana"/>
          <w:b/>
          <w:sz w:val="20"/>
          <w:szCs w:val="20"/>
        </w:rPr>
        <w:t xml:space="preserve">Professional Remodelers Are </w:t>
      </w:r>
      <w:r>
        <w:rPr>
          <w:rFonts w:ascii="Verdana" w:hAnsi="Verdana"/>
          <w:b/>
          <w:sz w:val="20"/>
          <w:szCs w:val="20"/>
        </w:rPr>
        <w:t xml:space="preserve">Taking to Manage </w:t>
      </w:r>
    </w:p>
    <w:p w14:paraId="28C9AC61" w14:textId="481FAB17" w:rsidR="00100410" w:rsidRPr="00CC1ECE" w:rsidRDefault="00C96D2C" w:rsidP="00100410">
      <w:pPr>
        <w:pStyle w:val="Header"/>
        <w:contextualSpacing/>
        <w:jc w:val="center"/>
        <w:rPr>
          <w:rFonts w:ascii="Verdana" w:hAnsi="Verdana"/>
          <w:b/>
          <w:sz w:val="20"/>
          <w:szCs w:val="20"/>
        </w:rPr>
      </w:pPr>
      <w:r>
        <w:rPr>
          <w:rFonts w:ascii="Verdana" w:hAnsi="Verdana"/>
          <w:b/>
          <w:sz w:val="20"/>
          <w:szCs w:val="20"/>
        </w:rPr>
        <w:t>Increased Material Costs</w:t>
      </w:r>
      <w:r w:rsidR="00100410">
        <w:rPr>
          <w:rFonts w:ascii="Verdana" w:hAnsi="Verdana"/>
          <w:b/>
          <w:sz w:val="20"/>
          <w:szCs w:val="20"/>
        </w:rPr>
        <w:t>,</w:t>
      </w:r>
      <w:r>
        <w:rPr>
          <w:rFonts w:ascii="Verdana" w:hAnsi="Verdana"/>
          <w:b/>
          <w:sz w:val="20"/>
          <w:szCs w:val="20"/>
        </w:rPr>
        <w:t xml:space="preserve"> </w:t>
      </w:r>
      <w:r w:rsidR="0037268D">
        <w:rPr>
          <w:rFonts w:ascii="Verdana" w:hAnsi="Verdana"/>
          <w:b/>
          <w:sz w:val="20"/>
          <w:szCs w:val="20"/>
        </w:rPr>
        <w:t>October 2021–</w:t>
      </w:r>
      <w:r w:rsidR="00100410">
        <w:rPr>
          <w:rFonts w:ascii="Verdana" w:hAnsi="Verdana"/>
          <w:b/>
          <w:sz w:val="20"/>
          <w:szCs w:val="20"/>
        </w:rPr>
        <w:t>January 2022</w:t>
      </w:r>
    </w:p>
    <w:tbl>
      <w:tblPr>
        <w:tblW w:w="10356" w:type="dxa"/>
        <w:jc w:val="center"/>
        <w:tblBorders>
          <w:left w:val="single" w:sz="8" w:space="0" w:color="000000"/>
          <w:right w:val="single" w:sz="8" w:space="0" w:color="000000"/>
        </w:tblBorders>
        <w:tblLayout w:type="fixed"/>
        <w:tblLook w:val="0000" w:firstRow="0" w:lastRow="0" w:firstColumn="0" w:lastColumn="0" w:noHBand="0" w:noVBand="0"/>
      </w:tblPr>
      <w:tblGrid>
        <w:gridCol w:w="4770"/>
        <w:gridCol w:w="1395"/>
        <w:gridCol w:w="1397"/>
        <w:gridCol w:w="1397"/>
        <w:gridCol w:w="1397"/>
      </w:tblGrid>
      <w:tr w:rsidR="00100410" w:rsidRPr="00CC1ECE" w14:paraId="53CD66E0" w14:textId="77777777" w:rsidTr="00F31B42">
        <w:trPr>
          <w:jc w:val="center"/>
        </w:trPr>
        <w:tc>
          <w:tcPr>
            <w:tcW w:w="4770" w:type="dxa"/>
            <w:tcBorders>
              <w:top w:val="single" w:sz="12" w:space="0" w:color="000000"/>
              <w:left w:val="single" w:sz="12" w:space="0" w:color="000000"/>
              <w:bottom w:val="single" w:sz="18" w:space="0" w:color="C0504D" w:themeColor="accent2"/>
              <w:right w:val="single" w:sz="18" w:space="0" w:color="0070C0"/>
            </w:tcBorders>
            <w:vAlign w:val="center"/>
          </w:tcPr>
          <w:p w14:paraId="5BE6CA8C" w14:textId="0A521E4C" w:rsidR="00100410" w:rsidRPr="00CC1ECE" w:rsidRDefault="00C96D2C"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Action</w:t>
            </w:r>
          </w:p>
        </w:tc>
        <w:tc>
          <w:tcPr>
            <w:tcW w:w="1395" w:type="dxa"/>
            <w:tcBorders>
              <w:top w:val="single" w:sz="12" w:space="0" w:color="000000"/>
              <w:left w:val="single" w:sz="18" w:space="0" w:color="0070C0"/>
              <w:bottom w:val="single" w:sz="18" w:space="0" w:color="C0504D" w:themeColor="accent2"/>
              <w:right w:val="single" w:sz="8" w:space="0" w:color="0070C0"/>
            </w:tcBorders>
            <w:vAlign w:val="center"/>
          </w:tcPr>
          <w:p w14:paraId="3FF53760" w14:textId="27891036" w:rsidR="00100410" w:rsidRDefault="00100410"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Oct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45C55F6F" w14:textId="77777777" w:rsidR="00100410" w:rsidRPr="00CC1ECE" w:rsidRDefault="00100410"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Nov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3FEAF6EC" w14:textId="77777777" w:rsidR="00100410" w:rsidRPr="00CC1ECE" w:rsidRDefault="00100410"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Dec 2021</w:t>
            </w:r>
          </w:p>
        </w:tc>
        <w:tc>
          <w:tcPr>
            <w:tcW w:w="1397" w:type="dxa"/>
            <w:tcBorders>
              <w:top w:val="single" w:sz="12" w:space="0" w:color="000000"/>
              <w:left w:val="single" w:sz="8" w:space="0" w:color="0070C0"/>
              <w:bottom w:val="single" w:sz="18" w:space="0" w:color="C0504D" w:themeColor="accent2"/>
              <w:right w:val="single" w:sz="12" w:space="0" w:color="auto"/>
            </w:tcBorders>
            <w:vAlign w:val="center"/>
          </w:tcPr>
          <w:p w14:paraId="340F8E28" w14:textId="77777777" w:rsidR="00100410" w:rsidRPr="00CC1ECE" w:rsidRDefault="00100410"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Jan 2022</w:t>
            </w:r>
          </w:p>
        </w:tc>
      </w:tr>
      <w:tr w:rsidR="00100410" w:rsidRPr="00CC1ECE" w14:paraId="333FBFA2" w14:textId="77777777" w:rsidTr="00F31B42">
        <w:trPr>
          <w:trHeight w:val="243"/>
          <w:jc w:val="center"/>
        </w:trPr>
        <w:tc>
          <w:tcPr>
            <w:tcW w:w="477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09F0911F" w14:textId="6F07B76B" w:rsidR="00100410" w:rsidRPr="00CC1ECE" w:rsidRDefault="00C96D2C"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Pass the increased cost to the client</w:t>
            </w:r>
          </w:p>
        </w:tc>
        <w:tc>
          <w:tcPr>
            <w:tcW w:w="1395"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6CFBFB65" w14:textId="639DB32E" w:rsidR="00100410" w:rsidRPr="00CC1ECE"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44.1%</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F2F2F2" w:themeFill="background1" w:themeFillShade="F2"/>
            <w:vAlign w:val="center"/>
          </w:tcPr>
          <w:p w14:paraId="7EFF825A" w14:textId="073DAD00" w:rsidR="00100410" w:rsidRPr="00CC1ECE"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44.0%</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D99594" w:themeFill="accent2" w:themeFillTint="99"/>
            <w:vAlign w:val="center"/>
          </w:tcPr>
          <w:p w14:paraId="2B38C450" w14:textId="36BABB54" w:rsidR="00C96D2C" w:rsidRPr="00CC1ECE"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35.4%</w:t>
            </w:r>
          </w:p>
        </w:tc>
        <w:tc>
          <w:tcPr>
            <w:tcW w:w="1397" w:type="dxa"/>
            <w:tcBorders>
              <w:top w:val="single" w:sz="18" w:space="0" w:color="C0504D" w:themeColor="accent2"/>
              <w:left w:val="single" w:sz="8" w:space="0" w:color="0070C0"/>
              <w:bottom w:val="single" w:sz="4" w:space="0" w:color="auto"/>
              <w:right w:val="single" w:sz="12" w:space="0" w:color="auto"/>
            </w:tcBorders>
            <w:shd w:val="clear" w:color="auto" w:fill="00B050"/>
            <w:vAlign w:val="center"/>
          </w:tcPr>
          <w:p w14:paraId="3BCFF03A" w14:textId="2D2EF6CC" w:rsidR="00100410" w:rsidRPr="00CC1ECE"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46.4%</w:t>
            </w:r>
          </w:p>
        </w:tc>
      </w:tr>
      <w:tr w:rsidR="00100410" w:rsidRPr="00CC1ECE" w14:paraId="7733F7AC" w14:textId="77777777" w:rsidTr="00F31B42">
        <w:trPr>
          <w:trHeight w:val="243"/>
          <w:jc w:val="center"/>
        </w:trPr>
        <w:tc>
          <w:tcPr>
            <w:tcW w:w="477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FA7662C" w14:textId="5B0D4A72" w:rsidR="00100410" w:rsidRDefault="00C96D2C"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The remodeler absorbs the increased costs</w:t>
            </w:r>
          </w:p>
        </w:tc>
        <w:tc>
          <w:tcPr>
            <w:tcW w:w="1395"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440761ED" w14:textId="174CBFF9" w:rsidR="00100410"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18.6%</w:t>
            </w:r>
          </w:p>
        </w:tc>
        <w:tc>
          <w:tcPr>
            <w:tcW w:w="139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66C4A62A" w14:textId="4D14B7D2" w:rsidR="00100410"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16.6%</w:t>
            </w:r>
          </w:p>
        </w:tc>
        <w:tc>
          <w:tcPr>
            <w:tcW w:w="139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12791D2" w14:textId="47DA0AD2" w:rsidR="00100410"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21.1%</w:t>
            </w:r>
          </w:p>
        </w:tc>
        <w:tc>
          <w:tcPr>
            <w:tcW w:w="1397" w:type="dxa"/>
            <w:tcBorders>
              <w:top w:val="single" w:sz="4" w:space="0" w:color="auto"/>
              <w:left w:val="single" w:sz="8" w:space="0" w:color="0070C0"/>
              <w:bottom w:val="single" w:sz="4" w:space="0" w:color="000000"/>
              <w:right w:val="single" w:sz="12" w:space="0" w:color="auto"/>
            </w:tcBorders>
            <w:shd w:val="clear" w:color="auto" w:fill="E5B8B7" w:themeFill="accent2" w:themeFillTint="66"/>
            <w:vAlign w:val="center"/>
          </w:tcPr>
          <w:p w14:paraId="0611E2BC" w14:textId="229A489F" w:rsidR="00100410"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18.6%</w:t>
            </w:r>
          </w:p>
        </w:tc>
      </w:tr>
      <w:tr w:rsidR="00100410" w:rsidRPr="00CC1ECE" w14:paraId="25F60105" w14:textId="77777777" w:rsidTr="00F31B42">
        <w:trPr>
          <w:trHeight w:val="243"/>
          <w:jc w:val="center"/>
        </w:trPr>
        <w:tc>
          <w:tcPr>
            <w:tcW w:w="477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FB1763A" w14:textId="65964B81" w:rsidR="00100410" w:rsidRDefault="00C96D2C"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Both client and remodeler share the increase</w:t>
            </w:r>
          </w:p>
        </w:tc>
        <w:tc>
          <w:tcPr>
            <w:tcW w:w="1395"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7611428B" w14:textId="4430A3AE" w:rsidR="00100410"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37.0%</w:t>
            </w:r>
          </w:p>
        </w:tc>
        <w:tc>
          <w:tcPr>
            <w:tcW w:w="139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9F728F2" w14:textId="64F7853A" w:rsidR="00100410"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37.8%</w:t>
            </w:r>
          </w:p>
        </w:tc>
        <w:tc>
          <w:tcPr>
            <w:tcW w:w="139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9EAA814" w14:textId="6AF7A3D8" w:rsidR="00100410"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42.7%</w:t>
            </w:r>
          </w:p>
        </w:tc>
        <w:tc>
          <w:tcPr>
            <w:tcW w:w="1397" w:type="dxa"/>
            <w:tcBorders>
              <w:top w:val="single" w:sz="4" w:space="0" w:color="auto"/>
              <w:left w:val="single" w:sz="8" w:space="0" w:color="0070C0"/>
              <w:bottom w:val="single" w:sz="4" w:space="0" w:color="000000"/>
              <w:right w:val="single" w:sz="12" w:space="0" w:color="auto"/>
            </w:tcBorders>
            <w:shd w:val="clear" w:color="auto" w:fill="E5B8B7" w:themeFill="accent2" w:themeFillTint="66"/>
            <w:vAlign w:val="center"/>
          </w:tcPr>
          <w:p w14:paraId="0A3ECAC8" w14:textId="7FCCD223" w:rsidR="00100410"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35.0%</w:t>
            </w:r>
          </w:p>
        </w:tc>
      </w:tr>
      <w:tr w:rsidR="00100410" w:rsidRPr="00CC1ECE" w14:paraId="7CBA99E4" w14:textId="77777777" w:rsidTr="00F31B42">
        <w:trPr>
          <w:trHeight w:val="54"/>
          <w:jc w:val="center"/>
        </w:trPr>
        <w:tc>
          <w:tcPr>
            <w:tcW w:w="477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4A0D00EE" w14:textId="14B9CA02" w:rsidR="00100410" w:rsidRPr="00CC1ECE" w:rsidRDefault="00C96D2C"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Another action</w:t>
            </w:r>
          </w:p>
        </w:tc>
        <w:tc>
          <w:tcPr>
            <w:tcW w:w="1395" w:type="dxa"/>
            <w:tcBorders>
              <w:top w:val="single" w:sz="4" w:space="0" w:color="000000"/>
              <w:left w:val="single" w:sz="18" w:space="0" w:color="0070C0"/>
              <w:bottom w:val="single" w:sz="12" w:space="0" w:color="000000"/>
              <w:right w:val="single" w:sz="8" w:space="0" w:color="0070C0"/>
            </w:tcBorders>
            <w:shd w:val="clear" w:color="auto" w:fill="F2DBDB" w:themeFill="accent2" w:themeFillTint="33"/>
            <w:vAlign w:val="center"/>
          </w:tcPr>
          <w:p w14:paraId="6FE977DC" w14:textId="1665F42B" w:rsidR="00100410" w:rsidRPr="00CC1ECE"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0.3%</w:t>
            </w:r>
          </w:p>
        </w:tc>
        <w:tc>
          <w:tcPr>
            <w:tcW w:w="1397"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4FA49C7B" w14:textId="64EA6DBE" w:rsidR="00100410" w:rsidRPr="00CC1ECE"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c>
          <w:tcPr>
            <w:tcW w:w="139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7913F771" w14:textId="440D469F" w:rsidR="00100410" w:rsidRPr="00CC1ECE"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0.8%</w:t>
            </w:r>
          </w:p>
        </w:tc>
        <w:tc>
          <w:tcPr>
            <w:tcW w:w="1397" w:type="dxa"/>
            <w:tcBorders>
              <w:top w:val="single" w:sz="4" w:space="0" w:color="000000"/>
              <w:left w:val="single" w:sz="8" w:space="0" w:color="0070C0"/>
              <w:bottom w:val="single" w:sz="12" w:space="0" w:color="000000"/>
              <w:right w:val="single" w:sz="12" w:space="0" w:color="auto"/>
            </w:tcBorders>
            <w:shd w:val="clear" w:color="auto" w:fill="F2F2F2" w:themeFill="background1" w:themeFillShade="F2"/>
            <w:vAlign w:val="center"/>
          </w:tcPr>
          <w:p w14:paraId="0E08A550" w14:textId="1B90C883" w:rsidR="00100410" w:rsidRPr="00CC1ECE" w:rsidRDefault="00C96D2C"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r>
    </w:tbl>
    <w:p w14:paraId="304A8518" w14:textId="019B7066" w:rsidR="00C96D2C" w:rsidRPr="0068494F" w:rsidRDefault="00C96D2C" w:rsidP="00C96D2C">
      <w:pPr>
        <w:pStyle w:val="NoSpacing"/>
        <w:contextualSpacing/>
        <w:mirrorIndents/>
        <w:rPr>
          <w:rFonts w:ascii="Verdana" w:hAnsi="Verdana"/>
          <w:sz w:val="20"/>
          <w:szCs w:val="20"/>
        </w:rPr>
      </w:pPr>
      <w:r>
        <w:rPr>
          <w:rFonts w:ascii="Verdana" w:hAnsi="Verdana"/>
          <w:sz w:val="16"/>
          <w:szCs w:val="16"/>
        </w:rPr>
        <w:t>The Farnsworth Group</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t>(color represents the change from the previous month)</w:t>
      </w:r>
    </w:p>
    <w:p w14:paraId="52BA0E02" w14:textId="35E0B27A" w:rsidR="00100410" w:rsidRDefault="00100410" w:rsidP="008A6C67">
      <w:pPr>
        <w:spacing w:after="0" w:line="240" w:lineRule="auto"/>
        <w:contextualSpacing/>
        <w:mirrorIndents/>
        <w:rPr>
          <w:rFonts w:ascii="Verdana" w:hAnsi="Verdana"/>
          <w:sz w:val="20"/>
          <w:szCs w:val="20"/>
        </w:rPr>
      </w:pPr>
    </w:p>
    <w:p w14:paraId="06B23975" w14:textId="77777777" w:rsidR="00C96D2C" w:rsidRDefault="00C96D2C" w:rsidP="008A6C67">
      <w:pPr>
        <w:spacing w:after="0" w:line="240" w:lineRule="auto"/>
        <w:contextualSpacing/>
        <w:mirrorIndents/>
        <w:rPr>
          <w:rFonts w:ascii="Verdana" w:hAnsi="Verdana"/>
          <w:sz w:val="20"/>
          <w:szCs w:val="20"/>
        </w:rPr>
      </w:pPr>
    </w:p>
    <w:p w14:paraId="50946C1A" w14:textId="77777777" w:rsidR="00C96D2C" w:rsidRDefault="00C96D2C" w:rsidP="008A6C67">
      <w:pPr>
        <w:spacing w:after="0" w:line="240" w:lineRule="auto"/>
        <w:contextualSpacing/>
        <w:mirrorIndents/>
        <w:rPr>
          <w:rFonts w:ascii="Verdana" w:hAnsi="Verdana"/>
          <w:sz w:val="20"/>
          <w:szCs w:val="20"/>
        </w:rPr>
      </w:pPr>
    </w:p>
    <w:p w14:paraId="5B2D55C6" w14:textId="77777777" w:rsidR="00C96D2C" w:rsidRDefault="00C96D2C" w:rsidP="008A6C67">
      <w:pPr>
        <w:spacing w:after="0" w:line="240" w:lineRule="auto"/>
        <w:contextualSpacing/>
        <w:mirrorIndents/>
        <w:rPr>
          <w:rFonts w:ascii="Verdana" w:hAnsi="Verdana"/>
          <w:sz w:val="20"/>
          <w:szCs w:val="20"/>
        </w:rPr>
      </w:pPr>
    </w:p>
    <w:p w14:paraId="0619D7F7" w14:textId="64440261" w:rsidR="008A6C67" w:rsidRPr="009E2336" w:rsidRDefault="008A6C67" w:rsidP="009E2336">
      <w:pPr>
        <w:spacing w:after="0" w:line="240" w:lineRule="auto"/>
        <w:contextualSpacing/>
        <w:mirrorIndents/>
        <w:jc w:val="center"/>
        <w:rPr>
          <w:rFonts w:ascii="Verdana" w:hAnsi="Verdana"/>
          <w:b/>
          <w:bCs/>
          <w:color w:val="0070C0"/>
          <w:sz w:val="20"/>
          <w:szCs w:val="20"/>
        </w:rPr>
      </w:pPr>
      <w:r w:rsidRPr="009E2336">
        <w:rPr>
          <w:rFonts w:ascii="Verdana" w:hAnsi="Verdana"/>
          <w:b/>
          <w:bCs/>
          <w:color w:val="0070C0"/>
          <w:sz w:val="20"/>
          <w:szCs w:val="20"/>
        </w:rPr>
        <w:lastRenderedPageBreak/>
        <w:t>DIFM Remodeling Consumers</w:t>
      </w:r>
    </w:p>
    <w:p w14:paraId="287EC206" w14:textId="77777777" w:rsidR="008A6C67" w:rsidRPr="008A6C67" w:rsidRDefault="008A6C67" w:rsidP="008A6C67">
      <w:pPr>
        <w:spacing w:after="0" w:line="240" w:lineRule="auto"/>
        <w:contextualSpacing/>
        <w:mirrorIndents/>
        <w:rPr>
          <w:rFonts w:ascii="Verdana" w:hAnsi="Verdana"/>
          <w:sz w:val="20"/>
          <w:szCs w:val="20"/>
        </w:rPr>
      </w:pPr>
    </w:p>
    <w:p w14:paraId="7DD14DA8" w14:textId="65C631DF" w:rsidR="009E2336" w:rsidRDefault="009E2336" w:rsidP="008A6C67">
      <w:pPr>
        <w:spacing w:after="0" w:line="240" w:lineRule="auto"/>
        <w:contextualSpacing/>
        <w:mirrorIndents/>
        <w:rPr>
          <w:rFonts w:ascii="Verdana" w:hAnsi="Verdana"/>
          <w:sz w:val="20"/>
          <w:szCs w:val="20"/>
        </w:rPr>
      </w:pPr>
      <w:r>
        <w:rPr>
          <w:rFonts w:ascii="Verdana" w:hAnsi="Verdana"/>
          <w:sz w:val="20"/>
          <w:szCs w:val="20"/>
        </w:rPr>
        <w:t xml:space="preserve">According to The Farnsworth Group’s DIFM (“Do It For Me”) Home Improvement Monthly Tracker, </w:t>
      </w:r>
      <w:r w:rsidR="00152312">
        <w:rPr>
          <w:rFonts w:ascii="Verdana" w:hAnsi="Verdana"/>
          <w:sz w:val="20"/>
          <w:szCs w:val="20"/>
        </w:rPr>
        <w:t xml:space="preserve">fewer </w:t>
      </w:r>
      <w:r>
        <w:rPr>
          <w:rFonts w:ascii="Verdana" w:hAnsi="Verdana"/>
          <w:sz w:val="20"/>
          <w:szCs w:val="20"/>
        </w:rPr>
        <w:t>remodeling consumers</w:t>
      </w:r>
      <w:r w:rsidR="00152312">
        <w:rPr>
          <w:rFonts w:ascii="Verdana" w:hAnsi="Verdana"/>
          <w:sz w:val="20"/>
          <w:szCs w:val="20"/>
        </w:rPr>
        <w:t xml:space="preserve"> thought it was a good time to start a project</w:t>
      </w:r>
      <w:r w:rsidR="00462E51">
        <w:rPr>
          <w:rFonts w:ascii="Verdana" w:hAnsi="Verdana"/>
          <w:sz w:val="20"/>
          <w:szCs w:val="20"/>
        </w:rPr>
        <w:t>:</w:t>
      </w:r>
      <w:r w:rsidR="00152312">
        <w:rPr>
          <w:rFonts w:ascii="Verdana" w:hAnsi="Verdana"/>
          <w:sz w:val="20"/>
          <w:szCs w:val="20"/>
        </w:rPr>
        <w:t xml:space="preserve"> </w:t>
      </w:r>
      <w:r w:rsidR="00462E51">
        <w:rPr>
          <w:rFonts w:ascii="Verdana" w:hAnsi="Verdana"/>
          <w:sz w:val="20"/>
          <w:szCs w:val="20"/>
        </w:rPr>
        <w:t xml:space="preserve">47.2% in </w:t>
      </w:r>
      <w:r w:rsidR="00152312">
        <w:rPr>
          <w:rFonts w:ascii="Verdana" w:hAnsi="Verdana"/>
          <w:sz w:val="20"/>
          <w:szCs w:val="20"/>
        </w:rPr>
        <w:t>the January 2022 survey compared to 47.8% from the December 2021 survey.</w:t>
      </w:r>
    </w:p>
    <w:p w14:paraId="631031B7" w14:textId="77777777" w:rsidR="009E2336" w:rsidRDefault="009E2336" w:rsidP="008A6C67">
      <w:pPr>
        <w:spacing w:after="0" w:line="240" w:lineRule="auto"/>
        <w:contextualSpacing/>
        <w:mirrorIndents/>
        <w:rPr>
          <w:rFonts w:ascii="Verdana" w:hAnsi="Verdana"/>
          <w:sz w:val="20"/>
          <w:szCs w:val="20"/>
        </w:rPr>
      </w:pPr>
    </w:p>
    <w:p w14:paraId="43576508" w14:textId="56AE9C01" w:rsidR="009E2336" w:rsidRDefault="00152312" w:rsidP="008A6C67">
      <w:pPr>
        <w:spacing w:after="0" w:line="240" w:lineRule="auto"/>
        <w:contextualSpacing/>
        <w:mirrorIndents/>
        <w:rPr>
          <w:rFonts w:ascii="Verdana" w:hAnsi="Verdana"/>
          <w:sz w:val="20"/>
          <w:szCs w:val="20"/>
        </w:rPr>
      </w:pPr>
      <w:r>
        <w:rPr>
          <w:rFonts w:ascii="Verdana" w:hAnsi="Verdana"/>
          <w:sz w:val="20"/>
          <w:szCs w:val="20"/>
        </w:rPr>
        <w:t>Like the results from the professional remodeling survey, DIFM consumers said material availability (49.1%) was the #1 reason for their project</w:t>
      </w:r>
      <w:r w:rsidR="00462E51">
        <w:rPr>
          <w:rFonts w:ascii="Verdana" w:hAnsi="Verdana"/>
          <w:sz w:val="20"/>
          <w:szCs w:val="20"/>
        </w:rPr>
        <w:t>s’</w:t>
      </w:r>
      <w:r>
        <w:rPr>
          <w:rFonts w:ascii="Verdana" w:hAnsi="Verdana"/>
          <w:sz w:val="20"/>
          <w:szCs w:val="20"/>
        </w:rPr>
        <w:t xml:space="preserve"> delay or stoppage. Being concerned with workers who may have the COVID virus was second at 26.3%.</w:t>
      </w:r>
    </w:p>
    <w:p w14:paraId="45075C63" w14:textId="79D72973" w:rsidR="009E2336" w:rsidRDefault="009E2336" w:rsidP="008A6C67">
      <w:pPr>
        <w:spacing w:after="0" w:line="240" w:lineRule="auto"/>
        <w:contextualSpacing/>
        <w:mirrorIndents/>
        <w:rPr>
          <w:rFonts w:ascii="Verdana" w:hAnsi="Verdana"/>
          <w:sz w:val="20"/>
          <w:szCs w:val="20"/>
        </w:rPr>
      </w:pPr>
    </w:p>
    <w:p w14:paraId="4E5E276C" w14:textId="2E08C7F2" w:rsidR="00152312" w:rsidRDefault="00152312" w:rsidP="008A6C67">
      <w:pPr>
        <w:spacing w:after="0" w:line="240" w:lineRule="auto"/>
        <w:contextualSpacing/>
        <w:mirrorIndents/>
        <w:rPr>
          <w:rFonts w:ascii="Verdana" w:hAnsi="Verdana"/>
          <w:sz w:val="20"/>
          <w:szCs w:val="20"/>
        </w:rPr>
      </w:pPr>
      <w:r>
        <w:rPr>
          <w:rFonts w:ascii="Verdana" w:hAnsi="Verdana"/>
          <w:sz w:val="20"/>
          <w:szCs w:val="20"/>
        </w:rPr>
        <w:t>Of the surveyed DIFM remodeling consumers, more than half (52.5%)</w:t>
      </w:r>
      <w:r w:rsidR="007927F3">
        <w:rPr>
          <w:rFonts w:ascii="Verdana" w:hAnsi="Verdana"/>
          <w:sz w:val="20"/>
          <w:szCs w:val="20"/>
        </w:rPr>
        <w:t xml:space="preserve"> said the biggest challenge finding a professional remodeler was he or she was too busy/not available when needed, indicating there are plenty of jobs for remodelers.</w:t>
      </w:r>
    </w:p>
    <w:p w14:paraId="21EB5E1E" w14:textId="5D865826" w:rsidR="007927F3" w:rsidRDefault="007927F3" w:rsidP="008A6C67">
      <w:pPr>
        <w:spacing w:after="0" w:line="240" w:lineRule="auto"/>
        <w:contextualSpacing/>
        <w:mirrorIndents/>
        <w:rPr>
          <w:rFonts w:ascii="Verdana" w:hAnsi="Verdana"/>
          <w:sz w:val="20"/>
          <w:szCs w:val="20"/>
        </w:rPr>
      </w:pPr>
    </w:p>
    <w:p w14:paraId="2CEE4450" w14:textId="77777777" w:rsidR="0037268D" w:rsidRDefault="0037268D" w:rsidP="0037268D">
      <w:pPr>
        <w:pStyle w:val="Header"/>
        <w:contextualSpacing/>
        <w:jc w:val="center"/>
        <w:rPr>
          <w:rFonts w:ascii="Verdana" w:hAnsi="Verdana"/>
          <w:b/>
          <w:sz w:val="20"/>
          <w:szCs w:val="20"/>
        </w:rPr>
      </w:pPr>
      <w:r>
        <w:rPr>
          <w:rFonts w:ascii="Verdana" w:hAnsi="Verdana"/>
          <w:b/>
          <w:sz w:val="20"/>
          <w:szCs w:val="20"/>
        </w:rPr>
        <w:t xml:space="preserve">DIFM Remodeling  Consumers’ Plans to Hire a Professional Remodeler </w:t>
      </w:r>
    </w:p>
    <w:p w14:paraId="472F8D98" w14:textId="2AF5A601" w:rsidR="0037268D" w:rsidRPr="00CC1ECE" w:rsidRDefault="0037268D" w:rsidP="0037268D">
      <w:pPr>
        <w:pStyle w:val="Header"/>
        <w:contextualSpacing/>
        <w:jc w:val="center"/>
        <w:rPr>
          <w:rFonts w:ascii="Verdana" w:hAnsi="Verdana"/>
          <w:b/>
          <w:sz w:val="20"/>
          <w:szCs w:val="20"/>
        </w:rPr>
      </w:pPr>
      <w:r>
        <w:rPr>
          <w:rFonts w:ascii="Verdana" w:hAnsi="Verdana"/>
          <w:b/>
          <w:sz w:val="20"/>
          <w:szCs w:val="20"/>
        </w:rPr>
        <w:t>Within the Next Few Weeks, October 2021–January 2022</w:t>
      </w:r>
    </w:p>
    <w:tbl>
      <w:tblPr>
        <w:tblW w:w="7236" w:type="dxa"/>
        <w:jc w:val="center"/>
        <w:tblBorders>
          <w:left w:val="single" w:sz="8" w:space="0" w:color="000000"/>
          <w:right w:val="single" w:sz="8" w:space="0" w:color="000000"/>
        </w:tblBorders>
        <w:tblLayout w:type="fixed"/>
        <w:tblLook w:val="0000" w:firstRow="0" w:lastRow="0" w:firstColumn="0" w:lastColumn="0" w:noHBand="0" w:noVBand="0"/>
      </w:tblPr>
      <w:tblGrid>
        <w:gridCol w:w="1650"/>
        <w:gridCol w:w="1395"/>
        <w:gridCol w:w="1397"/>
        <w:gridCol w:w="1397"/>
        <w:gridCol w:w="1397"/>
      </w:tblGrid>
      <w:tr w:rsidR="0037268D" w:rsidRPr="00CC1ECE" w14:paraId="21229725" w14:textId="77777777" w:rsidTr="00F31B42">
        <w:trPr>
          <w:jc w:val="center"/>
        </w:trPr>
        <w:tc>
          <w:tcPr>
            <w:tcW w:w="1650" w:type="dxa"/>
            <w:tcBorders>
              <w:top w:val="single" w:sz="12" w:space="0" w:color="000000"/>
              <w:left w:val="single" w:sz="12" w:space="0" w:color="000000"/>
              <w:bottom w:val="single" w:sz="18" w:space="0" w:color="C0504D" w:themeColor="accent2"/>
              <w:right w:val="single" w:sz="18" w:space="0" w:color="0070C0"/>
            </w:tcBorders>
            <w:vAlign w:val="center"/>
          </w:tcPr>
          <w:p w14:paraId="0657D677" w14:textId="37976B40" w:rsidR="0037268D" w:rsidRPr="00CC1ECE" w:rsidRDefault="0037268D"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Plan</w:t>
            </w:r>
          </w:p>
        </w:tc>
        <w:tc>
          <w:tcPr>
            <w:tcW w:w="1395" w:type="dxa"/>
            <w:tcBorders>
              <w:top w:val="single" w:sz="12" w:space="0" w:color="000000"/>
              <w:left w:val="single" w:sz="18" w:space="0" w:color="0070C0"/>
              <w:bottom w:val="single" w:sz="18" w:space="0" w:color="C0504D" w:themeColor="accent2"/>
              <w:right w:val="single" w:sz="8" w:space="0" w:color="0070C0"/>
            </w:tcBorders>
            <w:vAlign w:val="center"/>
          </w:tcPr>
          <w:p w14:paraId="72CB4953" w14:textId="77777777" w:rsidR="0037268D" w:rsidRDefault="0037268D"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Oct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7BC8FAE5" w14:textId="77777777" w:rsidR="0037268D" w:rsidRPr="00CC1ECE" w:rsidRDefault="0037268D"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Nov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684E2C3C" w14:textId="77777777" w:rsidR="0037268D" w:rsidRPr="00CC1ECE" w:rsidRDefault="0037268D"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Dec 2021</w:t>
            </w:r>
          </w:p>
        </w:tc>
        <w:tc>
          <w:tcPr>
            <w:tcW w:w="1397" w:type="dxa"/>
            <w:tcBorders>
              <w:top w:val="single" w:sz="12" w:space="0" w:color="000000"/>
              <w:left w:val="single" w:sz="8" w:space="0" w:color="0070C0"/>
              <w:bottom w:val="single" w:sz="18" w:space="0" w:color="C0504D" w:themeColor="accent2"/>
              <w:right w:val="single" w:sz="12" w:space="0" w:color="auto"/>
            </w:tcBorders>
            <w:vAlign w:val="center"/>
          </w:tcPr>
          <w:p w14:paraId="1A03DC2E" w14:textId="77777777" w:rsidR="0037268D" w:rsidRPr="00CC1ECE" w:rsidRDefault="0037268D" w:rsidP="00F31B4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Jan 2022</w:t>
            </w:r>
          </w:p>
        </w:tc>
      </w:tr>
      <w:tr w:rsidR="00A2238D" w:rsidRPr="00CC1ECE" w14:paraId="040AD804" w14:textId="77777777" w:rsidTr="00F31B42">
        <w:trPr>
          <w:trHeight w:val="243"/>
          <w:jc w:val="center"/>
        </w:trPr>
        <w:tc>
          <w:tcPr>
            <w:tcW w:w="165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470D3664" w14:textId="05DD33AB" w:rsidR="0037268D" w:rsidRPr="00CC1ECE" w:rsidRDefault="0037268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Definitely</w:t>
            </w:r>
          </w:p>
        </w:tc>
        <w:tc>
          <w:tcPr>
            <w:tcW w:w="1395" w:type="dxa"/>
            <w:tcBorders>
              <w:top w:val="single" w:sz="18" w:space="0" w:color="C0504D" w:themeColor="accent2"/>
              <w:left w:val="single" w:sz="18" w:space="0" w:color="0070C0"/>
              <w:bottom w:val="single" w:sz="4" w:space="0" w:color="auto"/>
              <w:right w:val="single" w:sz="8" w:space="0" w:color="0070C0"/>
            </w:tcBorders>
            <w:shd w:val="clear" w:color="auto" w:fill="F2DBDB" w:themeFill="accent2" w:themeFillTint="33"/>
            <w:vAlign w:val="center"/>
          </w:tcPr>
          <w:p w14:paraId="60EC6CE6" w14:textId="2BB61DA1" w:rsidR="0037268D" w:rsidRPr="00CC1ECE"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16.4%</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691A93D6" w14:textId="6B8D613E" w:rsidR="0037268D" w:rsidRPr="00CC1ECE"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19.0%</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3BA6623E" w14:textId="30A3B8E8" w:rsidR="0037268D" w:rsidRPr="00CC1ECE"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16.7%</w:t>
            </w:r>
          </w:p>
        </w:tc>
        <w:tc>
          <w:tcPr>
            <w:tcW w:w="1397" w:type="dxa"/>
            <w:tcBorders>
              <w:top w:val="single" w:sz="18" w:space="0" w:color="C0504D" w:themeColor="accent2"/>
              <w:left w:val="single" w:sz="8" w:space="0" w:color="0070C0"/>
              <w:bottom w:val="single" w:sz="4" w:space="0" w:color="auto"/>
              <w:right w:val="single" w:sz="12" w:space="0" w:color="auto"/>
            </w:tcBorders>
            <w:shd w:val="clear" w:color="auto" w:fill="EAF1DD" w:themeFill="accent3" w:themeFillTint="33"/>
            <w:vAlign w:val="center"/>
          </w:tcPr>
          <w:p w14:paraId="7913B4C5" w14:textId="4887DC49" w:rsidR="0037268D" w:rsidRPr="00CC1ECE"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18.9%</w:t>
            </w:r>
          </w:p>
        </w:tc>
      </w:tr>
      <w:tr w:rsidR="00A2238D" w:rsidRPr="00CC1ECE" w14:paraId="7CC38DB0" w14:textId="77777777" w:rsidTr="00F31B42">
        <w:trPr>
          <w:trHeight w:val="243"/>
          <w:jc w:val="center"/>
        </w:trPr>
        <w:tc>
          <w:tcPr>
            <w:tcW w:w="165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F0DBB0A" w14:textId="46F59C4D" w:rsidR="0037268D" w:rsidRDefault="0037268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Probably</w:t>
            </w:r>
          </w:p>
        </w:tc>
        <w:tc>
          <w:tcPr>
            <w:tcW w:w="1395"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3CCD4134" w14:textId="46707120"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29.6%</w:t>
            </w:r>
          </w:p>
        </w:tc>
        <w:tc>
          <w:tcPr>
            <w:tcW w:w="139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94B482D" w14:textId="583D47CF"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35.6%</w:t>
            </w:r>
          </w:p>
        </w:tc>
        <w:tc>
          <w:tcPr>
            <w:tcW w:w="139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481CA97C" w14:textId="68FD0BF4"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30.6%</w:t>
            </w:r>
          </w:p>
        </w:tc>
        <w:tc>
          <w:tcPr>
            <w:tcW w:w="1397"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0E9ECA4C" w14:textId="0AA67870"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34.4%</w:t>
            </w:r>
          </w:p>
        </w:tc>
      </w:tr>
      <w:tr w:rsidR="0037268D" w:rsidRPr="00CC1ECE" w14:paraId="67DACEDE" w14:textId="77777777" w:rsidTr="00F31B42">
        <w:trPr>
          <w:trHeight w:val="243"/>
          <w:jc w:val="center"/>
        </w:trPr>
        <w:tc>
          <w:tcPr>
            <w:tcW w:w="165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D8979E5" w14:textId="0C98BBD4" w:rsidR="0037268D" w:rsidRDefault="0037268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Not sure</w:t>
            </w:r>
          </w:p>
        </w:tc>
        <w:tc>
          <w:tcPr>
            <w:tcW w:w="1395"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2E1635B0" w14:textId="5286F459"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25.6%</w:t>
            </w:r>
          </w:p>
        </w:tc>
        <w:tc>
          <w:tcPr>
            <w:tcW w:w="139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25165F34" w14:textId="5AB59BD6"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18.2%</w:t>
            </w:r>
          </w:p>
        </w:tc>
        <w:tc>
          <w:tcPr>
            <w:tcW w:w="139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64F258E" w14:textId="5B63C114"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26.3%</w:t>
            </w:r>
          </w:p>
        </w:tc>
        <w:tc>
          <w:tcPr>
            <w:tcW w:w="139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0560A65C" w14:textId="77177537"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29.5%</w:t>
            </w:r>
          </w:p>
        </w:tc>
      </w:tr>
      <w:tr w:rsidR="00A2238D" w:rsidRPr="00CC1ECE" w14:paraId="5EF14D84" w14:textId="77777777" w:rsidTr="00F31B42">
        <w:trPr>
          <w:trHeight w:val="243"/>
          <w:jc w:val="center"/>
        </w:trPr>
        <w:tc>
          <w:tcPr>
            <w:tcW w:w="165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51F8F19" w14:textId="1D3C8ADD" w:rsidR="0037268D" w:rsidRDefault="0037268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Probably not</w:t>
            </w:r>
          </w:p>
        </w:tc>
        <w:tc>
          <w:tcPr>
            <w:tcW w:w="1395"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56C19D27" w14:textId="53515A2A"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20.0%</w:t>
            </w:r>
          </w:p>
        </w:tc>
        <w:tc>
          <w:tcPr>
            <w:tcW w:w="139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5CB6D0BC" w14:textId="5D8E9DCA"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18.6%</w:t>
            </w:r>
          </w:p>
        </w:tc>
        <w:tc>
          <w:tcPr>
            <w:tcW w:w="139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C72A7E4" w14:textId="17EF49D2"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20.8%</w:t>
            </w:r>
          </w:p>
        </w:tc>
        <w:tc>
          <w:tcPr>
            <w:tcW w:w="1397" w:type="dxa"/>
            <w:tcBorders>
              <w:top w:val="single" w:sz="4" w:space="0" w:color="auto"/>
              <w:left w:val="single" w:sz="8" w:space="0" w:color="0070C0"/>
              <w:bottom w:val="single" w:sz="4" w:space="0" w:color="000000"/>
              <w:right w:val="single" w:sz="12" w:space="0" w:color="auto"/>
            </w:tcBorders>
            <w:shd w:val="clear" w:color="auto" w:fill="D99594" w:themeFill="accent2" w:themeFillTint="99"/>
            <w:vAlign w:val="center"/>
          </w:tcPr>
          <w:p w14:paraId="059FCFBE" w14:textId="2305847B" w:rsidR="0037268D"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10.7%</w:t>
            </w:r>
          </w:p>
        </w:tc>
      </w:tr>
      <w:tr w:rsidR="00A2238D" w:rsidRPr="00CC1ECE" w14:paraId="490936AD" w14:textId="77777777" w:rsidTr="00F31B42">
        <w:trPr>
          <w:trHeight w:val="54"/>
          <w:jc w:val="center"/>
        </w:trPr>
        <w:tc>
          <w:tcPr>
            <w:tcW w:w="165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6A37A235" w14:textId="0DB4F023" w:rsidR="0037268D" w:rsidRPr="00CC1ECE" w:rsidRDefault="0037268D"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Definitely not</w:t>
            </w:r>
          </w:p>
        </w:tc>
        <w:tc>
          <w:tcPr>
            <w:tcW w:w="1395" w:type="dxa"/>
            <w:tcBorders>
              <w:top w:val="single" w:sz="4" w:space="0" w:color="000000"/>
              <w:left w:val="single" w:sz="18" w:space="0" w:color="0070C0"/>
              <w:bottom w:val="single" w:sz="12" w:space="0" w:color="000000"/>
              <w:right w:val="single" w:sz="8" w:space="0" w:color="0070C0"/>
            </w:tcBorders>
            <w:shd w:val="clear" w:color="auto" w:fill="F2DBDB" w:themeFill="accent2" w:themeFillTint="33"/>
            <w:vAlign w:val="center"/>
          </w:tcPr>
          <w:p w14:paraId="7356C29D" w14:textId="641D6E6B" w:rsidR="0037268D" w:rsidRPr="00CC1ECE"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p>
        </w:tc>
        <w:tc>
          <w:tcPr>
            <w:tcW w:w="1397"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6274E86F" w14:textId="30809702" w:rsidR="0037268D" w:rsidRPr="00CC1ECE"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c>
          <w:tcPr>
            <w:tcW w:w="139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3A05DDA4" w14:textId="3A0A8830" w:rsidR="0037268D" w:rsidRPr="00CC1ECE"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w:t>
            </w:r>
          </w:p>
        </w:tc>
        <w:tc>
          <w:tcPr>
            <w:tcW w:w="139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0E14A4F6" w14:textId="70B73E87" w:rsidR="0037268D" w:rsidRPr="00CC1ECE" w:rsidRDefault="0037268D" w:rsidP="00F31B4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6.6%</w:t>
            </w:r>
          </w:p>
        </w:tc>
      </w:tr>
    </w:tbl>
    <w:p w14:paraId="0183655D" w14:textId="40E6BBDA" w:rsidR="0037268D" w:rsidRPr="0068494F" w:rsidRDefault="0037268D" w:rsidP="0037268D">
      <w:pPr>
        <w:pStyle w:val="NoSpacing"/>
        <w:tabs>
          <w:tab w:val="left" w:pos="1080"/>
        </w:tabs>
        <w:contextualSpacing/>
        <w:mirrorIndents/>
        <w:rPr>
          <w:rFonts w:ascii="Verdana" w:hAnsi="Verdana"/>
          <w:sz w:val="20"/>
          <w:szCs w:val="20"/>
        </w:rPr>
      </w:pPr>
      <w:r>
        <w:rPr>
          <w:rFonts w:ascii="Verdana" w:hAnsi="Verdana"/>
          <w:sz w:val="16"/>
          <w:szCs w:val="16"/>
        </w:rPr>
        <w:tab/>
        <w:t>The Farnsworth Group</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t>(color represents the change from the previous month)</w:t>
      </w:r>
    </w:p>
    <w:p w14:paraId="6C1304DD" w14:textId="7BA8DC70" w:rsidR="007927F3" w:rsidRDefault="007927F3" w:rsidP="00472186">
      <w:pPr>
        <w:tabs>
          <w:tab w:val="left" w:pos="2049"/>
        </w:tabs>
        <w:spacing w:after="0" w:line="240" w:lineRule="auto"/>
        <w:contextualSpacing/>
        <w:mirrorIndents/>
        <w:rPr>
          <w:rFonts w:ascii="Verdana" w:hAnsi="Verdana"/>
          <w:sz w:val="20"/>
          <w:szCs w:val="20"/>
        </w:rPr>
      </w:pPr>
    </w:p>
    <w:p w14:paraId="21E628DD" w14:textId="0ACBBC66" w:rsidR="008A6C67" w:rsidRPr="00472186" w:rsidRDefault="008A6C67" w:rsidP="00472186">
      <w:pPr>
        <w:spacing w:after="0" w:line="240" w:lineRule="auto"/>
        <w:contextualSpacing/>
        <w:mirrorIndents/>
        <w:jc w:val="center"/>
        <w:rPr>
          <w:rFonts w:ascii="Verdana" w:hAnsi="Verdana"/>
          <w:b/>
          <w:bCs/>
          <w:color w:val="0070C0"/>
          <w:sz w:val="20"/>
          <w:szCs w:val="20"/>
        </w:rPr>
      </w:pPr>
      <w:r w:rsidRPr="00472186">
        <w:rPr>
          <w:rFonts w:ascii="Verdana" w:hAnsi="Verdana"/>
          <w:b/>
          <w:bCs/>
          <w:color w:val="0070C0"/>
          <w:sz w:val="20"/>
          <w:szCs w:val="20"/>
        </w:rPr>
        <w:t>Consumers’ Remodeling Plans</w:t>
      </w:r>
    </w:p>
    <w:p w14:paraId="286AC9F6" w14:textId="77777777" w:rsidR="00F94CE8" w:rsidRPr="008A6C67" w:rsidRDefault="00F94CE8" w:rsidP="008A6C67">
      <w:pPr>
        <w:pStyle w:val="NoSpacing"/>
        <w:contextualSpacing/>
        <w:mirrorIndents/>
        <w:rPr>
          <w:rFonts w:ascii="Verdana" w:hAnsi="Verdana"/>
          <w:sz w:val="20"/>
          <w:szCs w:val="20"/>
        </w:rPr>
      </w:pPr>
    </w:p>
    <w:p w14:paraId="23D2BAA2" w14:textId="427B809B" w:rsidR="00F94CE8" w:rsidRDefault="00305B32" w:rsidP="008A6C67">
      <w:pPr>
        <w:pStyle w:val="NoSpacing"/>
        <w:contextualSpacing/>
        <w:mirrorIndents/>
        <w:rPr>
          <w:rFonts w:ascii="Verdana" w:hAnsi="Verdana"/>
          <w:sz w:val="20"/>
          <w:szCs w:val="20"/>
        </w:rPr>
      </w:pPr>
      <w:r>
        <w:rPr>
          <w:rFonts w:ascii="Verdana" w:hAnsi="Verdana"/>
          <w:sz w:val="20"/>
          <w:szCs w:val="20"/>
        </w:rPr>
        <w:t>Analysis of data from five representative 2021 consumer/markets conducted by The Media Audit f</w:t>
      </w:r>
      <w:r w:rsidR="00F31B42">
        <w:rPr>
          <w:rFonts w:ascii="Verdana" w:hAnsi="Verdana"/>
          <w:sz w:val="20"/>
          <w:szCs w:val="20"/>
        </w:rPr>
        <w:t>ound</w:t>
      </w:r>
      <w:r>
        <w:rPr>
          <w:rFonts w:ascii="Verdana" w:hAnsi="Verdana"/>
          <w:sz w:val="20"/>
          <w:szCs w:val="20"/>
        </w:rPr>
        <w:t xml:space="preserve"> 47.9% of all adults 18+ were planning some kind of home improvement project during the next 12 months. Some will likely be DIY and others by professional remodelers.</w:t>
      </w:r>
    </w:p>
    <w:p w14:paraId="47D40B6F" w14:textId="2CC77F83" w:rsidR="00305B32" w:rsidRDefault="00305B32" w:rsidP="008A6C67">
      <w:pPr>
        <w:pStyle w:val="NoSpacing"/>
        <w:contextualSpacing/>
        <w:mirrorIndents/>
        <w:rPr>
          <w:rFonts w:ascii="Verdana" w:hAnsi="Verdana"/>
          <w:sz w:val="20"/>
          <w:szCs w:val="20"/>
        </w:rPr>
      </w:pPr>
    </w:p>
    <w:p w14:paraId="7C73846D" w14:textId="2B8D0ED0" w:rsidR="00305B32" w:rsidRDefault="00305B32" w:rsidP="008A6C67">
      <w:pPr>
        <w:pStyle w:val="NoSpacing"/>
        <w:contextualSpacing/>
        <w:mirrorIndents/>
        <w:rPr>
          <w:rFonts w:ascii="Verdana" w:hAnsi="Verdana"/>
          <w:sz w:val="20"/>
          <w:szCs w:val="20"/>
        </w:rPr>
      </w:pPr>
      <w:r>
        <w:rPr>
          <w:rFonts w:ascii="Verdana" w:hAnsi="Verdana"/>
          <w:sz w:val="20"/>
          <w:szCs w:val="20"/>
        </w:rPr>
        <w:t xml:space="preserve">Millennials and Gen Xers are the largest generations planning a home improvement project at an average of 31.3% and 27.4%, respectively; however, Baby Boomers are also a significant target audience at an average of </w:t>
      </w:r>
      <w:r w:rsidR="00B74CCE">
        <w:rPr>
          <w:rFonts w:ascii="Verdana" w:hAnsi="Verdana"/>
          <w:sz w:val="20"/>
          <w:szCs w:val="20"/>
        </w:rPr>
        <w:t>24.5%.</w:t>
      </w:r>
    </w:p>
    <w:p w14:paraId="5D7E0AFE" w14:textId="47788C69" w:rsidR="00B74CCE" w:rsidRDefault="00B74CCE" w:rsidP="008A6C67">
      <w:pPr>
        <w:pStyle w:val="NoSpacing"/>
        <w:contextualSpacing/>
        <w:mirrorIndents/>
        <w:rPr>
          <w:rFonts w:ascii="Verdana" w:hAnsi="Verdana"/>
          <w:sz w:val="20"/>
          <w:szCs w:val="20"/>
        </w:rPr>
      </w:pPr>
    </w:p>
    <w:p w14:paraId="76AF85B0" w14:textId="1A563F6E" w:rsidR="00B74CCE" w:rsidRPr="008A6C67" w:rsidRDefault="00B74CCE" w:rsidP="008A6C67">
      <w:pPr>
        <w:pStyle w:val="NoSpacing"/>
        <w:contextualSpacing/>
        <w:mirrorIndents/>
        <w:rPr>
          <w:rFonts w:ascii="Verdana" w:hAnsi="Verdana"/>
          <w:sz w:val="20"/>
          <w:szCs w:val="20"/>
        </w:rPr>
      </w:pPr>
      <w:r>
        <w:rPr>
          <w:rFonts w:ascii="Verdana" w:hAnsi="Verdana"/>
          <w:sz w:val="20"/>
          <w:szCs w:val="20"/>
        </w:rPr>
        <w:t xml:space="preserve">Unsurprisingly, adults with household incomes of $75K–$150K have the largest average percentage </w:t>
      </w:r>
      <w:r w:rsidR="00F31B42">
        <w:rPr>
          <w:rFonts w:ascii="Verdana" w:hAnsi="Verdana"/>
          <w:sz w:val="20"/>
          <w:szCs w:val="20"/>
        </w:rPr>
        <w:t xml:space="preserve">of those </w:t>
      </w:r>
      <w:r>
        <w:rPr>
          <w:rFonts w:ascii="Verdana" w:hAnsi="Verdana"/>
          <w:sz w:val="20"/>
          <w:szCs w:val="20"/>
        </w:rPr>
        <w:t>planning a home improvement project at 37.0%. An average of 25.4% have an income of $35K–$75K.</w:t>
      </w:r>
    </w:p>
    <w:p w14:paraId="664EB1A4" w14:textId="77777777" w:rsidR="00F94CE8" w:rsidRPr="008A6C67" w:rsidRDefault="00F94CE8" w:rsidP="008A6C67">
      <w:pPr>
        <w:pStyle w:val="NoSpacing"/>
        <w:contextualSpacing/>
        <w:mirrorIndents/>
        <w:rPr>
          <w:rFonts w:ascii="Verdana" w:hAnsi="Verdana"/>
          <w:sz w:val="20"/>
          <w:szCs w:val="20"/>
        </w:rPr>
      </w:pPr>
    </w:p>
    <w:p w14:paraId="39C2AE7D" w14:textId="77777777" w:rsidR="00DF33DC" w:rsidRDefault="00DF33DC" w:rsidP="00B74CCE">
      <w:pPr>
        <w:spacing w:after="0" w:line="240" w:lineRule="auto"/>
        <w:contextualSpacing/>
        <w:mirrorIndents/>
        <w:jc w:val="center"/>
        <w:rPr>
          <w:b/>
          <w:bCs/>
          <w:sz w:val="20"/>
          <w:szCs w:val="20"/>
        </w:rPr>
      </w:pPr>
      <w:r>
        <w:rPr>
          <w:b/>
          <w:bCs/>
          <w:sz w:val="20"/>
          <w:szCs w:val="20"/>
        </w:rPr>
        <w:t xml:space="preserve">Indices for </w:t>
      </w:r>
      <w:r w:rsidR="00B74CCE">
        <w:rPr>
          <w:b/>
          <w:bCs/>
          <w:sz w:val="20"/>
          <w:szCs w:val="20"/>
        </w:rPr>
        <w:t xml:space="preserve">Selected Home Improvement Projects Millennials </w:t>
      </w:r>
    </w:p>
    <w:p w14:paraId="09AE0291" w14:textId="77777777" w:rsidR="00DF33DC" w:rsidRDefault="00B74CCE" w:rsidP="00B74CCE">
      <w:pPr>
        <w:spacing w:after="0" w:line="240" w:lineRule="auto"/>
        <w:contextualSpacing/>
        <w:mirrorIndents/>
        <w:jc w:val="center"/>
        <w:rPr>
          <w:b/>
          <w:bCs/>
          <w:sz w:val="20"/>
          <w:szCs w:val="20"/>
        </w:rPr>
      </w:pPr>
      <w:r>
        <w:rPr>
          <w:b/>
          <w:bCs/>
          <w:sz w:val="20"/>
          <w:szCs w:val="20"/>
        </w:rPr>
        <w:t xml:space="preserve">Are Planning* and More Likely to Require the Hiring of a </w:t>
      </w:r>
    </w:p>
    <w:p w14:paraId="1ADB2E41" w14:textId="7CACBBD0" w:rsidR="00B74CCE" w:rsidRPr="005D1511" w:rsidRDefault="00B74CCE" w:rsidP="00B74CCE">
      <w:pPr>
        <w:spacing w:after="0" w:line="240" w:lineRule="auto"/>
        <w:contextualSpacing/>
        <w:mirrorIndents/>
        <w:jc w:val="center"/>
        <w:rPr>
          <w:b/>
          <w:bCs/>
          <w:sz w:val="20"/>
          <w:szCs w:val="20"/>
        </w:rPr>
      </w:pPr>
      <w:r>
        <w:rPr>
          <w:b/>
          <w:bCs/>
          <w:sz w:val="20"/>
          <w:szCs w:val="20"/>
        </w:rPr>
        <w:t>Professional Remodeler, in Selected Markets</w:t>
      </w:r>
      <w:r w:rsidRPr="005D1511">
        <w:rPr>
          <w:b/>
          <w:bCs/>
          <w:sz w:val="20"/>
          <w:szCs w:val="20"/>
        </w:rPr>
        <w:t>, 202</w:t>
      </w:r>
      <w:r>
        <w:rPr>
          <w:b/>
          <w:bCs/>
          <w:sz w:val="20"/>
          <w:szCs w:val="20"/>
        </w:rPr>
        <w:t>1</w:t>
      </w:r>
    </w:p>
    <w:tbl>
      <w:tblPr>
        <w:tblW w:w="971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798"/>
        <w:gridCol w:w="1387"/>
        <w:gridCol w:w="1382"/>
        <w:gridCol w:w="1382"/>
        <w:gridCol w:w="1382"/>
        <w:gridCol w:w="1382"/>
      </w:tblGrid>
      <w:tr w:rsidR="00B74CCE" w:rsidRPr="005D1511" w14:paraId="2562F35E" w14:textId="77777777" w:rsidTr="00B74CCE">
        <w:trPr>
          <w:jc w:val="center"/>
        </w:trPr>
        <w:tc>
          <w:tcPr>
            <w:tcW w:w="279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658A2D4E" w14:textId="04AC6506" w:rsidR="00B74CCE" w:rsidRPr="004815C1" w:rsidRDefault="00B74CCE"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Project</w:t>
            </w:r>
          </w:p>
        </w:tc>
        <w:tc>
          <w:tcPr>
            <w:tcW w:w="138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0F9044C" w14:textId="77777777" w:rsidR="00B74CCE" w:rsidRPr="004815C1" w:rsidRDefault="00B74CCE"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Fort Myers-Naples, FL</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C268DDB" w14:textId="15684B73" w:rsidR="00B74CCE" w:rsidRPr="004815C1" w:rsidRDefault="00B74CCE"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Chicago</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E1CF7E2" w14:textId="77777777" w:rsidR="00B74CCE" w:rsidRPr="004815C1" w:rsidRDefault="00B74CCE"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382"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85E58B7" w14:textId="77777777" w:rsidR="00B74CCE" w:rsidRPr="004815C1" w:rsidRDefault="00B74CCE"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c>
          <w:tcPr>
            <w:tcW w:w="1382"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67E467D" w14:textId="77777777" w:rsidR="00B74CCE" w:rsidRPr="004815C1" w:rsidRDefault="00B74CCE" w:rsidP="009A071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sidRPr="004815C1">
              <w:rPr>
                <w:rFonts w:ascii="Verdana" w:eastAsia="Times New Roman" w:hAnsi="Verdana"/>
                <w:sz w:val="20"/>
                <w:szCs w:val="20"/>
              </w:rPr>
              <w:t>Portland, OR</w:t>
            </w:r>
          </w:p>
        </w:tc>
      </w:tr>
      <w:tr w:rsidR="00DF33DC" w:rsidRPr="005D1511" w14:paraId="3014FDF6" w14:textId="77777777" w:rsidTr="00DF33DC">
        <w:tblPrEx>
          <w:tblBorders>
            <w:top w:val="none" w:sz="0" w:space="0" w:color="auto"/>
          </w:tblBorders>
        </w:tblPrEx>
        <w:trPr>
          <w:jc w:val="center"/>
        </w:trPr>
        <w:tc>
          <w:tcPr>
            <w:tcW w:w="279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01F1B56" w14:textId="70168564" w:rsidR="00B74CCE" w:rsidRPr="004815C1" w:rsidRDefault="00B74CCE"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Remodel a bathroom</w:t>
            </w:r>
          </w:p>
        </w:tc>
        <w:tc>
          <w:tcPr>
            <w:tcW w:w="1387"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2468A94E" w14:textId="21BFB016"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5E33E0DD" w14:textId="66D113E6"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07465BB9" w14:textId="5D484947"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146</w:t>
            </w:r>
          </w:p>
        </w:tc>
        <w:tc>
          <w:tcPr>
            <w:tcW w:w="1382"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31398F17" w14:textId="2D2E5E62"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146</w:t>
            </w:r>
          </w:p>
        </w:tc>
        <w:tc>
          <w:tcPr>
            <w:tcW w:w="1382" w:type="dxa"/>
            <w:tcBorders>
              <w:top w:val="single" w:sz="18" w:space="0" w:color="C0504D" w:themeColor="accent2"/>
              <w:left w:val="single" w:sz="8" w:space="0" w:color="0070C0"/>
              <w:bottom w:val="single" w:sz="4" w:space="0" w:color="auto"/>
              <w:right w:val="single" w:sz="12" w:space="0" w:color="000000"/>
            </w:tcBorders>
            <w:shd w:val="clear" w:color="auto" w:fill="EAF1DD" w:themeFill="accent3" w:themeFillTint="33"/>
            <w:vAlign w:val="center"/>
          </w:tcPr>
          <w:p w14:paraId="083338C1" w14:textId="25DA3C05" w:rsidR="00B74CCE" w:rsidRPr="004815C1" w:rsidRDefault="00DF33DC"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105</w:t>
            </w:r>
          </w:p>
        </w:tc>
      </w:tr>
      <w:tr w:rsidR="00B74CCE" w:rsidRPr="005D1511" w14:paraId="2AC76034" w14:textId="77777777" w:rsidTr="00DF33DC">
        <w:tblPrEx>
          <w:tblBorders>
            <w:top w:val="none" w:sz="0" w:space="0" w:color="auto"/>
          </w:tblBorders>
        </w:tblPrEx>
        <w:trPr>
          <w:jc w:val="center"/>
        </w:trPr>
        <w:tc>
          <w:tcPr>
            <w:tcW w:w="27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05F8289" w14:textId="32BC4B70" w:rsidR="00B74CCE" w:rsidRPr="004815C1" w:rsidRDefault="00B74CCE"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Remodel a kitchen</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5B1F9623" w14:textId="7B80F4EA"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5CFAAC8" w14:textId="08C3ED02"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c>
          <w:tcPr>
            <w:tcW w:w="1382" w:type="dxa"/>
            <w:tcBorders>
              <w:top w:val="single" w:sz="4" w:space="0" w:color="auto"/>
              <w:left w:val="single" w:sz="8" w:space="0" w:color="0070C0"/>
              <w:bottom w:val="single" w:sz="4" w:space="0" w:color="000000"/>
              <w:right w:val="single" w:sz="8" w:space="0" w:color="0070C0"/>
            </w:tcBorders>
            <w:shd w:val="clear" w:color="auto" w:fill="92D050"/>
            <w:vAlign w:val="center"/>
          </w:tcPr>
          <w:p w14:paraId="6AD7B456" w14:textId="39B7DD9C"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160</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02E46D8" w14:textId="4C941736"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155</w:t>
            </w:r>
          </w:p>
        </w:tc>
        <w:tc>
          <w:tcPr>
            <w:tcW w:w="1382"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3A60B332" w14:textId="467B781B"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r>
      <w:tr w:rsidR="00DF33DC" w:rsidRPr="005D1511" w14:paraId="2B5D8026" w14:textId="77777777" w:rsidTr="00DF33DC">
        <w:tblPrEx>
          <w:tblBorders>
            <w:top w:val="none" w:sz="0" w:space="0" w:color="auto"/>
          </w:tblBorders>
        </w:tblPrEx>
        <w:trPr>
          <w:jc w:val="center"/>
        </w:trPr>
        <w:tc>
          <w:tcPr>
            <w:tcW w:w="27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DC278F7" w14:textId="627614A1" w:rsidR="00B74CCE" w:rsidRPr="004815C1" w:rsidRDefault="00B74CCE"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Siding</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68A77FE8" w14:textId="60A1C10A" w:rsidR="00B74CCE" w:rsidRPr="004815C1" w:rsidRDefault="00DF33DC"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133</w:t>
            </w:r>
          </w:p>
        </w:tc>
        <w:tc>
          <w:tcPr>
            <w:tcW w:w="1382" w:type="dxa"/>
            <w:tcBorders>
              <w:top w:val="single" w:sz="4" w:space="0" w:color="auto"/>
              <w:left w:val="single" w:sz="8" w:space="0" w:color="0070C0"/>
              <w:bottom w:val="single" w:sz="4" w:space="0" w:color="000000"/>
              <w:right w:val="single" w:sz="8" w:space="0" w:color="0070C0"/>
            </w:tcBorders>
            <w:shd w:val="clear" w:color="auto" w:fill="00B050"/>
            <w:vAlign w:val="center"/>
          </w:tcPr>
          <w:p w14:paraId="7CE2E1DC" w14:textId="2D2B97C1"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185</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6FFBB6C" w14:textId="5B0167D9"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c>
          <w:tcPr>
            <w:tcW w:w="1382" w:type="dxa"/>
            <w:tcBorders>
              <w:top w:val="single" w:sz="4" w:space="0" w:color="auto"/>
              <w:left w:val="single" w:sz="8" w:space="0" w:color="0070C0"/>
              <w:bottom w:val="single" w:sz="4" w:space="0" w:color="000000"/>
              <w:right w:val="single" w:sz="8" w:space="0" w:color="0070C0"/>
            </w:tcBorders>
            <w:shd w:val="clear" w:color="auto" w:fill="92D050"/>
            <w:vAlign w:val="center"/>
          </w:tcPr>
          <w:p w14:paraId="3BC5D382" w14:textId="42DEEA3C"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169</w:t>
            </w:r>
          </w:p>
        </w:tc>
        <w:tc>
          <w:tcPr>
            <w:tcW w:w="1382"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2F5001B0" w14:textId="01D2D671"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r>
      <w:tr w:rsidR="00DF33DC" w:rsidRPr="005D1511" w14:paraId="03996E41" w14:textId="77777777" w:rsidTr="00DF33DC">
        <w:tblPrEx>
          <w:tblBorders>
            <w:top w:val="none" w:sz="0" w:space="0" w:color="auto"/>
          </w:tblBorders>
        </w:tblPrEx>
        <w:trPr>
          <w:jc w:val="center"/>
        </w:trPr>
        <w:tc>
          <w:tcPr>
            <w:tcW w:w="279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D0A0906" w14:textId="529E85C8" w:rsidR="00B74CCE" w:rsidRPr="004815C1" w:rsidRDefault="00B74CCE"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Replace or repair a roof</w:t>
            </w:r>
          </w:p>
        </w:tc>
        <w:tc>
          <w:tcPr>
            <w:tcW w:w="138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4508EF24" w14:textId="5C095B3A" w:rsidR="00B74CCE" w:rsidRPr="004815C1" w:rsidRDefault="00DF33DC" w:rsidP="009A071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38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2CB0841" w14:textId="22C01BE2"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134</w:t>
            </w:r>
          </w:p>
        </w:tc>
        <w:tc>
          <w:tcPr>
            <w:tcW w:w="1382" w:type="dxa"/>
            <w:tcBorders>
              <w:top w:val="single" w:sz="4" w:space="0" w:color="auto"/>
              <w:left w:val="single" w:sz="8" w:space="0" w:color="0070C0"/>
              <w:bottom w:val="single" w:sz="4" w:space="0" w:color="000000"/>
              <w:right w:val="single" w:sz="8" w:space="0" w:color="0070C0"/>
            </w:tcBorders>
            <w:shd w:val="clear" w:color="auto" w:fill="00B050"/>
            <w:vAlign w:val="center"/>
          </w:tcPr>
          <w:p w14:paraId="420866BA" w14:textId="77EEB1CA"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179</w:t>
            </w:r>
          </w:p>
        </w:tc>
        <w:tc>
          <w:tcPr>
            <w:tcW w:w="1382"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759C17E" w14:textId="32E60CFD"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382"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2960DA0A" w14:textId="25E6C2DB"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r>
      <w:tr w:rsidR="00DF33DC" w:rsidRPr="005D1511" w14:paraId="40108F9E" w14:textId="77777777" w:rsidTr="00DF33DC">
        <w:tblPrEx>
          <w:tblBorders>
            <w:top w:val="none" w:sz="0" w:space="0" w:color="auto"/>
          </w:tblBorders>
        </w:tblPrEx>
        <w:trPr>
          <w:jc w:val="center"/>
        </w:trPr>
        <w:tc>
          <w:tcPr>
            <w:tcW w:w="279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30276511" w14:textId="05B978DB" w:rsidR="00B74CCE" w:rsidRPr="004815C1" w:rsidRDefault="00B74CCE" w:rsidP="009A071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Replace windows</w:t>
            </w:r>
          </w:p>
        </w:tc>
        <w:tc>
          <w:tcPr>
            <w:tcW w:w="1387"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725D1284" w14:textId="4E88107A"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382"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79C4DE2" w14:textId="7B9431AE"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154</w:t>
            </w:r>
          </w:p>
        </w:tc>
        <w:tc>
          <w:tcPr>
            <w:tcW w:w="1382"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4264C1BA" w14:textId="1083690C"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153</w:t>
            </w:r>
          </w:p>
        </w:tc>
        <w:tc>
          <w:tcPr>
            <w:tcW w:w="1382"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2E68C254" w14:textId="2D7BFCB3"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172</w:t>
            </w:r>
          </w:p>
        </w:tc>
        <w:tc>
          <w:tcPr>
            <w:tcW w:w="1382"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03F3EE7B" w14:textId="6E38511A" w:rsidR="00B74CCE" w:rsidRPr="004815C1" w:rsidRDefault="00DF33DC" w:rsidP="009A071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r>
    </w:tbl>
    <w:p w14:paraId="56627D4F" w14:textId="4641D99C" w:rsidR="00B74CCE" w:rsidRDefault="00B74CCE" w:rsidP="00DF33DC">
      <w:pPr>
        <w:spacing w:after="0" w:line="240" w:lineRule="auto"/>
        <w:ind w:hanging="180"/>
        <w:contextualSpacing/>
        <w:mirrorIndents/>
        <w:rPr>
          <w:rFonts w:ascii="Verdana" w:hAnsi="Verdana"/>
          <w:sz w:val="20"/>
          <w:szCs w:val="20"/>
        </w:rPr>
      </w:pPr>
      <w:r w:rsidRPr="005D1511">
        <w:rPr>
          <w:sz w:val="16"/>
          <w:szCs w:val="16"/>
        </w:rPr>
        <w:t xml:space="preserve">Based on The Media Audit’s </w:t>
      </w:r>
      <w:r>
        <w:rPr>
          <w:sz w:val="16"/>
          <w:szCs w:val="16"/>
        </w:rPr>
        <w:t>2021</w:t>
      </w:r>
      <w:r w:rsidRPr="005D1511">
        <w:rPr>
          <w:sz w:val="16"/>
          <w:szCs w:val="16"/>
        </w:rPr>
        <w:t xml:space="preserve"> </w:t>
      </w:r>
      <w:r>
        <w:rPr>
          <w:sz w:val="16"/>
          <w:szCs w:val="16"/>
        </w:rPr>
        <w:t>s</w:t>
      </w:r>
      <w:r w:rsidRPr="005D1511">
        <w:rPr>
          <w:sz w:val="16"/>
          <w:szCs w:val="16"/>
        </w:rPr>
        <w:t>urvey</w:t>
      </w:r>
      <w:r>
        <w:rPr>
          <w:sz w:val="16"/>
          <w:szCs w:val="16"/>
        </w:rPr>
        <w:t xml:space="preserve">s  </w:t>
      </w:r>
      <w:r>
        <w:rPr>
          <w:sz w:val="16"/>
          <w:szCs w:val="16"/>
        </w:rPr>
        <w:tab/>
      </w:r>
      <w:r>
        <w:rPr>
          <w:sz w:val="16"/>
          <w:szCs w:val="16"/>
        </w:rPr>
        <w:tab/>
      </w:r>
      <w:r>
        <w:rPr>
          <w:sz w:val="16"/>
          <w:szCs w:val="16"/>
        </w:rPr>
        <w:tab/>
        <w:t xml:space="preserve">*during the </w:t>
      </w:r>
      <w:r w:rsidR="00DF33DC">
        <w:rPr>
          <w:sz w:val="16"/>
          <w:szCs w:val="16"/>
        </w:rPr>
        <w:t>next 12 months</w:t>
      </w: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4D122D0F" w:rsidR="00F94CE8" w:rsidRDefault="00464E39" w:rsidP="00F94CE8">
      <w:pPr>
        <w:pStyle w:val="NoSpacing"/>
        <w:contextualSpacing/>
        <w:rPr>
          <w:sz w:val="20"/>
          <w:szCs w:val="20"/>
        </w:rPr>
      </w:pPr>
      <w:r>
        <w:rPr>
          <w:rFonts w:ascii="Verdana" w:hAnsi="Verdana"/>
          <w:sz w:val="20"/>
          <w:szCs w:val="20"/>
        </w:rPr>
        <w:t>The National Association of Home Builders/Royal Building Products Remodeling Market Index cited on page two</w:t>
      </w:r>
      <w:r w:rsidR="00743CA2">
        <w:rPr>
          <w:rFonts w:ascii="Verdana" w:hAnsi="Verdana"/>
          <w:sz w:val="20"/>
          <w:szCs w:val="20"/>
        </w:rPr>
        <w:t xml:space="preserve"> also reveals the subcomponents for the Current Conditions Index and Future Indicators Index.</w:t>
      </w:r>
    </w:p>
    <w:p w14:paraId="72A9D893" w14:textId="77777777" w:rsidR="00F94CE8" w:rsidRDefault="00F94CE8" w:rsidP="00F94CE8">
      <w:pPr>
        <w:pStyle w:val="NoSpacing"/>
        <w:contextualSpacing/>
        <w:rPr>
          <w:sz w:val="20"/>
          <w:szCs w:val="20"/>
        </w:rPr>
      </w:pPr>
    </w:p>
    <w:p w14:paraId="53A037C5" w14:textId="6723376D" w:rsidR="00743CA2" w:rsidRDefault="00743CA2" w:rsidP="00743CA2">
      <w:pPr>
        <w:pStyle w:val="Header"/>
        <w:contextualSpacing/>
        <w:jc w:val="center"/>
        <w:rPr>
          <w:rFonts w:ascii="Verdana" w:hAnsi="Verdana"/>
          <w:b/>
          <w:sz w:val="20"/>
          <w:szCs w:val="20"/>
        </w:rPr>
      </w:pPr>
      <w:r>
        <w:rPr>
          <w:rFonts w:ascii="Verdana" w:hAnsi="Verdana"/>
          <w:b/>
          <w:sz w:val="20"/>
          <w:szCs w:val="20"/>
        </w:rPr>
        <w:t xml:space="preserve">Subcomponents of the Current Conditions Index </w:t>
      </w:r>
    </w:p>
    <w:p w14:paraId="6BACB1AB" w14:textId="706AFE07" w:rsidR="00743CA2" w:rsidRPr="00CC1ECE" w:rsidRDefault="00743CA2" w:rsidP="00743CA2">
      <w:pPr>
        <w:pStyle w:val="Header"/>
        <w:contextualSpacing/>
        <w:jc w:val="center"/>
        <w:rPr>
          <w:rFonts w:ascii="Verdana" w:hAnsi="Verdana"/>
          <w:b/>
          <w:sz w:val="20"/>
          <w:szCs w:val="20"/>
        </w:rPr>
      </w:pPr>
      <w:r>
        <w:rPr>
          <w:rFonts w:ascii="Verdana" w:hAnsi="Verdana"/>
          <w:b/>
          <w:sz w:val="20"/>
          <w:szCs w:val="20"/>
        </w:rPr>
        <w:t>and Future Indicators Index, Q1–Q4, 2021</w:t>
      </w:r>
    </w:p>
    <w:tbl>
      <w:tblPr>
        <w:tblW w:w="10498" w:type="dxa"/>
        <w:jc w:val="center"/>
        <w:tblBorders>
          <w:left w:val="single" w:sz="8" w:space="0" w:color="000000"/>
          <w:right w:val="single" w:sz="8" w:space="0" w:color="000000"/>
        </w:tblBorders>
        <w:tblLayout w:type="fixed"/>
        <w:tblLook w:val="0000" w:firstRow="0" w:lastRow="0" w:firstColumn="0" w:lastColumn="0" w:noHBand="0" w:noVBand="0"/>
      </w:tblPr>
      <w:tblGrid>
        <w:gridCol w:w="5430"/>
        <w:gridCol w:w="1267"/>
        <w:gridCol w:w="1267"/>
        <w:gridCol w:w="1267"/>
        <w:gridCol w:w="1267"/>
      </w:tblGrid>
      <w:tr w:rsidR="00743CA2" w:rsidRPr="00CC1ECE" w14:paraId="16FA6A97" w14:textId="77777777" w:rsidTr="007141FC">
        <w:trPr>
          <w:jc w:val="center"/>
        </w:trPr>
        <w:tc>
          <w:tcPr>
            <w:tcW w:w="5430" w:type="dxa"/>
            <w:tcBorders>
              <w:top w:val="single" w:sz="12" w:space="0" w:color="000000"/>
              <w:left w:val="single" w:sz="12" w:space="0" w:color="000000"/>
              <w:bottom w:val="single" w:sz="18" w:space="0" w:color="C0504D" w:themeColor="accent2"/>
              <w:right w:val="single" w:sz="18" w:space="0" w:color="0070C0"/>
            </w:tcBorders>
            <w:vAlign w:val="center"/>
          </w:tcPr>
          <w:p w14:paraId="5B28ED06" w14:textId="4330B439" w:rsidR="00743CA2" w:rsidRPr="00CC1ECE" w:rsidRDefault="00743CA2" w:rsidP="007141F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Subcomponents</w:t>
            </w:r>
          </w:p>
        </w:tc>
        <w:tc>
          <w:tcPr>
            <w:tcW w:w="1267" w:type="dxa"/>
            <w:tcBorders>
              <w:top w:val="single" w:sz="12" w:space="0" w:color="000000"/>
              <w:left w:val="single" w:sz="18" w:space="0" w:color="0070C0"/>
              <w:bottom w:val="single" w:sz="18" w:space="0" w:color="C0504D" w:themeColor="accent2"/>
              <w:right w:val="single" w:sz="8" w:space="0" w:color="0070C0"/>
            </w:tcBorders>
            <w:vAlign w:val="center"/>
          </w:tcPr>
          <w:p w14:paraId="4C19DB6A" w14:textId="22C3E954" w:rsidR="00743CA2" w:rsidRDefault="00743CA2" w:rsidP="007141F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Q1 21</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1703625A" w14:textId="09B57348" w:rsidR="00743CA2" w:rsidRPr="00CC1ECE" w:rsidRDefault="00743CA2" w:rsidP="007141F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Q2 21</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77E0DF4C" w14:textId="1735FA9E" w:rsidR="00743CA2" w:rsidRPr="00CC1ECE" w:rsidRDefault="00743CA2" w:rsidP="007141F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Q3 21</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08E36731" w14:textId="76E25D60" w:rsidR="00743CA2" w:rsidRPr="00CC1ECE" w:rsidRDefault="00743CA2" w:rsidP="007141F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Q4 21</w:t>
            </w:r>
          </w:p>
        </w:tc>
      </w:tr>
      <w:tr w:rsidR="007141FC" w:rsidRPr="00CC1ECE" w14:paraId="70A02D15" w14:textId="77777777" w:rsidTr="007141FC">
        <w:trPr>
          <w:trHeight w:val="243"/>
          <w:jc w:val="center"/>
        </w:trPr>
        <w:tc>
          <w:tcPr>
            <w:tcW w:w="543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1FD7E7A4" w14:textId="4A9F94FB" w:rsidR="00743CA2" w:rsidRPr="00743CA2" w:rsidRDefault="00743CA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b/>
                <w:bCs/>
                <w:sz w:val="20"/>
                <w:szCs w:val="20"/>
              </w:rPr>
            </w:pPr>
            <w:r w:rsidRPr="00743CA2">
              <w:rPr>
                <w:rFonts w:ascii="Verdana" w:eastAsia="Times New Roman" w:hAnsi="Verdana"/>
                <w:b/>
                <w:bCs/>
                <w:sz w:val="20"/>
                <w:szCs w:val="20"/>
              </w:rPr>
              <w:t>Current Conditions Index</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38DE4EAD" w14:textId="187F48C0" w:rsidR="00743CA2" w:rsidRPr="00CC1ECE"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89</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437D235B" w14:textId="0E39AAFB" w:rsidR="00743CA2" w:rsidRPr="00CC1ECE"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91</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32C2321A" w14:textId="07F3309F" w:rsidR="00743CA2" w:rsidRPr="00CC1ECE"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F2DBDB" w:themeFill="accent2" w:themeFillTint="33"/>
            <w:vAlign w:val="center"/>
          </w:tcPr>
          <w:p w14:paraId="5F08D354" w14:textId="7D5DDE77" w:rsidR="00743CA2" w:rsidRPr="00CC1ECE"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89</w:t>
            </w:r>
          </w:p>
        </w:tc>
      </w:tr>
      <w:tr w:rsidR="007141FC" w:rsidRPr="00CC1ECE" w14:paraId="5237ECED" w14:textId="77777777" w:rsidTr="007141FC">
        <w:trPr>
          <w:trHeight w:val="243"/>
          <w:jc w:val="center"/>
        </w:trPr>
        <w:tc>
          <w:tcPr>
            <w:tcW w:w="543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BEE6A3A" w14:textId="1EB32B16" w:rsidR="00743CA2" w:rsidRDefault="00743CA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Current market for large remodeling projects ($50,000) in remodelers’ markets</w:t>
            </w:r>
          </w:p>
        </w:tc>
        <w:tc>
          <w:tcPr>
            <w:tcW w:w="1267"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46E069E" w14:textId="46F1EABB"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C00A32E" w14:textId="6D3AC153"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F80F600" w14:textId="5A2409FF"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86</w:t>
            </w:r>
          </w:p>
        </w:tc>
        <w:tc>
          <w:tcPr>
            <w:tcW w:w="1267" w:type="dxa"/>
            <w:tcBorders>
              <w:top w:val="single" w:sz="4" w:space="0" w:color="auto"/>
              <w:left w:val="single" w:sz="8" w:space="0" w:color="0070C0"/>
              <w:bottom w:val="single" w:sz="4" w:space="0" w:color="000000"/>
              <w:right w:val="single" w:sz="12" w:space="0" w:color="auto"/>
            </w:tcBorders>
            <w:shd w:val="clear" w:color="auto" w:fill="E5B8B7" w:themeFill="accent2" w:themeFillTint="66"/>
            <w:vAlign w:val="center"/>
          </w:tcPr>
          <w:p w14:paraId="316A331F" w14:textId="65CF8072"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r>
      <w:tr w:rsidR="00743CA2" w:rsidRPr="00CC1ECE" w14:paraId="03DAD021" w14:textId="77777777" w:rsidTr="007141FC">
        <w:trPr>
          <w:trHeight w:val="243"/>
          <w:jc w:val="center"/>
        </w:trPr>
        <w:tc>
          <w:tcPr>
            <w:tcW w:w="543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044427D" w14:textId="0DD18F8E" w:rsidR="00743CA2" w:rsidRDefault="00743CA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Current market for moderately-sized remodeling projects ($20,000</w:t>
            </w:r>
            <w:r>
              <w:rPr>
                <w:rFonts w:ascii="Verdana" w:hAnsi="Verdana"/>
                <w:sz w:val="20"/>
                <w:szCs w:val="20"/>
              </w:rPr>
              <w:t>–$49,999 in remodelers’ markets</w:t>
            </w:r>
          </w:p>
        </w:tc>
        <w:tc>
          <w:tcPr>
            <w:tcW w:w="1267"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05B7BA30" w14:textId="68BD8047"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46E71D1" w14:textId="1493355F"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91</w:t>
            </w:r>
          </w:p>
        </w:tc>
        <w:tc>
          <w:tcPr>
            <w:tcW w:w="1267"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4C114979" w14:textId="538A32D3"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91</w:t>
            </w:r>
          </w:p>
        </w:tc>
        <w:tc>
          <w:tcPr>
            <w:tcW w:w="1267" w:type="dxa"/>
            <w:tcBorders>
              <w:top w:val="single" w:sz="4" w:space="0" w:color="auto"/>
              <w:left w:val="single" w:sz="8" w:space="0" w:color="0070C0"/>
              <w:bottom w:val="single" w:sz="4" w:space="0" w:color="000000"/>
              <w:right w:val="single" w:sz="12" w:space="0" w:color="auto"/>
            </w:tcBorders>
            <w:shd w:val="clear" w:color="auto" w:fill="F2DBDB" w:themeFill="accent2" w:themeFillTint="33"/>
            <w:vAlign w:val="center"/>
          </w:tcPr>
          <w:p w14:paraId="4E3C8C2F" w14:textId="008E0CEF"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w:t>
            </w:r>
          </w:p>
        </w:tc>
      </w:tr>
      <w:tr w:rsidR="00743CA2" w:rsidRPr="00CC1ECE" w14:paraId="20C1AE94" w14:textId="77777777" w:rsidTr="007141FC">
        <w:trPr>
          <w:trHeight w:val="243"/>
          <w:jc w:val="center"/>
        </w:trPr>
        <w:tc>
          <w:tcPr>
            <w:tcW w:w="5430" w:type="dxa"/>
            <w:tcBorders>
              <w:top w:val="single" w:sz="4" w:space="0" w:color="000000"/>
              <w:left w:val="single" w:sz="12" w:space="0" w:color="000000"/>
              <w:bottom w:val="single" w:sz="12" w:space="0" w:color="C0504D" w:themeColor="accent2"/>
              <w:right w:val="single" w:sz="18" w:space="0" w:color="0070C0"/>
            </w:tcBorders>
            <w:shd w:val="clear" w:color="auto" w:fill="auto"/>
            <w:vAlign w:val="center"/>
          </w:tcPr>
          <w:p w14:paraId="13F45E74" w14:textId="21EDA9F1" w:rsidR="00743CA2" w:rsidRDefault="00743CA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Current market for small remodeling projects (less than $20,000) in the remodelers’ markets</w:t>
            </w:r>
          </w:p>
        </w:tc>
        <w:tc>
          <w:tcPr>
            <w:tcW w:w="1267" w:type="dxa"/>
            <w:tcBorders>
              <w:top w:val="single" w:sz="4" w:space="0" w:color="000000"/>
              <w:left w:val="single" w:sz="18" w:space="0" w:color="0070C0"/>
              <w:bottom w:val="single" w:sz="12" w:space="0" w:color="C0504D" w:themeColor="accent2"/>
              <w:right w:val="single" w:sz="8" w:space="0" w:color="0070C0"/>
            </w:tcBorders>
            <w:shd w:val="clear" w:color="auto" w:fill="EAF1DD" w:themeFill="accent3" w:themeFillTint="33"/>
            <w:vAlign w:val="center"/>
          </w:tcPr>
          <w:p w14:paraId="20D855FE" w14:textId="6F2FD89D"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92</w:t>
            </w:r>
          </w:p>
        </w:tc>
        <w:tc>
          <w:tcPr>
            <w:tcW w:w="1267" w:type="dxa"/>
            <w:tcBorders>
              <w:top w:val="single" w:sz="4" w:space="0" w:color="000000"/>
              <w:left w:val="single" w:sz="8" w:space="0" w:color="0070C0"/>
              <w:bottom w:val="single" w:sz="12" w:space="0" w:color="C0504D" w:themeColor="accent2"/>
              <w:right w:val="single" w:sz="8" w:space="0" w:color="0070C0"/>
            </w:tcBorders>
            <w:shd w:val="clear" w:color="auto" w:fill="F2F2F2" w:themeFill="background1" w:themeFillShade="F2"/>
            <w:vAlign w:val="center"/>
          </w:tcPr>
          <w:p w14:paraId="2667C08D" w14:textId="26B0640D"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92</w:t>
            </w:r>
          </w:p>
        </w:tc>
        <w:tc>
          <w:tcPr>
            <w:tcW w:w="1267" w:type="dxa"/>
            <w:tcBorders>
              <w:top w:val="single" w:sz="4" w:space="0" w:color="000000"/>
              <w:left w:val="single" w:sz="8" w:space="0" w:color="0070C0"/>
              <w:bottom w:val="single" w:sz="12" w:space="0" w:color="C0504D" w:themeColor="accent2"/>
              <w:right w:val="single" w:sz="8" w:space="0" w:color="0070C0"/>
            </w:tcBorders>
            <w:shd w:val="clear" w:color="auto" w:fill="F2DBDB" w:themeFill="accent2" w:themeFillTint="33"/>
            <w:vAlign w:val="center"/>
          </w:tcPr>
          <w:p w14:paraId="75529B70" w14:textId="5312600D"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91</w:t>
            </w:r>
          </w:p>
        </w:tc>
        <w:tc>
          <w:tcPr>
            <w:tcW w:w="1267" w:type="dxa"/>
            <w:tcBorders>
              <w:top w:val="single" w:sz="4" w:space="0" w:color="000000"/>
              <w:left w:val="single" w:sz="8" w:space="0" w:color="0070C0"/>
              <w:bottom w:val="single" w:sz="12" w:space="0" w:color="C0504D" w:themeColor="accent2"/>
              <w:right w:val="single" w:sz="12" w:space="0" w:color="auto"/>
            </w:tcBorders>
            <w:shd w:val="clear" w:color="auto" w:fill="F2DBDB" w:themeFill="accent2" w:themeFillTint="33"/>
            <w:vAlign w:val="center"/>
          </w:tcPr>
          <w:p w14:paraId="7D221D0E" w14:textId="0D5CB360"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91</w:t>
            </w:r>
          </w:p>
        </w:tc>
      </w:tr>
      <w:tr w:rsidR="00743CA2" w:rsidRPr="00CC1ECE" w14:paraId="78F69715" w14:textId="77777777" w:rsidTr="007141FC">
        <w:trPr>
          <w:trHeight w:val="243"/>
          <w:jc w:val="center"/>
        </w:trPr>
        <w:tc>
          <w:tcPr>
            <w:tcW w:w="5430" w:type="dxa"/>
            <w:tcBorders>
              <w:top w:val="single" w:sz="12" w:space="0" w:color="C0504D" w:themeColor="accent2"/>
              <w:left w:val="single" w:sz="12" w:space="0" w:color="000000"/>
              <w:bottom w:val="single" w:sz="4" w:space="0" w:color="000000"/>
              <w:right w:val="single" w:sz="18" w:space="0" w:color="0070C0"/>
            </w:tcBorders>
            <w:shd w:val="clear" w:color="auto" w:fill="auto"/>
            <w:vAlign w:val="center"/>
          </w:tcPr>
          <w:p w14:paraId="1CBB5DB6" w14:textId="70EEA114" w:rsidR="00743CA2" w:rsidRPr="007141FC" w:rsidRDefault="00743CA2"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b/>
                <w:bCs/>
                <w:sz w:val="20"/>
                <w:szCs w:val="20"/>
              </w:rPr>
            </w:pPr>
            <w:r w:rsidRPr="007141FC">
              <w:rPr>
                <w:rFonts w:ascii="Verdana" w:eastAsia="Times New Roman" w:hAnsi="Verdana"/>
                <w:b/>
                <w:bCs/>
                <w:sz w:val="20"/>
                <w:szCs w:val="20"/>
              </w:rPr>
              <w:t>Future Indicators Index</w:t>
            </w:r>
          </w:p>
        </w:tc>
        <w:tc>
          <w:tcPr>
            <w:tcW w:w="1267" w:type="dxa"/>
            <w:tcBorders>
              <w:top w:val="single" w:sz="12" w:space="0" w:color="C0504D" w:themeColor="accent2"/>
              <w:left w:val="single" w:sz="18" w:space="0" w:color="0070C0"/>
              <w:bottom w:val="single" w:sz="4" w:space="0" w:color="000000"/>
              <w:right w:val="single" w:sz="8" w:space="0" w:color="0070C0"/>
            </w:tcBorders>
            <w:shd w:val="clear" w:color="auto" w:fill="C2D69B" w:themeFill="accent3" w:themeFillTint="99"/>
            <w:vAlign w:val="center"/>
          </w:tcPr>
          <w:p w14:paraId="5B06DB05" w14:textId="73479853"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p>
        </w:tc>
        <w:tc>
          <w:tcPr>
            <w:tcW w:w="1267" w:type="dxa"/>
            <w:tcBorders>
              <w:top w:val="single" w:sz="12" w:space="0" w:color="C0504D" w:themeColor="accent2"/>
              <w:left w:val="single" w:sz="8" w:space="0" w:color="0070C0"/>
              <w:bottom w:val="single" w:sz="4" w:space="0" w:color="000000"/>
              <w:right w:val="single" w:sz="8" w:space="0" w:color="0070C0"/>
            </w:tcBorders>
            <w:shd w:val="clear" w:color="auto" w:fill="F2DBDB" w:themeFill="accent2" w:themeFillTint="33"/>
            <w:vAlign w:val="center"/>
          </w:tcPr>
          <w:p w14:paraId="310D28BB" w14:textId="0088FB42"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83</w:t>
            </w:r>
          </w:p>
        </w:tc>
        <w:tc>
          <w:tcPr>
            <w:tcW w:w="1267" w:type="dxa"/>
            <w:tcBorders>
              <w:top w:val="single" w:sz="12"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60E06692" w14:textId="1DE9C9B4"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p>
        </w:tc>
        <w:tc>
          <w:tcPr>
            <w:tcW w:w="1267" w:type="dxa"/>
            <w:tcBorders>
              <w:top w:val="single" w:sz="12" w:space="0" w:color="C0504D" w:themeColor="accent2"/>
              <w:left w:val="single" w:sz="8" w:space="0" w:color="0070C0"/>
              <w:bottom w:val="single" w:sz="4" w:space="0" w:color="000000"/>
              <w:right w:val="single" w:sz="12" w:space="0" w:color="auto"/>
            </w:tcBorders>
            <w:shd w:val="clear" w:color="auto" w:fill="E5B8B7" w:themeFill="accent2" w:themeFillTint="66"/>
            <w:vAlign w:val="center"/>
          </w:tcPr>
          <w:p w14:paraId="1BCBEAAC" w14:textId="6DE8DBA5"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77</w:t>
            </w:r>
          </w:p>
        </w:tc>
      </w:tr>
      <w:tr w:rsidR="007141FC" w:rsidRPr="00CC1ECE" w14:paraId="10868CE4" w14:textId="77777777" w:rsidTr="007141FC">
        <w:trPr>
          <w:trHeight w:val="243"/>
          <w:jc w:val="center"/>
        </w:trPr>
        <w:tc>
          <w:tcPr>
            <w:tcW w:w="543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6891092" w14:textId="4DD09E3B" w:rsidR="00743CA2" w:rsidRDefault="007141FC"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Current rate of remodelers’ leads and inquiries</w:t>
            </w:r>
          </w:p>
        </w:tc>
        <w:tc>
          <w:tcPr>
            <w:tcW w:w="1267"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134D8E07" w14:textId="278C0444"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86</w:t>
            </w:r>
          </w:p>
        </w:tc>
        <w:tc>
          <w:tcPr>
            <w:tcW w:w="1267" w:type="dxa"/>
            <w:tcBorders>
              <w:top w:val="single" w:sz="4" w:space="0" w:color="auto"/>
              <w:left w:val="single" w:sz="8" w:space="0" w:color="0070C0"/>
              <w:bottom w:val="single" w:sz="4" w:space="0" w:color="000000"/>
              <w:right w:val="single" w:sz="8" w:space="0" w:color="0070C0"/>
            </w:tcBorders>
            <w:shd w:val="clear" w:color="auto" w:fill="auto"/>
            <w:vAlign w:val="center"/>
          </w:tcPr>
          <w:p w14:paraId="214E65FB" w14:textId="442D5FB2"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81</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7AB13F1" w14:textId="3F55FDB3"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83</w:t>
            </w:r>
          </w:p>
        </w:tc>
        <w:tc>
          <w:tcPr>
            <w:tcW w:w="126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5928E282" w14:textId="5283B8D1" w:rsidR="00743CA2"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p>
        </w:tc>
      </w:tr>
      <w:tr w:rsidR="007141FC" w:rsidRPr="00CC1ECE" w14:paraId="1D496E62" w14:textId="77777777" w:rsidTr="007141FC">
        <w:trPr>
          <w:trHeight w:val="54"/>
          <w:jc w:val="center"/>
        </w:trPr>
        <w:tc>
          <w:tcPr>
            <w:tcW w:w="543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14D7BD61" w14:textId="5A8D7E29" w:rsidR="00743CA2" w:rsidRPr="00CC1ECE" w:rsidRDefault="007141FC" w:rsidP="009A071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Current backlog of remodelers’ projects</w:t>
            </w:r>
          </w:p>
        </w:tc>
        <w:tc>
          <w:tcPr>
            <w:tcW w:w="1267"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3388EEB5" w14:textId="57C4746B" w:rsidR="00743CA2" w:rsidRPr="00CC1ECE"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82</w:t>
            </w:r>
          </w:p>
        </w:tc>
        <w:tc>
          <w:tcPr>
            <w:tcW w:w="1267"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273A5FA3" w14:textId="3F6E0AC3" w:rsidR="00743CA2" w:rsidRPr="00CC1ECE"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86</w:t>
            </w:r>
          </w:p>
        </w:tc>
        <w:tc>
          <w:tcPr>
            <w:tcW w:w="126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0573A771" w14:textId="363A0789" w:rsidR="00743CA2" w:rsidRPr="00CC1ECE"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c>
          <w:tcPr>
            <w:tcW w:w="1267" w:type="dxa"/>
            <w:tcBorders>
              <w:top w:val="single" w:sz="4" w:space="0" w:color="000000"/>
              <w:left w:val="single" w:sz="8" w:space="0" w:color="0070C0"/>
              <w:bottom w:val="single" w:sz="12" w:space="0" w:color="000000"/>
              <w:right w:val="single" w:sz="12" w:space="0" w:color="auto"/>
            </w:tcBorders>
            <w:shd w:val="clear" w:color="auto" w:fill="E5B8B7" w:themeFill="accent2" w:themeFillTint="66"/>
            <w:vAlign w:val="center"/>
          </w:tcPr>
          <w:p w14:paraId="40EB4882" w14:textId="0B3A52D1" w:rsidR="00743CA2" w:rsidRPr="00CC1ECE" w:rsidRDefault="007141FC" w:rsidP="007141F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80</w:t>
            </w:r>
          </w:p>
        </w:tc>
      </w:tr>
    </w:tbl>
    <w:p w14:paraId="4CD15B34" w14:textId="77777777" w:rsidR="007141FC" w:rsidRDefault="007141FC" w:rsidP="007141FC">
      <w:pPr>
        <w:pStyle w:val="NoSpacing"/>
        <w:ind w:hanging="540"/>
        <w:contextualSpacing/>
        <w:mirrorIndents/>
        <w:rPr>
          <w:rFonts w:ascii="Verdana" w:hAnsi="Verdana"/>
          <w:sz w:val="16"/>
          <w:szCs w:val="16"/>
        </w:rPr>
      </w:pPr>
      <w:r>
        <w:rPr>
          <w:rFonts w:ascii="Verdana" w:hAnsi="Verdana"/>
          <w:sz w:val="16"/>
          <w:szCs w:val="16"/>
        </w:rPr>
        <w:t>National Association of Home Builders/Royal Building Products</w:t>
      </w:r>
      <w:r w:rsidR="00743CA2" w:rsidRPr="00CC1ECE">
        <w:rPr>
          <w:rFonts w:ascii="Verdana" w:hAnsi="Verdana"/>
          <w:sz w:val="16"/>
          <w:szCs w:val="16"/>
        </w:rPr>
        <w:t xml:space="preserve">, </w:t>
      </w:r>
      <w:r w:rsidR="00743CA2">
        <w:rPr>
          <w:rFonts w:ascii="Verdana" w:hAnsi="Verdana"/>
          <w:sz w:val="16"/>
          <w:szCs w:val="16"/>
        </w:rPr>
        <w:t>January 2022</w:t>
      </w:r>
      <w:r w:rsidR="00743CA2">
        <w:rPr>
          <w:rFonts w:ascii="Verdana" w:hAnsi="Verdana"/>
          <w:sz w:val="16"/>
          <w:szCs w:val="16"/>
        </w:rPr>
        <w:tab/>
      </w:r>
    </w:p>
    <w:p w14:paraId="251C6033" w14:textId="79805F35" w:rsidR="00743CA2" w:rsidRPr="0068494F" w:rsidRDefault="00743CA2" w:rsidP="00743CA2">
      <w:pPr>
        <w:pStyle w:val="NoSpacing"/>
        <w:contextualSpacing/>
        <w:mirrorIndents/>
        <w:rPr>
          <w:rFonts w:ascii="Verdana" w:hAnsi="Verdana"/>
          <w:sz w:val="20"/>
          <w:szCs w:val="20"/>
        </w:rPr>
      </w:pPr>
      <w:r>
        <w:rPr>
          <w:rFonts w:ascii="Verdana" w:hAnsi="Verdana"/>
          <w:sz w:val="16"/>
          <w:szCs w:val="16"/>
        </w:rPr>
        <w:t>(color represents the change from the previous month)</w:t>
      </w:r>
    </w:p>
    <w:p w14:paraId="78E679E8" w14:textId="77777777" w:rsidR="00F94CE8" w:rsidRDefault="00F94CE8" w:rsidP="00F94CE8">
      <w:pPr>
        <w:pStyle w:val="NoSpacing"/>
        <w:contextualSpacing/>
        <w:rPr>
          <w:sz w:val="20"/>
          <w:szCs w:val="20"/>
        </w:rPr>
      </w:pP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14500FC4" w14:textId="77777777" w:rsidR="00F94CE8" w:rsidRDefault="00F94CE8" w:rsidP="00F94CE8">
      <w:pPr>
        <w:pStyle w:val="NoSpacing"/>
        <w:contextualSpacing/>
        <w:rPr>
          <w:sz w:val="20"/>
          <w:szCs w:val="20"/>
        </w:rPr>
      </w:pPr>
    </w:p>
    <w:p w14:paraId="5E798886" w14:textId="4CCC6D11" w:rsidR="00F94CE8" w:rsidRDefault="00F94CE8" w:rsidP="00F94CE8">
      <w:pPr>
        <w:pStyle w:val="NoSpacing"/>
        <w:contextualSpacing/>
        <w:rPr>
          <w:sz w:val="20"/>
          <w:szCs w:val="20"/>
        </w:rPr>
      </w:pPr>
    </w:p>
    <w:p w14:paraId="59810AB4" w14:textId="468479F3" w:rsidR="00895610" w:rsidRDefault="00895610" w:rsidP="00F94CE8">
      <w:pPr>
        <w:pStyle w:val="NoSpacing"/>
        <w:contextualSpacing/>
        <w:rPr>
          <w:sz w:val="20"/>
          <w:szCs w:val="20"/>
        </w:rPr>
      </w:pPr>
    </w:p>
    <w:p w14:paraId="634741F5" w14:textId="3FBA364F" w:rsidR="00895610" w:rsidRDefault="00895610" w:rsidP="00F94CE8">
      <w:pPr>
        <w:pStyle w:val="NoSpacing"/>
        <w:contextualSpacing/>
        <w:rPr>
          <w:sz w:val="20"/>
          <w:szCs w:val="20"/>
        </w:rPr>
      </w:pPr>
    </w:p>
    <w:p w14:paraId="65C25A86" w14:textId="6C17C11C" w:rsidR="00895610" w:rsidRDefault="00895610" w:rsidP="00F94CE8">
      <w:pPr>
        <w:pStyle w:val="NoSpacing"/>
        <w:contextualSpacing/>
        <w:rPr>
          <w:sz w:val="20"/>
          <w:szCs w:val="20"/>
        </w:rPr>
      </w:pPr>
    </w:p>
    <w:p w14:paraId="665847BB" w14:textId="63C4B4D0" w:rsidR="00895610" w:rsidRDefault="00895610" w:rsidP="00F94CE8">
      <w:pPr>
        <w:pStyle w:val="NoSpacing"/>
        <w:contextualSpacing/>
        <w:rPr>
          <w:sz w:val="20"/>
          <w:szCs w:val="20"/>
        </w:rPr>
      </w:pPr>
    </w:p>
    <w:p w14:paraId="0C596E46" w14:textId="5DE83DAF" w:rsidR="00895610" w:rsidRDefault="00895610" w:rsidP="00F94CE8">
      <w:pPr>
        <w:pStyle w:val="NoSpacing"/>
        <w:contextualSpacing/>
        <w:rPr>
          <w:sz w:val="20"/>
          <w:szCs w:val="20"/>
        </w:rPr>
      </w:pPr>
    </w:p>
    <w:p w14:paraId="31933CA4" w14:textId="788A1FCA" w:rsidR="00895610" w:rsidRDefault="00895610" w:rsidP="00F94CE8">
      <w:pPr>
        <w:pStyle w:val="NoSpacing"/>
        <w:contextualSpacing/>
        <w:rPr>
          <w:sz w:val="20"/>
          <w:szCs w:val="20"/>
        </w:rPr>
      </w:pPr>
    </w:p>
    <w:p w14:paraId="1CF9CD59" w14:textId="77777777" w:rsidR="00895610" w:rsidRDefault="00895610"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01ACA3A2" w:rsidR="00F94CE8" w:rsidRPr="00A178BE" w:rsidRDefault="00F94CE8" w:rsidP="00F94CE8">
      <w:pPr>
        <w:spacing w:after="0" w:line="240" w:lineRule="auto"/>
        <w:rPr>
          <w:rFonts w:ascii="Verdana" w:hAnsi="Verdana"/>
          <w:sz w:val="16"/>
          <w:szCs w:val="16"/>
        </w:rPr>
      </w:pPr>
      <w:r w:rsidRPr="00A178BE">
        <w:rPr>
          <w:rFonts w:ascii="Verdana" w:hAnsi="Verdana"/>
          <w:i/>
          <w:sz w:val="16"/>
          <w:szCs w:val="16"/>
        </w:rPr>
        <w:t>Sources:</w:t>
      </w:r>
      <w:r w:rsidRPr="00A178BE">
        <w:rPr>
          <w:rFonts w:ascii="Verdana" w:hAnsi="Verdana"/>
          <w:sz w:val="16"/>
          <w:szCs w:val="16"/>
        </w:rPr>
        <w:t xml:space="preserve"> </w:t>
      </w:r>
      <w:r w:rsidR="00A178BE" w:rsidRPr="00A178BE">
        <w:rPr>
          <w:sz w:val="16"/>
          <w:szCs w:val="16"/>
        </w:rPr>
        <w:t>Remodeling</w:t>
      </w:r>
      <w:r w:rsidR="00A178BE" w:rsidRPr="00A178BE">
        <w:rPr>
          <w:rFonts w:ascii="Verdana" w:hAnsi="Verdana"/>
          <w:sz w:val="16"/>
          <w:szCs w:val="16"/>
        </w:rPr>
        <w:t xml:space="preserve"> </w:t>
      </w:r>
      <w:r w:rsidRPr="00A178BE">
        <w:rPr>
          <w:rFonts w:ascii="Verdana" w:hAnsi="Verdana"/>
          <w:sz w:val="16"/>
          <w:szCs w:val="16"/>
        </w:rPr>
        <w:t xml:space="preserve">Website, </w:t>
      </w:r>
      <w:r w:rsidR="00923C8D" w:rsidRPr="00A178BE">
        <w:rPr>
          <w:rFonts w:ascii="Verdana" w:hAnsi="Verdana"/>
          <w:sz w:val="16"/>
          <w:szCs w:val="16"/>
        </w:rPr>
        <w:t>1</w:t>
      </w:r>
      <w:r w:rsidR="00306D88" w:rsidRPr="00A178BE">
        <w:rPr>
          <w:rFonts w:ascii="Verdana" w:hAnsi="Verdana"/>
          <w:sz w:val="16"/>
          <w:szCs w:val="16"/>
        </w:rPr>
        <w:t>/</w:t>
      </w:r>
      <w:r w:rsidR="00AE6B2A" w:rsidRPr="00A178BE">
        <w:rPr>
          <w:rFonts w:ascii="Verdana" w:hAnsi="Verdana"/>
          <w:sz w:val="16"/>
          <w:szCs w:val="16"/>
        </w:rPr>
        <w:t>2</w:t>
      </w:r>
      <w:r w:rsidR="00C8473A" w:rsidRPr="00A178BE">
        <w:rPr>
          <w:rFonts w:ascii="Verdana" w:hAnsi="Verdana"/>
          <w:sz w:val="16"/>
          <w:szCs w:val="16"/>
        </w:rPr>
        <w:t>2</w:t>
      </w:r>
      <w:r w:rsidRPr="00A178BE">
        <w:rPr>
          <w:rFonts w:ascii="Verdana" w:hAnsi="Verdana"/>
          <w:sz w:val="16"/>
          <w:szCs w:val="16"/>
        </w:rPr>
        <w:t xml:space="preserve">; </w:t>
      </w:r>
      <w:r w:rsidR="00A178BE" w:rsidRPr="00A178BE">
        <w:rPr>
          <w:sz w:val="16"/>
          <w:szCs w:val="16"/>
        </w:rPr>
        <w:t xml:space="preserve">The Joint Center for Housing Studies of Harvard University </w:t>
      </w:r>
      <w:r w:rsidRPr="00A178BE">
        <w:rPr>
          <w:rFonts w:ascii="Verdana" w:hAnsi="Verdana"/>
          <w:sz w:val="16"/>
          <w:szCs w:val="16"/>
        </w:rPr>
        <w:t xml:space="preserve">Website, </w:t>
      </w:r>
      <w:r w:rsidR="00923C8D" w:rsidRPr="00A178BE">
        <w:rPr>
          <w:rFonts w:ascii="Verdana" w:hAnsi="Verdana"/>
          <w:sz w:val="16"/>
          <w:szCs w:val="16"/>
        </w:rPr>
        <w:t>1</w:t>
      </w:r>
      <w:r w:rsidR="004E421A" w:rsidRPr="00A178BE">
        <w:rPr>
          <w:rFonts w:ascii="Verdana" w:hAnsi="Verdana"/>
          <w:sz w:val="16"/>
          <w:szCs w:val="16"/>
        </w:rPr>
        <w:t>/</w:t>
      </w:r>
      <w:r w:rsidR="00AE6B2A" w:rsidRPr="00A178BE">
        <w:rPr>
          <w:rFonts w:ascii="Verdana" w:hAnsi="Verdana"/>
          <w:sz w:val="16"/>
          <w:szCs w:val="16"/>
        </w:rPr>
        <w:t>2</w:t>
      </w:r>
      <w:r w:rsidR="00C8473A" w:rsidRPr="00A178BE">
        <w:rPr>
          <w:rFonts w:ascii="Verdana" w:hAnsi="Verdana"/>
          <w:sz w:val="16"/>
          <w:szCs w:val="16"/>
        </w:rPr>
        <w:t>2</w:t>
      </w:r>
      <w:r w:rsidRPr="00A178BE">
        <w:rPr>
          <w:rFonts w:ascii="Verdana" w:hAnsi="Verdana"/>
          <w:sz w:val="16"/>
          <w:szCs w:val="16"/>
        </w:rPr>
        <w:t xml:space="preserve">; </w:t>
      </w:r>
      <w:r w:rsidR="00A178BE" w:rsidRPr="00A178BE">
        <w:rPr>
          <w:sz w:val="16"/>
          <w:szCs w:val="16"/>
        </w:rPr>
        <w:t>Builder</w:t>
      </w:r>
      <w:r w:rsidR="00A178BE" w:rsidRPr="00A178BE">
        <w:rPr>
          <w:rFonts w:ascii="Verdana" w:hAnsi="Verdana"/>
          <w:sz w:val="16"/>
          <w:szCs w:val="16"/>
        </w:rPr>
        <w:t xml:space="preserve"> </w:t>
      </w:r>
      <w:r w:rsidRPr="00A178BE">
        <w:rPr>
          <w:rFonts w:ascii="Verdana" w:hAnsi="Verdana"/>
          <w:sz w:val="16"/>
          <w:szCs w:val="16"/>
        </w:rPr>
        <w:t>Website</w:t>
      </w:r>
      <w:r w:rsidR="00A00453" w:rsidRPr="00A178BE">
        <w:rPr>
          <w:rFonts w:ascii="Verdana" w:hAnsi="Verdana"/>
          <w:sz w:val="16"/>
          <w:szCs w:val="16"/>
        </w:rPr>
        <w:t xml:space="preserve">, </w:t>
      </w:r>
      <w:r w:rsidR="00923C8D" w:rsidRPr="00A178BE">
        <w:rPr>
          <w:rFonts w:ascii="Verdana" w:hAnsi="Verdana"/>
          <w:sz w:val="16"/>
          <w:szCs w:val="16"/>
        </w:rPr>
        <w:t>1</w:t>
      </w:r>
      <w:r w:rsidR="00306D88" w:rsidRPr="00A178BE">
        <w:rPr>
          <w:rFonts w:ascii="Verdana" w:hAnsi="Verdana"/>
          <w:sz w:val="16"/>
          <w:szCs w:val="16"/>
        </w:rPr>
        <w:t>/</w:t>
      </w:r>
      <w:r w:rsidR="00AE6B2A" w:rsidRPr="00A178BE">
        <w:rPr>
          <w:rFonts w:ascii="Verdana" w:hAnsi="Verdana"/>
          <w:sz w:val="16"/>
          <w:szCs w:val="16"/>
        </w:rPr>
        <w:t>2</w:t>
      </w:r>
      <w:r w:rsidR="00C8473A" w:rsidRPr="00A178BE">
        <w:rPr>
          <w:rFonts w:ascii="Verdana" w:hAnsi="Verdana"/>
          <w:sz w:val="16"/>
          <w:szCs w:val="16"/>
        </w:rPr>
        <w:t>2</w:t>
      </w:r>
      <w:r w:rsidR="00A178BE">
        <w:rPr>
          <w:rFonts w:ascii="Verdana" w:hAnsi="Verdana"/>
          <w:sz w:val="16"/>
          <w:szCs w:val="16"/>
        </w:rPr>
        <w:t>;</w:t>
      </w:r>
      <w:r w:rsidR="00A178BE" w:rsidRPr="00A178BE">
        <w:rPr>
          <w:rFonts w:ascii="Verdana" w:hAnsi="Verdana"/>
          <w:sz w:val="16"/>
          <w:szCs w:val="16"/>
        </w:rPr>
        <w:t xml:space="preserve"> </w:t>
      </w:r>
      <w:r w:rsidR="00A178BE" w:rsidRPr="00A178BE">
        <w:rPr>
          <w:sz w:val="16"/>
          <w:szCs w:val="16"/>
        </w:rPr>
        <w:t>Redfin Website</w:t>
      </w:r>
      <w:r w:rsidR="00A178BE" w:rsidRPr="00A178BE">
        <w:rPr>
          <w:rFonts w:ascii="Verdana" w:hAnsi="Verdana"/>
          <w:sz w:val="16"/>
          <w:szCs w:val="16"/>
        </w:rPr>
        <w:t>, 1/22</w:t>
      </w:r>
      <w:r w:rsidR="00A178BE">
        <w:rPr>
          <w:rFonts w:ascii="Verdana" w:hAnsi="Verdana"/>
          <w:sz w:val="16"/>
          <w:szCs w:val="16"/>
        </w:rPr>
        <w:t>;</w:t>
      </w:r>
      <w:r w:rsidR="00A178BE" w:rsidRPr="00A178BE">
        <w:rPr>
          <w:sz w:val="16"/>
          <w:szCs w:val="16"/>
        </w:rPr>
        <w:t xml:space="preserve"> National Association of Home Builders Website</w:t>
      </w:r>
      <w:r w:rsidR="00A178BE" w:rsidRPr="00A178BE">
        <w:rPr>
          <w:rFonts w:ascii="Verdana" w:hAnsi="Verdana"/>
          <w:sz w:val="16"/>
          <w:szCs w:val="16"/>
        </w:rPr>
        <w:t>, 1/22</w:t>
      </w:r>
      <w:r w:rsidR="00A178BE">
        <w:rPr>
          <w:rFonts w:ascii="Verdana" w:hAnsi="Verdana"/>
          <w:sz w:val="16"/>
          <w:szCs w:val="16"/>
        </w:rPr>
        <w:t>;</w:t>
      </w:r>
      <w:r w:rsidR="00A178BE" w:rsidRPr="00A178BE">
        <w:rPr>
          <w:sz w:val="16"/>
          <w:szCs w:val="16"/>
        </w:rPr>
        <w:t xml:space="preserve"> The Farnsworth Group Website</w:t>
      </w:r>
      <w:r w:rsidR="00A178BE" w:rsidRPr="00A178BE">
        <w:rPr>
          <w:rFonts w:ascii="Verdana" w:hAnsi="Verdana"/>
          <w:sz w:val="16"/>
          <w:szCs w:val="16"/>
        </w:rPr>
        <w:t>, 1/22</w:t>
      </w:r>
      <w:r w:rsidR="00A178BE">
        <w:rPr>
          <w:rFonts w:ascii="Verdana" w:hAnsi="Verdana"/>
          <w:sz w:val="16"/>
          <w:szCs w:val="16"/>
        </w:rPr>
        <w:t>;</w:t>
      </w:r>
      <w:r w:rsidR="00A178BE" w:rsidRPr="00A178BE">
        <w:rPr>
          <w:sz w:val="16"/>
          <w:szCs w:val="16"/>
        </w:rPr>
        <w:t xml:space="preserve"> The Media Audit Website</w:t>
      </w:r>
      <w:r w:rsidR="00A178BE" w:rsidRPr="00A178BE">
        <w:rPr>
          <w:rFonts w:ascii="Verdana" w:hAnsi="Verdana"/>
          <w:sz w:val="16"/>
          <w:szCs w:val="16"/>
        </w:rPr>
        <w:t>, 1/22</w:t>
      </w:r>
      <w:r w:rsidR="00A178BE">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65B5C55E"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C8473A">
        <w:rPr>
          <w:rFonts w:ascii="Verdana" w:hAnsi="Verdana"/>
          <w:sz w:val="16"/>
        </w:rPr>
        <w:t>January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0CCE" w14:textId="77777777" w:rsidR="005D35A8" w:rsidRDefault="005D35A8" w:rsidP="00260DE9">
      <w:pPr>
        <w:spacing w:after="0" w:line="240" w:lineRule="auto"/>
      </w:pPr>
      <w:r>
        <w:separator/>
      </w:r>
    </w:p>
  </w:endnote>
  <w:endnote w:type="continuationSeparator" w:id="0">
    <w:p w14:paraId="54B9038E" w14:textId="77777777" w:rsidR="005D35A8" w:rsidRDefault="005D35A8"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646" w14:textId="77777777" w:rsidR="005D35A8" w:rsidRDefault="005D35A8" w:rsidP="00260DE9">
      <w:pPr>
        <w:spacing w:after="0" w:line="240" w:lineRule="auto"/>
      </w:pPr>
      <w:r>
        <w:separator/>
      </w:r>
    </w:p>
  </w:footnote>
  <w:footnote w:type="continuationSeparator" w:id="0">
    <w:p w14:paraId="37C71A63" w14:textId="77777777" w:rsidR="005D35A8" w:rsidRDefault="005D35A8"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7198D"/>
    <w:rsid w:val="000830D7"/>
    <w:rsid w:val="000C4B96"/>
    <w:rsid w:val="000C7821"/>
    <w:rsid w:val="000D2F3A"/>
    <w:rsid w:val="000D7C07"/>
    <w:rsid w:val="00100410"/>
    <w:rsid w:val="00112A85"/>
    <w:rsid w:val="0012010F"/>
    <w:rsid w:val="00142DEE"/>
    <w:rsid w:val="00152312"/>
    <w:rsid w:val="001531C2"/>
    <w:rsid w:val="00154344"/>
    <w:rsid w:val="00160474"/>
    <w:rsid w:val="00161442"/>
    <w:rsid w:val="0016492E"/>
    <w:rsid w:val="00177D0F"/>
    <w:rsid w:val="001A05E7"/>
    <w:rsid w:val="001A5E4F"/>
    <w:rsid w:val="001B64B0"/>
    <w:rsid w:val="001F5DFA"/>
    <w:rsid w:val="00203ECA"/>
    <w:rsid w:val="00251271"/>
    <w:rsid w:val="00260DE9"/>
    <w:rsid w:val="00294474"/>
    <w:rsid w:val="002A4A73"/>
    <w:rsid w:val="002A6286"/>
    <w:rsid w:val="002B0BCF"/>
    <w:rsid w:val="002B3E1A"/>
    <w:rsid w:val="002B428E"/>
    <w:rsid w:val="002E1F38"/>
    <w:rsid w:val="00305B32"/>
    <w:rsid w:val="00306D88"/>
    <w:rsid w:val="00327C87"/>
    <w:rsid w:val="003630CD"/>
    <w:rsid w:val="0037268D"/>
    <w:rsid w:val="0038459A"/>
    <w:rsid w:val="003B417B"/>
    <w:rsid w:val="003C15ED"/>
    <w:rsid w:val="003D6958"/>
    <w:rsid w:val="003E2E9B"/>
    <w:rsid w:val="003F0FE1"/>
    <w:rsid w:val="00400606"/>
    <w:rsid w:val="00412473"/>
    <w:rsid w:val="00422A36"/>
    <w:rsid w:val="00424E79"/>
    <w:rsid w:val="00432903"/>
    <w:rsid w:val="0045212B"/>
    <w:rsid w:val="0046193A"/>
    <w:rsid w:val="00462E51"/>
    <w:rsid w:val="00464E39"/>
    <w:rsid w:val="00471FCD"/>
    <w:rsid w:val="00472186"/>
    <w:rsid w:val="0048482F"/>
    <w:rsid w:val="00493426"/>
    <w:rsid w:val="00494CA5"/>
    <w:rsid w:val="004D4671"/>
    <w:rsid w:val="004E421A"/>
    <w:rsid w:val="004F7F58"/>
    <w:rsid w:val="0050254D"/>
    <w:rsid w:val="00506E0D"/>
    <w:rsid w:val="00520014"/>
    <w:rsid w:val="0056258A"/>
    <w:rsid w:val="0057012D"/>
    <w:rsid w:val="00571D6A"/>
    <w:rsid w:val="00592462"/>
    <w:rsid w:val="00596832"/>
    <w:rsid w:val="005B0067"/>
    <w:rsid w:val="005C3BA5"/>
    <w:rsid w:val="005D35A8"/>
    <w:rsid w:val="00600CFD"/>
    <w:rsid w:val="00601F2D"/>
    <w:rsid w:val="00635FF3"/>
    <w:rsid w:val="00637CB9"/>
    <w:rsid w:val="006557DC"/>
    <w:rsid w:val="00657B52"/>
    <w:rsid w:val="0067102D"/>
    <w:rsid w:val="0068770F"/>
    <w:rsid w:val="0069436D"/>
    <w:rsid w:val="006B3A10"/>
    <w:rsid w:val="006D1053"/>
    <w:rsid w:val="006E6275"/>
    <w:rsid w:val="006F38AD"/>
    <w:rsid w:val="00707104"/>
    <w:rsid w:val="007139CE"/>
    <w:rsid w:val="007141FC"/>
    <w:rsid w:val="00717F25"/>
    <w:rsid w:val="007228BD"/>
    <w:rsid w:val="007257B5"/>
    <w:rsid w:val="00743CA2"/>
    <w:rsid w:val="007651A4"/>
    <w:rsid w:val="0077093A"/>
    <w:rsid w:val="007862CF"/>
    <w:rsid w:val="007927F3"/>
    <w:rsid w:val="00793BD0"/>
    <w:rsid w:val="007B6E29"/>
    <w:rsid w:val="007D3185"/>
    <w:rsid w:val="007F2D5F"/>
    <w:rsid w:val="0082749D"/>
    <w:rsid w:val="00844042"/>
    <w:rsid w:val="00867A4B"/>
    <w:rsid w:val="00875007"/>
    <w:rsid w:val="0088350D"/>
    <w:rsid w:val="00883B0F"/>
    <w:rsid w:val="0088505B"/>
    <w:rsid w:val="0089324F"/>
    <w:rsid w:val="00895610"/>
    <w:rsid w:val="008A6C67"/>
    <w:rsid w:val="008B2598"/>
    <w:rsid w:val="009229BB"/>
    <w:rsid w:val="00923C8D"/>
    <w:rsid w:val="00931A86"/>
    <w:rsid w:val="009419F0"/>
    <w:rsid w:val="0097289D"/>
    <w:rsid w:val="0097480E"/>
    <w:rsid w:val="00984DF0"/>
    <w:rsid w:val="0099377F"/>
    <w:rsid w:val="009A3728"/>
    <w:rsid w:val="009A3EBE"/>
    <w:rsid w:val="009A4526"/>
    <w:rsid w:val="009A6479"/>
    <w:rsid w:val="009C6A17"/>
    <w:rsid w:val="009E2336"/>
    <w:rsid w:val="009F3C8C"/>
    <w:rsid w:val="00A00453"/>
    <w:rsid w:val="00A031C1"/>
    <w:rsid w:val="00A03B0C"/>
    <w:rsid w:val="00A12BB9"/>
    <w:rsid w:val="00A178BE"/>
    <w:rsid w:val="00A2238D"/>
    <w:rsid w:val="00A30B01"/>
    <w:rsid w:val="00A55AAE"/>
    <w:rsid w:val="00A55AB4"/>
    <w:rsid w:val="00A61F9B"/>
    <w:rsid w:val="00A71026"/>
    <w:rsid w:val="00A820F9"/>
    <w:rsid w:val="00AB01D8"/>
    <w:rsid w:val="00AE087E"/>
    <w:rsid w:val="00AE1F72"/>
    <w:rsid w:val="00AE6B2A"/>
    <w:rsid w:val="00AE71B7"/>
    <w:rsid w:val="00B12A59"/>
    <w:rsid w:val="00B33B46"/>
    <w:rsid w:val="00B34B52"/>
    <w:rsid w:val="00B36421"/>
    <w:rsid w:val="00B4203D"/>
    <w:rsid w:val="00B6421F"/>
    <w:rsid w:val="00B74CCE"/>
    <w:rsid w:val="00BC0DB8"/>
    <w:rsid w:val="00BC2144"/>
    <w:rsid w:val="00BE4963"/>
    <w:rsid w:val="00BE4BEC"/>
    <w:rsid w:val="00BE6652"/>
    <w:rsid w:val="00C11931"/>
    <w:rsid w:val="00C147E3"/>
    <w:rsid w:val="00C20878"/>
    <w:rsid w:val="00C21D13"/>
    <w:rsid w:val="00C412D4"/>
    <w:rsid w:val="00C54007"/>
    <w:rsid w:val="00C65128"/>
    <w:rsid w:val="00C77B54"/>
    <w:rsid w:val="00C8473A"/>
    <w:rsid w:val="00C96D2C"/>
    <w:rsid w:val="00CE3B31"/>
    <w:rsid w:val="00CE7889"/>
    <w:rsid w:val="00D16971"/>
    <w:rsid w:val="00D17DB0"/>
    <w:rsid w:val="00D22E81"/>
    <w:rsid w:val="00D26223"/>
    <w:rsid w:val="00D267BD"/>
    <w:rsid w:val="00D37649"/>
    <w:rsid w:val="00D44B3B"/>
    <w:rsid w:val="00D8342E"/>
    <w:rsid w:val="00D93E11"/>
    <w:rsid w:val="00DA1474"/>
    <w:rsid w:val="00DC4F7C"/>
    <w:rsid w:val="00DD5A41"/>
    <w:rsid w:val="00DE0FDD"/>
    <w:rsid w:val="00DF33DC"/>
    <w:rsid w:val="00E13B28"/>
    <w:rsid w:val="00E20F93"/>
    <w:rsid w:val="00E21202"/>
    <w:rsid w:val="00E31C88"/>
    <w:rsid w:val="00E45E7F"/>
    <w:rsid w:val="00E45F8D"/>
    <w:rsid w:val="00E80C14"/>
    <w:rsid w:val="00EA758A"/>
    <w:rsid w:val="00ED42A4"/>
    <w:rsid w:val="00EF6801"/>
    <w:rsid w:val="00EF6AB9"/>
    <w:rsid w:val="00F056FA"/>
    <w:rsid w:val="00F2704A"/>
    <w:rsid w:val="00F31B42"/>
    <w:rsid w:val="00F66EA8"/>
    <w:rsid w:val="00F70E29"/>
    <w:rsid w:val="00F94CE8"/>
    <w:rsid w:val="00FA495C"/>
    <w:rsid w:val="00FB418C"/>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2022-01-24T15:40:00Z</dcterms:created>
  <dcterms:modified xsi:type="dcterms:W3CDTF">2022-01-24T15:40:00Z</dcterms:modified>
</cp:coreProperties>
</file>