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4CE59FD3" w:rsidR="00F94CE8" w:rsidRPr="005F19E9" w:rsidRDefault="005F19E9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Home </w:t>
      </w:r>
      <w:r w:rsidR="00E913AE">
        <w:rPr>
          <w:rFonts w:ascii="Verdana" w:hAnsi="Verdana"/>
          <w:b/>
          <w:bCs/>
          <w:color w:val="FF0000"/>
          <w:sz w:val="20"/>
          <w:szCs w:val="20"/>
        </w:rPr>
        <w:t>Design Products (Windows &amp; Doors, Cabinetry, Paint &amp; Wallpaper)</w:t>
      </w:r>
      <w:r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</w:p>
    <w:p w14:paraId="11DB62D2" w14:textId="77777777" w:rsidR="00F94CE8" w:rsidRPr="007C7B76" w:rsidRDefault="00F94CE8" w:rsidP="007C7B76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558F74E" w14:textId="77777777" w:rsidR="007C7B76" w:rsidRPr="007C7B76" w:rsidRDefault="007C7B76" w:rsidP="007C7B76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C7B76">
        <w:rPr>
          <w:rFonts w:ascii="Verdana" w:hAnsi="Verdana"/>
          <w:b/>
          <w:bCs/>
          <w:color w:val="0070C0"/>
          <w:sz w:val="20"/>
          <w:szCs w:val="20"/>
        </w:rPr>
        <w:t>Home Buying and Remodeling Are Primary Drivers</w:t>
      </w:r>
    </w:p>
    <w:p w14:paraId="71146637" w14:textId="77777777" w:rsidR="007C7B76" w:rsidRPr="007C7B76" w:rsidRDefault="007C7B76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3CA679B" w14:textId="0E0CE75A" w:rsidR="007C7B76" w:rsidRDefault="007C7B76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home-buying market remains challenging at the beginning of 2022 with </w:t>
      </w:r>
      <w:r w:rsidR="00BD3F73">
        <w:rPr>
          <w:rFonts w:ascii="Verdana" w:hAnsi="Verdana"/>
          <w:sz w:val="20"/>
          <w:szCs w:val="20"/>
        </w:rPr>
        <w:t>a limited supply of new and existing homes. Housing starts, however, increased 2.5% during 2021 and single-family homes in the construction phase increased by 26% during January 2022.</w:t>
      </w:r>
    </w:p>
    <w:p w14:paraId="20141C86" w14:textId="3E96F654" w:rsidR="00BD3F73" w:rsidRDefault="00BD3F73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A7C5642" w14:textId="77777777" w:rsidR="00BD3F73" w:rsidRDefault="00BD3F73" w:rsidP="00BD3F7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Joint Center for Housing Studies of Harvard University (JCHS) forecasts substantial remodeling/home improvement spending during the first three quarters of 2022 before moderating during Q4 2022, but spending will remain robust.</w:t>
      </w:r>
    </w:p>
    <w:p w14:paraId="4074D074" w14:textId="191324A2" w:rsidR="00BD3F73" w:rsidRDefault="00BD3F73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71239C" w14:textId="631CDB6B" w:rsidR="00BD3F73" w:rsidRDefault="00BD3F73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Supply chain issues persist, however. According to The Farnsworth Group’s PRO Home Improvement Monthly Tracker for January 2022, 56.5% of surveyed remodelers said material pricing at 56.5% and material availability at 54.2% were the</w:t>
      </w:r>
      <w:r w:rsidR="00F53ED0">
        <w:rPr>
          <w:rFonts w:ascii="Verdana" w:hAnsi="Verdana"/>
          <w:sz w:val="20"/>
          <w:szCs w:val="20"/>
        </w:rPr>
        <w:t>ir</w:t>
      </w:r>
      <w:r>
        <w:rPr>
          <w:rFonts w:ascii="Verdana" w:hAnsi="Verdana"/>
          <w:sz w:val="20"/>
          <w:szCs w:val="20"/>
        </w:rPr>
        <w:t xml:space="preserve"> top two challenges.</w:t>
      </w:r>
    </w:p>
    <w:p w14:paraId="2E72BC26" w14:textId="40DF151C" w:rsidR="007C7B76" w:rsidRDefault="007C7B76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0DA279" w14:textId="77777777" w:rsidR="00613DF8" w:rsidRDefault="00613DF8" w:rsidP="00613DF8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National Association of Home Builders/Wells Fargo Housing </w:t>
      </w:r>
    </w:p>
    <w:p w14:paraId="711EE228" w14:textId="77777777" w:rsidR="00613DF8" w:rsidRPr="00CC1ECE" w:rsidRDefault="00613DF8" w:rsidP="00613DF8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Market Index*, by Region, September 2021–January 2022</w:t>
      </w:r>
    </w:p>
    <w:tbl>
      <w:tblPr>
        <w:tblW w:w="8648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395"/>
        <w:gridCol w:w="1397"/>
        <w:gridCol w:w="1397"/>
        <w:gridCol w:w="1397"/>
        <w:gridCol w:w="1397"/>
      </w:tblGrid>
      <w:tr w:rsidR="00613DF8" w:rsidRPr="00CC1ECE" w14:paraId="678B02C3" w14:textId="77777777" w:rsidTr="005642FB">
        <w:trPr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48D70F71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Region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D784614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Sept. 2021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A2559EA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Oct 2021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5F7282B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Nov 2021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5CCE260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Dec 2021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20152DCE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Jan 2022</w:t>
            </w:r>
          </w:p>
        </w:tc>
      </w:tr>
      <w:tr w:rsidR="00613DF8" w:rsidRPr="00CC1ECE" w14:paraId="751D97E6" w14:textId="77777777" w:rsidTr="005642FB">
        <w:trPr>
          <w:trHeight w:val="243"/>
          <w:jc w:val="center"/>
        </w:trPr>
        <w:tc>
          <w:tcPr>
            <w:tcW w:w="16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AF5E541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United States</w:t>
            </w:r>
          </w:p>
        </w:tc>
        <w:tc>
          <w:tcPr>
            <w:tcW w:w="1395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668D677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EF863A2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A12ED82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32E5BCA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  <w:tc>
          <w:tcPr>
            <w:tcW w:w="139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483F368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</w:t>
            </w:r>
          </w:p>
        </w:tc>
      </w:tr>
      <w:tr w:rsidR="00613DF8" w:rsidRPr="00CC1ECE" w14:paraId="1901B0B6" w14:textId="77777777" w:rsidTr="005642FB">
        <w:trPr>
          <w:trHeight w:val="243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B594F77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Northeast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C4A33E9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5B66DE0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2A20A83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D79F8CB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B4A35E0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71</w:t>
            </w:r>
          </w:p>
        </w:tc>
      </w:tr>
      <w:tr w:rsidR="00613DF8" w:rsidRPr="00CC1ECE" w14:paraId="75BB3D31" w14:textId="77777777" w:rsidTr="005642FB">
        <w:trPr>
          <w:trHeight w:val="243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0E503F7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Midwest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CD6105F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B3EC6E1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26092B0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DE82176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D587632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</w:t>
            </w:r>
          </w:p>
        </w:tc>
      </w:tr>
      <w:tr w:rsidR="00613DF8" w:rsidRPr="00CC1ECE" w14:paraId="5AD1C63E" w14:textId="77777777" w:rsidTr="005642FB">
        <w:trPr>
          <w:trHeight w:val="243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B2789B2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6DA461C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EC06ED9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7694A08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7D49EE84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18504773" w14:textId="77777777" w:rsidR="00613DF8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</w:tr>
      <w:tr w:rsidR="00613DF8" w:rsidRPr="00CC1ECE" w14:paraId="78EA976E" w14:textId="77777777" w:rsidTr="005642FB">
        <w:trPr>
          <w:trHeight w:val="54"/>
          <w:jc w:val="center"/>
        </w:trPr>
        <w:tc>
          <w:tcPr>
            <w:tcW w:w="1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AF0C98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West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282F56B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50DC751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4CA41FCE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4F64F036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6E60214E" w14:textId="77777777" w:rsidR="00613DF8" w:rsidRPr="00CC1ECE" w:rsidRDefault="00613DF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</w:tr>
    </w:tbl>
    <w:p w14:paraId="5AC05EF4" w14:textId="77777777" w:rsidR="00613DF8" w:rsidRDefault="00613DF8" w:rsidP="00613DF8">
      <w:pPr>
        <w:tabs>
          <w:tab w:val="left" w:pos="36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National Association of Home Builders/Wells Fargo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January 2022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*based on a 100-point scale</w:t>
      </w:r>
    </w:p>
    <w:p w14:paraId="4939BCD2" w14:textId="77777777" w:rsidR="00613DF8" w:rsidRDefault="00613DF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6A247FD" w14:textId="7ED0CBC9" w:rsidR="007C7B76" w:rsidRPr="00613DF8" w:rsidRDefault="007C7B76" w:rsidP="00613DF8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613DF8">
        <w:rPr>
          <w:rFonts w:ascii="Verdana" w:hAnsi="Verdana"/>
          <w:b/>
          <w:bCs/>
          <w:color w:val="0070C0"/>
          <w:sz w:val="20"/>
          <w:szCs w:val="20"/>
        </w:rPr>
        <w:t>Dealers Are Expecting a Good 2022</w:t>
      </w:r>
    </w:p>
    <w:p w14:paraId="0AB08011" w14:textId="3A0EDF3B" w:rsidR="007C7B76" w:rsidRDefault="007C7B76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796B731" w14:textId="436D3215" w:rsidR="002B68B8" w:rsidRDefault="002B68B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Despite fewer housing starts forecast for 2022 compared to 2021, window dealers, manufacturers and suppliers are advised to prepare for increased demand because approximately one million new homes </w:t>
      </w:r>
      <w:r w:rsidR="00596B02">
        <w:rPr>
          <w:rFonts w:ascii="Verdana" w:hAnsi="Verdana"/>
          <w:sz w:val="20"/>
          <w:szCs w:val="20"/>
        </w:rPr>
        <w:t xml:space="preserve">are </w:t>
      </w:r>
      <w:r w:rsidR="007B731F">
        <w:rPr>
          <w:rFonts w:ascii="Verdana" w:hAnsi="Verdana"/>
          <w:sz w:val="20"/>
          <w:szCs w:val="20"/>
        </w:rPr>
        <w:t xml:space="preserve">needed, </w:t>
      </w:r>
      <w:r>
        <w:rPr>
          <w:rFonts w:ascii="Verdana" w:hAnsi="Verdana"/>
          <w:sz w:val="20"/>
          <w:szCs w:val="20"/>
        </w:rPr>
        <w:t>and existing homes are aging.</w:t>
      </w:r>
    </w:p>
    <w:p w14:paraId="1933E793" w14:textId="77777777" w:rsidR="002B68B8" w:rsidRPr="007C7B76" w:rsidRDefault="002B68B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9512C91" w14:textId="1E59507D" w:rsidR="00613DF8" w:rsidRDefault="00613DF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2B68B8">
        <w:rPr>
          <w:rFonts w:ascii="Verdana" w:hAnsi="Verdana"/>
          <w:i/>
          <w:iCs/>
          <w:sz w:val="20"/>
          <w:szCs w:val="20"/>
        </w:rPr>
        <w:t>Door and Window Market Magazine</w:t>
      </w:r>
      <w:r>
        <w:rPr>
          <w:rFonts w:ascii="Verdana" w:hAnsi="Verdana"/>
          <w:sz w:val="20"/>
          <w:szCs w:val="20"/>
        </w:rPr>
        <w:t>’s 2022 Industry Outlook survey reported 71% of door and window dealers, manufacturers and supplie</w:t>
      </w:r>
      <w:r w:rsidR="002B68B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s consider the current business environment favorable: “very favorable” at 28% and “somewhat favorable” at 43%.</w:t>
      </w:r>
    </w:p>
    <w:p w14:paraId="0EDEDE6B" w14:textId="170769EB" w:rsidR="00613DF8" w:rsidRDefault="00613DF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27714F2" w14:textId="5F92A811" w:rsidR="00613DF8" w:rsidRDefault="002B68B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Industry Outlook Survey revealed almost three-quarters (72</w:t>
      </w:r>
      <w:r w:rsidR="00596B02">
        <w:rPr>
          <w:rFonts w:ascii="Verdana" w:hAnsi="Verdana"/>
          <w:sz w:val="20"/>
          <w:szCs w:val="20"/>
        </w:rPr>
        <w:t>%</w:t>
      </w:r>
      <w:r>
        <w:rPr>
          <w:rFonts w:ascii="Verdana" w:hAnsi="Verdana"/>
          <w:sz w:val="20"/>
          <w:szCs w:val="20"/>
        </w:rPr>
        <w:t>) of those surveyed said their sales increased 10% or more during 2021 compared to 202</w:t>
      </w:r>
      <w:r w:rsidR="00596B0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 They are not as optimistic about 2022, as 51% expected their sales to increase 10% or more.</w:t>
      </w:r>
    </w:p>
    <w:p w14:paraId="5F7CB663" w14:textId="4E6DD7FE" w:rsidR="002B68B8" w:rsidRDefault="002B68B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948EFFB" w14:textId="77777777" w:rsidR="006255E3" w:rsidRDefault="006255E3" w:rsidP="006255E3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Top 10 Products Home Improvement Contractors </w:t>
      </w:r>
    </w:p>
    <w:p w14:paraId="7E2B643E" w14:textId="2234446D" w:rsidR="006255E3" w:rsidRPr="00BE4963" w:rsidRDefault="006255E3" w:rsidP="006255E3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Have Had Trouble Finding*, February 2022</w:t>
      </w:r>
    </w:p>
    <w:tbl>
      <w:tblPr>
        <w:tblW w:w="612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1267"/>
      </w:tblGrid>
      <w:tr w:rsidR="006255E3" w:rsidRPr="00CC1ECE" w14:paraId="519C8562" w14:textId="77777777" w:rsidTr="006255E3">
        <w:trPr>
          <w:jc w:val="center"/>
        </w:trPr>
        <w:tc>
          <w:tcPr>
            <w:tcW w:w="485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1B1ACA9" w14:textId="77777777" w:rsidR="006255E3" w:rsidRPr="00CC1ECE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Product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839BF42" w14:textId="77777777" w:rsidR="006255E3" w:rsidRPr="00CC1ECE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6255E3" w:rsidRPr="00CC1ECE" w14:paraId="45A79B97" w14:textId="77777777" w:rsidTr="00743ED7">
        <w:trPr>
          <w:trHeight w:val="243"/>
          <w:jc w:val="center"/>
        </w:trPr>
        <w:tc>
          <w:tcPr>
            <w:tcW w:w="485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CB5F32A" w14:textId="55997A9D" w:rsidR="006255E3" w:rsidRPr="00CC1ECE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Building materials (roofing, etc.)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6B3E880B" w14:textId="64AA3222" w:rsidR="006255E3" w:rsidRPr="00CC1ECE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35.8%</w:t>
            </w:r>
          </w:p>
        </w:tc>
      </w:tr>
      <w:tr w:rsidR="006255E3" w:rsidRPr="00CC1ECE" w14:paraId="2EE419A1" w14:textId="77777777" w:rsidTr="00743ED7">
        <w:trPr>
          <w:trHeight w:val="243"/>
          <w:jc w:val="center"/>
        </w:trPr>
        <w:tc>
          <w:tcPr>
            <w:tcW w:w="48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A08D4C9" w14:textId="41C69352" w:rsidR="006255E3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Windows and doors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4FD7F032" w14:textId="65BA6DE6" w:rsidR="006255E3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28.6%</w:t>
            </w:r>
          </w:p>
        </w:tc>
      </w:tr>
      <w:tr w:rsidR="006255E3" w:rsidRPr="00CC1ECE" w14:paraId="47A920D7" w14:textId="77777777" w:rsidTr="00743ED7">
        <w:trPr>
          <w:trHeight w:val="243"/>
          <w:jc w:val="center"/>
        </w:trPr>
        <w:tc>
          <w:tcPr>
            <w:tcW w:w="48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FB814F2" w14:textId="00A20ED4" w:rsidR="006255E3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Paint and paint supplies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5408717D" w14:textId="4FBD49D5" w:rsidR="006255E3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18.3%</w:t>
            </w:r>
          </w:p>
        </w:tc>
      </w:tr>
      <w:tr w:rsidR="006255E3" w:rsidRPr="00CC1ECE" w14:paraId="7C284544" w14:textId="77777777" w:rsidTr="00743ED7">
        <w:trPr>
          <w:trHeight w:val="243"/>
          <w:jc w:val="center"/>
        </w:trPr>
        <w:tc>
          <w:tcPr>
            <w:tcW w:w="48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E5DBFF5" w14:textId="658E266D" w:rsidR="006255E3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Lighting and accessories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2D99EA67" w14:textId="0749E10A" w:rsidR="006255E3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13.3%</w:t>
            </w:r>
          </w:p>
        </w:tc>
      </w:tr>
      <w:tr w:rsidR="006255E3" w:rsidRPr="00CC1ECE" w14:paraId="75469504" w14:textId="77777777" w:rsidTr="00743ED7">
        <w:trPr>
          <w:trHeight w:val="54"/>
          <w:jc w:val="center"/>
        </w:trPr>
        <w:tc>
          <w:tcPr>
            <w:tcW w:w="4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FF6498D" w14:textId="0AB67304" w:rsidR="006255E3" w:rsidRPr="00CC1ECE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Storage, shelving and organizational products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167065D7" w14:textId="6440BFCC" w:rsidR="006255E3" w:rsidRPr="00CC1ECE" w:rsidRDefault="006255E3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2.8%</w:t>
            </w:r>
          </w:p>
        </w:tc>
      </w:tr>
    </w:tbl>
    <w:p w14:paraId="2FCFB87C" w14:textId="4119D59E" w:rsidR="006255E3" w:rsidRDefault="006255E3" w:rsidP="006255E3">
      <w:pPr>
        <w:tabs>
          <w:tab w:val="left" w:pos="162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The Farnsworth Group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February 2022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*during the past month</w:t>
      </w:r>
    </w:p>
    <w:p w14:paraId="302DC6C5" w14:textId="2C148044" w:rsidR="007C7B76" w:rsidRPr="00746C4A" w:rsidRDefault="007C7B76" w:rsidP="00746C4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46C4A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Cabinet Sector Sales Are Strong, But </w:t>
      </w:r>
      <w:r w:rsidR="00746C4A">
        <w:rPr>
          <w:rFonts w:ascii="Verdana" w:hAnsi="Verdana"/>
          <w:b/>
          <w:bCs/>
          <w:color w:val="0070C0"/>
          <w:sz w:val="20"/>
          <w:szCs w:val="20"/>
        </w:rPr>
        <w:t xml:space="preserve">With </w:t>
      </w:r>
      <w:r w:rsidRPr="00746C4A">
        <w:rPr>
          <w:rFonts w:ascii="Verdana" w:hAnsi="Verdana"/>
          <w:b/>
          <w:bCs/>
          <w:color w:val="0070C0"/>
          <w:sz w:val="20"/>
          <w:szCs w:val="20"/>
        </w:rPr>
        <w:t>Slight Declines</w:t>
      </w:r>
    </w:p>
    <w:p w14:paraId="672F4F0D" w14:textId="29896F7F" w:rsidR="007C7B76" w:rsidRDefault="007C7B76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88716DB" w14:textId="4768EB90" w:rsidR="00746C4A" w:rsidRDefault="00746C4A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the strong surge in home improvement projects during 202</w:t>
      </w:r>
      <w:r w:rsidR="00596B0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, total cabinet sales for the first 11 months of increased 14.6% YOY. Significant YOY increases also occurred in the subcategories: custom at 20.1%, semi-custom at 10.8% and stock at 16.2%.</w:t>
      </w:r>
    </w:p>
    <w:p w14:paraId="35C80AF8" w14:textId="5659AD0D" w:rsidR="00746C4A" w:rsidRDefault="00746C4A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50A736" w14:textId="541FB645" w:rsidR="00746C4A" w:rsidRDefault="00746C4A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2021 sales, however, all decreased compared to October 2021: total sales </w:t>
      </w:r>
      <w:r w:rsidR="00F70F48">
        <w:rPr>
          <w:rFonts w:ascii="Verdana" w:hAnsi="Verdana"/>
          <w:sz w:val="20"/>
          <w:szCs w:val="20"/>
        </w:rPr>
        <w:t>at      -3.4%, custom at -3.2%, semi-custom at -4.7% and stock at -2.5%, which is often the trend as fewer home improvement projects occur during the year-end holiday period.</w:t>
      </w:r>
    </w:p>
    <w:p w14:paraId="4ED211F9" w14:textId="6C086501" w:rsidR="00F70F48" w:rsidRDefault="00F70F4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917D89E" w14:textId="47B76205" w:rsidR="00F70F48" w:rsidRDefault="00F70F48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comparison, September 2021 sales increased in all categories compared to August 2021: total sales at +5.7%, custom at +19.9%, semi-custom at +5.8% and stock at +2.9%.</w:t>
      </w:r>
    </w:p>
    <w:p w14:paraId="40A46157" w14:textId="7D371F8B" w:rsidR="00746C4A" w:rsidRDefault="00746C4A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11974BD" w14:textId="61C2EA44" w:rsidR="00F65E94" w:rsidRPr="00CC1ECE" w:rsidRDefault="00F65E94" w:rsidP="00F65E94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Homeowners’ Primary Choices of New Kitchen Cabinet Materials, July 2021</w:t>
      </w:r>
    </w:p>
    <w:tbl>
      <w:tblPr>
        <w:tblW w:w="9279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1267"/>
        <w:gridCol w:w="3370"/>
        <w:gridCol w:w="1267"/>
      </w:tblGrid>
      <w:tr w:rsidR="00F65E94" w:rsidRPr="00CC1ECE" w14:paraId="2459B712" w14:textId="77777777" w:rsidTr="00F65E94">
        <w:trPr>
          <w:jc w:val="center"/>
        </w:trPr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8A03F6B" w14:textId="7B23F176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Material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56ADADA8" w14:textId="6A5450A9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337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FEBF24D" w14:textId="248DE9CB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Material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79BB5FDE" w14:textId="0CBA0107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F65E94" w:rsidRPr="00CC1ECE" w14:paraId="50905E27" w14:textId="77777777" w:rsidTr="00F65E94">
        <w:trPr>
          <w:trHeight w:val="243"/>
          <w:jc w:val="center"/>
        </w:trPr>
        <w:tc>
          <w:tcPr>
            <w:tcW w:w="337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20D0E4EA" w14:textId="5B7A4E67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Solid wood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08EAA167" w14:textId="6B9F96BB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76%</w:t>
            </w:r>
          </w:p>
        </w:tc>
        <w:tc>
          <w:tcPr>
            <w:tcW w:w="337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C3EAF55" w14:textId="16374BCF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Particleboard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BD90B38" w14:textId="30F35014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</w:tr>
      <w:tr w:rsidR="00F65E94" w:rsidRPr="00CC1ECE" w14:paraId="5B28F3B8" w14:textId="77777777" w:rsidTr="00F65E94">
        <w:trPr>
          <w:trHeight w:val="243"/>
          <w:jc w:val="center"/>
        </w:trPr>
        <w:tc>
          <w:tcPr>
            <w:tcW w:w="33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D78CCEB" w14:textId="3E3A6AA8" w:rsidR="00F65E94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Plywood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E5A298A" w14:textId="6786AC7B" w:rsidR="00F65E94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20%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3F868A0" w14:textId="6AD89613" w:rsidR="00F65E94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Acrylic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BD2A5A0" w14:textId="3C6BFC80" w:rsidR="00F65E94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</w:tr>
      <w:tr w:rsidR="00F65E94" w:rsidRPr="00CC1ECE" w14:paraId="65A1F905" w14:textId="77777777" w:rsidTr="00F65E94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7B1BF09" w14:textId="2560AB94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Medium-density fiberboard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8FA7238" w14:textId="6D72A3AC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14%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AFC9FCA" w14:textId="3B70CEA7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Stainless steel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88AF33B" w14:textId="3EB314EA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</w:tr>
      <w:tr w:rsidR="00F65E94" w:rsidRPr="00CC1ECE" w14:paraId="4034D2E0" w14:textId="77777777" w:rsidTr="00F65E94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1DB25D0" w14:textId="1C73E533" w:rsidR="00F65E94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Glass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1F464CBE" w14:textId="383A80EA" w:rsidR="00F65E94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6FAE6FE" w14:textId="74BD41D0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Other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27C9389" w14:textId="2E564611" w:rsidR="00F65E94" w:rsidRPr="00CC1ECE" w:rsidRDefault="00F65E9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</w:tbl>
    <w:p w14:paraId="46C208A3" w14:textId="470938F0" w:rsidR="00746C4A" w:rsidRPr="007C7B76" w:rsidRDefault="00F65E94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Houzz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October 2021</w:t>
      </w:r>
      <w:r>
        <w:rPr>
          <w:rFonts w:ascii="Verdana" w:hAnsi="Verdana"/>
          <w:sz w:val="16"/>
          <w:szCs w:val="16"/>
        </w:rPr>
        <w:tab/>
      </w:r>
    </w:p>
    <w:p w14:paraId="09C15594" w14:textId="77777777" w:rsidR="00F65E94" w:rsidRDefault="00F65E94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CF89D9C" w14:textId="2F01826C" w:rsidR="007C7B76" w:rsidRPr="006111CC" w:rsidRDefault="007C7B76" w:rsidP="006111CC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6111CC">
        <w:rPr>
          <w:rFonts w:ascii="Verdana" w:hAnsi="Verdana"/>
          <w:b/>
          <w:bCs/>
          <w:color w:val="0070C0"/>
          <w:sz w:val="20"/>
          <w:szCs w:val="20"/>
        </w:rPr>
        <w:t xml:space="preserve">Homeowners’ Favorites in Kitchen </w:t>
      </w:r>
      <w:r w:rsidR="00E8013A">
        <w:rPr>
          <w:rFonts w:ascii="Verdana" w:hAnsi="Verdana"/>
          <w:b/>
          <w:bCs/>
          <w:color w:val="0070C0"/>
          <w:sz w:val="20"/>
          <w:szCs w:val="20"/>
        </w:rPr>
        <w:t>and</w:t>
      </w:r>
      <w:r w:rsidRPr="006111CC">
        <w:rPr>
          <w:rFonts w:ascii="Verdana" w:hAnsi="Verdana"/>
          <w:b/>
          <w:bCs/>
          <w:color w:val="0070C0"/>
          <w:sz w:val="20"/>
          <w:szCs w:val="20"/>
        </w:rPr>
        <w:t xml:space="preserve"> Bath Cabinets</w:t>
      </w:r>
    </w:p>
    <w:p w14:paraId="08C33521" w14:textId="77777777" w:rsidR="007C7B76" w:rsidRPr="007C7B76" w:rsidRDefault="007C7B76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904E4E2" w14:textId="7FD7C2C6" w:rsidR="006111CC" w:rsidRDefault="006111CC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the 2021 Houzz US Bathroom Trends Study, one-third (34%) of surveyed homeowners said custom cabinets w</w:t>
      </w:r>
      <w:r w:rsidR="007B731F">
        <w:rPr>
          <w:rFonts w:ascii="Verdana" w:hAnsi="Verdana"/>
          <w:sz w:val="20"/>
          <w:szCs w:val="20"/>
        </w:rPr>
        <w:t>ere</w:t>
      </w:r>
      <w:r>
        <w:rPr>
          <w:rFonts w:ascii="Verdana" w:hAnsi="Verdana"/>
          <w:sz w:val="20"/>
          <w:szCs w:val="20"/>
        </w:rPr>
        <w:t xml:space="preserve"> their first </w:t>
      </w:r>
      <w:r w:rsidR="00706B50">
        <w:rPr>
          <w:rFonts w:ascii="Verdana" w:hAnsi="Verdana"/>
          <w:sz w:val="20"/>
          <w:szCs w:val="20"/>
        </w:rPr>
        <w:t>style choice for their bathroom, with stock second at 22%, semi-custom third at 22% and ready-to-assemble fourth at 8%.</w:t>
      </w:r>
    </w:p>
    <w:p w14:paraId="425429B6" w14:textId="77777777" w:rsidR="006111CC" w:rsidRDefault="006111CC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D0DE1C7" w14:textId="5CD04A7C" w:rsidR="006111CC" w:rsidRDefault="00706B50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2022 Houzz Kitchen Trends Study found shaker was the overwhelming first choice among consumers for the primary door style of upgraded cabinets at 64%. This was an eight-percentage-point increase from the 2021 study.</w:t>
      </w:r>
    </w:p>
    <w:p w14:paraId="109F0046" w14:textId="3EDA424A" w:rsidR="00706B50" w:rsidRDefault="00706B50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62DE7F3" w14:textId="1BE1C8F6" w:rsidR="00706B50" w:rsidRDefault="009C3F52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Blue was the first color choice among 26% of homeowners for upgraded island kitchen cabinets of a different color than the main cabinetry color. For bathroom vanities, white remained the first choice at 32%, with wood at 27%, gray at 16% and blue at 8%.</w:t>
      </w:r>
    </w:p>
    <w:p w14:paraId="76AD639A" w14:textId="77777777" w:rsidR="009C3F52" w:rsidRDefault="009C3F52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1F8EE12" w14:textId="67B47542" w:rsidR="009C3F52" w:rsidRPr="00CC1ECE" w:rsidRDefault="00DA3780" w:rsidP="009C3F5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Specialty Storage in Upgraded Kitchen Cabinets</w:t>
      </w:r>
      <w:r w:rsidR="009C3F52">
        <w:rPr>
          <w:rFonts w:ascii="Verdana" w:hAnsi="Verdana"/>
          <w:b/>
          <w:sz w:val="20"/>
          <w:szCs w:val="20"/>
        </w:rPr>
        <w:t>, July 2021</w:t>
      </w:r>
    </w:p>
    <w:tbl>
      <w:tblPr>
        <w:tblW w:w="9066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1267"/>
        <w:gridCol w:w="3263"/>
        <w:gridCol w:w="1267"/>
      </w:tblGrid>
      <w:tr w:rsidR="009C3F52" w:rsidRPr="00CC1ECE" w14:paraId="0D6F994B" w14:textId="77777777" w:rsidTr="00DA3780">
        <w:trPr>
          <w:jc w:val="center"/>
        </w:trPr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5D2151D" w14:textId="6257E70E" w:rsidR="009C3F52" w:rsidRPr="00CC1ECE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By Organizer Type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780B495" w14:textId="77777777" w:rsidR="009C3F52" w:rsidRPr="00CC1ECE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3263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F9C70B2" w14:textId="143EFB5D" w:rsidR="009C3F52" w:rsidRPr="00CC1ECE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By Tray/Drawer Type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5F9C622F" w14:textId="77777777" w:rsidR="009C3F52" w:rsidRPr="00CC1ECE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DA3780" w:rsidRPr="00CC1ECE" w14:paraId="68704AB4" w14:textId="77777777" w:rsidTr="00DA3780">
        <w:trPr>
          <w:trHeight w:val="243"/>
          <w:jc w:val="center"/>
        </w:trPr>
        <w:tc>
          <w:tcPr>
            <w:tcW w:w="3269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D587B29" w14:textId="47A8F474" w:rsidR="009C3F52" w:rsidRPr="00CC1ECE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#1: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Cookie sheets/trays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16798E1E" w14:textId="0408F126" w:rsidR="009C3F52" w:rsidRPr="00CC1ECE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48%</w:t>
            </w:r>
          </w:p>
        </w:tc>
        <w:tc>
          <w:tcPr>
            <w:tcW w:w="3263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04DCD8B" w14:textId="6A3B4498" w:rsidR="009C3F52" w:rsidRPr="00CC1ECE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1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Pullout waste or recycling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53D3339F" w14:textId="4291AB9B" w:rsidR="009C3F52" w:rsidRPr="00CC1ECE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60%</w:t>
            </w:r>
          </w:p>
        </w:tc>
      </w:tr>
      <w:tr w:rsidR="00DA3780" w:rsidRPr="00CC1ECE" w14:paraId="3C60E471" w14:textId="77777777" w:rsidTr="00DA3780">
        <w:trPr>
          <w:trHeight w:val="243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6EEC378" w14:textId="2704AACB" w:rsidR="009C3F52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#2: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Spices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0CD918A" w14:textId="5BC647FB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954FE6C" w14:textId="147CC087" w:rsidR="009C3F52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Cutlery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CB16447" w14:textId="48196A3F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35%</w:t>
            </w:r>
          </w:p>
        </w:tc>
      </w:tr>
      <w:tr w:rsidR="009C3F52" w:rsidRPr="00CC1ECE" w14:paraId="337B3421" w14:textId="77777777" w:rsidTr="00DA3780">
        <w:trPr>
          <w:trHeight w:val="243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2FEA169" w14:textId="4E6A864B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Deep drawer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D832E2E" w14:textId="582E9267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C8F9047" w14:textId="5EBFDA3D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Pullouts/swing-out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A9EA70A" w14:textId="11110877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</w:tr>
      <w:tr w:rsidR="009C3F52" w:rsidRPr="00CC1ECE" w14:paraId="073A1FCB" w14:textId="77777777" w:rsidTr="00DA3780">
        <w:trPr>
          <w:trHeight w:val="243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57504E5" w14:textId="76CC4000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Revolving (Lazy Susan)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5496D33" w14:textId="30865339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CEF3D95" w14:textId="710A4FDE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Small appliances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11A40F1" w14:textId="064B2922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22%</w:t>
            </w:r>
          </w:p>
        </w:tc>
      </w:tr>
      <w:tr w:rsidR="009C3F52" w:rsidRPr="00CC1ECE" w14:paraId="574626C0" w14:textId="77777777" w:rsidTr="00DA3780">
        <w:trPr>
          <w:trHeight w:val="243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312590E" w14:textId="46BA2DF8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Utensils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1EF405C" w14:textId="1B04F2FF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284CDD5" w14:textId="778A1399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Pullout corner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BD937FF" w14:textId="45A7A017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</w:tr>
      <w:tr w:rsidR="00DA3780" w:rsidRPr="00CC1ECE" w14:paraId="611F1C04" w14:textId="77777777" w:rsidTr="00DA3780">
        <w:trPr>
          <w:trHeight w:val="54"/>
          <w:jc w:val="center"/>
        </w:trPr>
        <w:tc>
          <w:tcPr>
            <w:tcW w:w="3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C288536" w14:textId="14F5401F" w:rsidR="009C3F52" w:rsidRPr="00CC1ECE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6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Pots and pans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698B515D" w14:textId="17DBDD88" w:rsidR="009C3F52" w:rsidRPr="00CC1ECE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</w:t>
            </w:r>
            <w:r w:rsidR="009C3F52">
              <w:rPr>
                <w:rFonts w:ascii="Verdana" w:eastAsia="Times New Roman" w:hAnsi="Verdana"/>
                <w:sz w:val="20"/>
                <w:szCs w:val="20"/>
              </w:rPr>
              <w:t>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BD5A98" w14:textId="3324B829" w:rsidR="009C3F52" w:rsidRPr="00CC1ECE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6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Wine or bar storage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1B492BB9" w14:textId="4A0ADAF8" w:rsidR="009C3F52" w:rsidRPr="00CC1ECE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15%</w:t>
            </w:r>
          </w:p>
        </w:tc>
      </w:tr>
      <w:tr w:rsidR="00DA3780" w:rsidRPr="00CC1ECE" w14:paraId="1C6E7FC5" w14:textId="77777777" w:rsidTr="00DA3780">
        <w:trPr>
          <w:trHeight w:val="54"/>
          <w:jc w:val="center"/>
        </w:trPr>
        <w:tc>
          <w:tcPr>
            <w:tcW w:w="3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182AE0F" w14:textId="6258FCFF" w:rsidR="009C3F52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7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Dishes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0D5C1872" w14:textId="620BD978" w:rsidR="009C3F52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1227A39" w14:textId="4E47F932" w:rsidR="009C3F52" w:rsidRPr="00CC1ECE" w:rsidRDefault="009C3F52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7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r w:rsidR="00DA3780">
              <w:rPr>
                <w:rFonts w:ascii="Verdana" w:eastAsia="Times New Roman" w:hAnsi="Verdana"/>
                <w:sz w:val="20"/>
                <w:szCs w:val="20"/>
              </w:rPr>
              <w:t>Pet-feeding station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2B7B383" w14:textId="0EDF23AC" w:rsidR="009C3F52" w:rsidRPr="00CC1ECE" w:rsidRDefault="00DA3780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</w:tr>
    </w:tbl>
    <w:p w14:paraId="56287C2F" w14:textId="4D94FCD6" w:rsidR="009C3F52" w:rsidRPr="007C7B76" w:rsidRDefault="009C3F52" w:rsidP="009C3F52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Houzz</w:t>
      </w:r>
      <w:r w:rsidRPr="00CC1ECE">
        <w:rPr>
          <w:rFonts w:ascii="Verdana" w:hAnsi="Verdana"/>
          <w:sz w:val="16"/>
          <w:szCs w:val="16"/>
        </w:rPr>
        <w:t xml:space="preserve">, </w:t>
      </w:r>
      <w:r w:rsidR="00DA3780">
        <w:rPr>
          <w:rFonts w:ascii="Verdana" w:hAnsi="Verdana"/>
          <w:sz w:val="16"/>
          <w:szCs w:val="16"/>
        </w:rPr>
        <w:t>January 2022</w:t>
      </w:r>
      <w:r>
        <w:rPr>
          <w:rFonts w:ascii="Verdana" w:hAnsi="Verdana"/>
          <w:sz w:val="16"/>
          <w:szCs w:val="16"/>
        </w:rPr>
        <w:tab/>
      </w:r>
    </w:p>
    <w:p w14:paraId="587F1E27" w14:textId="77777777" w:rsidR="009C3F52" w:rsidRDefault="009C3F52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DC194D6" w14:textId="77777777" w:rsidR="009B2789" w:rsidRDefault="009B2789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CC7E890" w14:textId="77777777" w:rsidR="009B2789" w:rsidRDefault="009B2789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9AFED24" w14:textId="77777777" w:rsidR="009B2789" w:rsidRDefault="009B2789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3D9E318" w14:textId="5C29CCE5" w:rsidR="007C7B76" w:rsidRPr="009B2789" w:rsidRDefault="00B2342A" w:rsidP="009B278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Consumer </w:t>
      </w:r>
      <w:r w:rsidR="007C7B76" w:rsidRPr="009B2789">
        <w:rPr>
          <w:rFonts w:ascii="Verdana" w:hAnsi="Verdana"/>
          <w:b/>
          <w:bCs/>
          <w:color w:val="0070C0"/>
          <w:sz w:val="20"/>
          <w:szCs w:val="20"/>
        </w:rPr>
        <w:t>Paint Trends</w:t>
      </w:r>
    </w:p>
    <w:p w14:paraId="18E9DABA" w14:textId="77777777" w:rsidR="007C7B76" w:rsidRPr="007C7B76" w:rsidRDefault="007C7B76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64783F2" w14:textId="4B8FDC96" w:rsidR="009B2789" w:rsidRDefault="00257232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from</w:t>
      </w:r>
      <w:r w:rsidR="00B36979">
        <w:rPr>
          <w:rFonts w:ascii="Verdana" w:hAnsi="Verdana"/>
          <w:sz w:val="20"/>
          <w:szCs w:val="20"/>
        </w:rPr>
        <w:t xml:space="preserve"> five</w:t>
      </w:r>
      <w:r>
        <w:rPr>
          <w:rFonts w:ascii="Verdana" w:hAnsi="Verdana"/>
          <w:sz w:val="20"/>
          <w:szCs w:val="20"/>
        </w:rPr>
        <w:t xml:space="preserve"> representative </w:t>
      </w:r>
      <w:r w:rsidR="00E8013A">
        <w:rPr>
          <w:rFonts w:ascii="Verdana" w:hAnsi="Verdana"/>
          <w:sz w:val="20"/>
          <w:szCs w:val="20"/>
        </w:rPr>
        <w:t xml:space="preserve">2021 </w:t>
      </w:r>
      <w:r>
        <w:rPr>
          <w:rFonts w:ascii="Verdana" w:hAnsi="Verdana"/>
          <w:sz w:val="20"/>
          <w:szCs w:val="20"/>
        </w:rPr>
        <w:t>consumer/market surveys conducted by The Media Audit reveals the average age of adults 18+ planning an interior paint</w:t>
      </w:r>
      <w:r w:rsidR="004528DF">
        <w:rPr>
          <w:rFonts w:ascii="Verdana" w:hAnsi="Verdana"/>
          <w:sz w:val="20"/>
          <w:szCs w:val="20"/>
        </w:rPr>
        <w:t xml:space="preserve"> or </w:t>
      </w:r>
      <w:r w:rsidR="00E06A67">
        <w:rPr>
          <w:rFonts w:ascii="Verdana" w:hAnsi="Verdana"/>
          <w:sz w:val="20"/>
          <w:szCs w:val="20"/>
        </w:rPr>
        <w:t>wallpaper</w:t>
      </w:r>
      <w:r>
        <w:rPr>
          <w:rFonts w:ascii="Verdana" w:hAnsi="Verdana"/>
          <w:sz w:val="20"/>
          <w:szCs w:val="20"/>
        </w:rPr>
        <w:t xml:space="preserve"> project during the next 12 months is 45.6 and their average income is $78,600.</w:t>
      </w:r>
    </w:p>
    <w:p w14:paraId="25FB6635" w14:textId="388CD533" w:rsidR="00257232" w:rsidRDefault="00257232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DDBC61E" w14:textId="012F1F89" w:rsidR="00257232" w:rsidRDefault="00257232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 planned exterior paint project during the next 12 months, the average age is 42.1 and the average income is $81,770.</w:t>
      </w:r>
    </w:p>
    <w:p w14:paraId="7E3775C1" w14:textId="77777777" w:rsidR="009B2789" w:rsidRDefault="009B2789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844AE61" w14:textId="57C95224" w:rsidR="009B2789" w:rsidRDefault="00257232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Millennials over-index</w:t>
      </w:r>
      <w:r w:rsidR="00DF202B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the most for interior </w:t>
      </w:r>
      <w:r w:rsidR="004528DF">
        <w:rPr>
          <w:rFonts w:ascii="Verdana" w:hAnsi="Verdana"/>
          <w:sz w:val="20"/>
          <w:szCs w:val="20"/>
        </w:rPr>
        <w:t xml:space="preserve">paint/wallpaper </w:t>
      </w:r>
      <w:r>
        <w:rPr>
          <w:rFonts w:ascii="Verdana" w:hAnsi="Verdana"/>
          <w:sz w:val="20"/>
          <w:szCs w:val="20"/>
        </w:rPr>
        <w:t>and exterior paint project</w:t>
      </w:r>
      <w:r w:rsidR="004528D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at </w:t>
      </w:r>
      <w:r w:rsidR="00E54712">
        <w:rPr>
          <w:rFonts w:ascii="Verdana" w:hAnsi="Verdana"/>
          <w:sz w:val="20"/>
          <w:szCs w:val="20"/>
        </w:rPr>
        <w:t>average</w:t>
      </w:r>
      <w:r w:rsidR="007B731F">
        <w:rPr>
          <w:rFonts w:ascii="Verdana" w:hAnsi="Verdana"/>
          <w:sz w:val="20"/>
          <w:szCs w:val="20"/>
        </w:rPr>
        <w:t>s</w:t>
      </w:r>
      <w:r w:rsidR="00E54712"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sz w:val="20"/>
          <w:szCs w:val="20"/>
        </w:rPr>
        <w:t>118 and 137, respectively. Gen Zers over-index</w:t>
      </w:r>
      <w:r w:rsidR="00DF202B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for exterior paint projects </w:t>
      </w:r>
      <w:r w:rsidR="004528D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a</w:t>
      </w:r>
      <w:r w:rsidR="004528DF">
        <w:rPr>
          <w:rFonts w:ascii="Verdana" w:hAnsi="Verdana"/>
          <w:sz w:val="20"/>
          <w:szCs w:val="20"/>
        </w:rPr>
        <w:t xml:space="preserve">vg. </w:t>
      </w:r>
      <w:r>
        <w:rPr>
          <w:rFonts w:ascii="Verdana" w:hAnsi="Verdana"/>
          <w:sz w:val="20"/>
          <w:szCs w:val="20"/>
        </w:rPr>
        <w:t>106</w:t>
      </w:r>
      <w:r w:rsidR="004528D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but under-index</w:t>
      </w:r>
      <w:r w:rsidR="00DF202B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for interior paint</w:t>
      </w:r>
      <w:r w:rsidR="004528DF">
        <w:rPr>
          <w:rFonts w:ascii="Verdana" w:hAnsi="Verdana"/>
          <w:sz w:val="20"/>
          <w:szCs w:val="20"/>
        </w:rPr>
        <w:t xml:space="preserve"> or wallpaper</w:t>
      </w:r>
      <w:r>
        <w:rPr>
          <w:rFonts w:ascii="Verdana" w:hAnsi="Verdana"/>
          <w:sz w:val="20"/>
          <w:szCs w:val="20"/>
        </w:rPr>
        <w:t xml:space="preserve"> projects</w:t>
      </w:r>
      <w:r w:rsidR="004528DF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av</w:t>
      </w:r>
      <w:r w:rsidR="004528DF">
        <w:rPr>
          <w:rFonts w:ascii="Verdana" w:hAnsi="Verdana"/>
          <w:sz w:val="20"/>
          <w:szCs w:val="20"/>
        </w:rPr>
        <w:t>g.</w:t>
      </w:r>
      <w:r>
        <w:rPr>
          <w:rFonts w:ascii="Verdana" w:hAnsi="Verdana"/>
          <w:sz w:val="20"/>
          <w:szCs w:val="20"/>
        </w:rPr>
        <w:t xml:space="preserve"> 78</w:t>
      </w:r>
      <w:r w:rsidR="004528D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05FB29C4" w14:textId="77777777" w:rsidR="009B2789" w:rsidRDefault="009B2789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4B30C17" w14:textId="77777777" w:rsidR="00DF202B" w:rsidRDefault="000026E7" w:rsidP="00DF202B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Adults 18+ Who Plan an Interior Home Improvement Paint Project* and </w:t>
      </w:r>
    </w:p>
    <w:p w14:paraId="0E5CF0BD" w14:textId="49B7FD7D" w:rsidR="000026E7" w:rsidRPr="005D1511" w:rsidRDefault="000026E7" w:rsidP="00DF202B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Their Workplace Status, by Indices,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1986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1498"/>
        <w:gridCol w:w="1498"/>
        <w:gridCol w:w="1501"/>
        <w:gridCol w:w="1498"/>
        <w:gridCol w:w="1498"/>
      </w:tblGrid>
      <w:tr w:rsidR="000026E7" w:rsidRPr="005D1511" w14:paraId="2C38E12D" w14:textId="77777777" w:rsidTr="00E06A67">
        <w:trPr>
          <w:jc w:val="center"/>
        </w:trPr>
        <w:tc>
          <w:tcPr>
            <w:tcW w:w="449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E8C456C" w14:textId="3CB3A7FF" w:rsidR="000026E7" w:rsidRPr="004815C1" w:rsidRDefault="000026E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Workplace Status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6501402" w14:textId="77777777" w:rsidR="000026E7" w:rsidRPr="004815C1" w:rsidRDefault="000026E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91C470D" w14:textId="6405CC51" w:rsidR="000026E7" w:rsidRPr="004815C1" w:rsidRDefault="00E06A6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CDE8BA6" w14:textId="2A61B2F5" w:rsidR="000026E7" w:rsidRPr="004815C1" w:rsidRDefault="00E06A6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Minneapolis-St. Paul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0A0358C" w14:textId="23AAF6DE" w:rsidR="000026E7" w:rsidRPr="004815C1" w:rsidRDefault="00E06A6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D331851" w14:textId="365B00D0" w:rsidR="000026E7" w:rsidRPr="004815C1" w:rsidRDefault="000026E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4045A6" w:rsidRPr="005D1511" w14:paraId="50C9ED47" w14:textId="77777777" w:rsidTr="004045A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9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D2337AB" w14:textId="57536131" w:rsidR="000026E7" w:rsidRPr="004815C1" w:rsidRDefault="000026E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Employed full-time, work from home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B1B5710" w14:textId="45D6E9D1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2E7E6A5" w14:textId="544C7435" w:rsidR="000026E7" w:rsidRPr="004815C1" w:rsidRDefault="004528DF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50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587F5B8" w14:textId="5F7EDC9C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BEA9360" w14:textId="27C25615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1248332" w14:textId="4F03A9C2" w:rsidR="000026E7" w:rsidRPr="004815C1" w:rsidRDefault="00E06A6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162</w:t>
            </w:r>
          </w:p>
        </w:tc>
      </w:tr>
      <w:tr w:rsidR="004045A6" w:rsidRPr="005D1511" w14:paraId="052AD7A2" w14:textId="77777777" w:rsidTr="004045A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1883ED" w14:textId="61FFBF8B" w:rsidR="000026E7" w:rsidRPr="004815C1" w:rsidRDefault="000026E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Employed part-time, work from home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389E894" w14:textId="606AE00D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CAC2233" w14:textId="522845A6" w:rsidR="000026E7" w:rsidRPr="004815C1" w:rsidRDefault="004528DF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2A8CD5A" w14:textId="5C6C79B4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0DAD2D6" w14:textId="6D933D19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65D706C0" w14:textId="0586568E" w:rsidR="000026E7" w:rsidRPr="00B00624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182</w:t>
            </w:r>
          </w:p>
        </w:tc>
      </w:tr>
      <w:tr w:rsidR="004045A6" w:rsidRPr="005D1511" w14:paraId="4FFFFF1F" w14:textId="77777777" w:rsidTr="004045A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79F25A9" w14:textId="0E464599" w:rsidR="000026E7" w:rsidRPr="004815C1" w:rsidRDefault="000026E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Employed full-time, not work from home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F74ACFF" w14:textId="16DD75CB" w:rsidR="000026E7" w:rsidRPr="004815C1" w:rsidRDefault="00E06A6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A1D7BFF" w14:textId="211213A2" w:rsidR="000026E7" w:rsidRPr="004815C1" w:rsidRDefault="004528DF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282A9272" w14:textId="51A6D6DA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440EAB9" w14:textId="618A4F14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49795D60" w14:textId="2CD24CD1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</w:t>
            </w:r>
          </w:p>
        </w:tc>
      </w:tr>
      <w:tr w:rsidR="004045A6" w:rsidRPr="005D1511" w14:paraId="48D0AD2F" w14:textId="77777777" w:rsidTr="004045A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AEB1A89" w14:textId="6274D78A" w:rsidR="000026E7" w:rsidRPr="004815C1" w:rsidRDefault="000026E7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Employed part-time, not work from home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865BE2F" w14:textId="21DFF6BF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23DBE56" w14:textId="2A316A44" w:rsidR="000026E7" w:rsidRPr="004815C1" w:rsidRDefault="004528DF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5BB91A0" w14:textId="2F5CD5EA" w:rsidR="000026E7" w:rsidRPr="00B00624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67CEA3A7" w14:textId="6D0AB872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7D693985" w14:textId="2EEB8639" w:rsidR="000026E7" w:rsidRPr="004815C1" w:rsidRDefault="00E06A67" w:rsidP="005642F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58</w:t>
            </w:r>
          </w:p>
        </w:tc>
      </w:tr>
    </w:tbl>
    <w:p w14:paraId="0890C64F" w14:textId="34F4A6F3" w:rsidR="000026E7" w:rsidRPr="00F74B23" w:rsidRDefault="000026E7" w:rsidP="000026E7">
      <w:pPr>
        <w:spacing w:after="0" w:line="240" w:lineRule="auto"/>
        <w:ind w:hanging="900"/>
        <w:contextualSpacing/>
        <w:mirrorIndents/>
        <w:rPr>
          <w:rFonts w:ascii="Verdana" w:hAnsi="Verdana"/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3142">
        <w:rPr>
          <w:sz w:val="16"/>
          <w:szCs w:val="16"/>
        </w:rPr>
        <w:t>*</w:t>
      </w:r>
      <w:r>
        <w:rPr>
          <w:rFonts w:ascii="Verdana" w:eastAsia="Times New Roman" w:hAnsi="Verdana"/>
          <w:sz w:val="16"/>
          <w:szCs w:val="16"/>
        </w:rPr>
        <w:t>during the next 12 months</w:t>
      </w:r>
    </w:p>
    <w:p w14:paraId="0D5AA022" w14:textId="77777777" w:rsidR="009B2789" w:rsidRDefault="009B2789" w:rsidP="007C7B7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E78BE3A" w14:textId="06A8C885" w:rsidR="007C7B76" w:rsidRPr="00C12491" w:rsidRDefault="00B2342A" w:rsidP="00C12491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 xml:space="preserve">Consumer </w:t>
      </w:r>
      <w:r w:rsidR="007C7B76" w:rsidRPr="00C12491">
        <w:rPr>
          <w:rFonts w:ascii="Verdana" w:hAnsi="Verdana"/>
          <w:b/>
          <w:bCs/>
          <w:color w:val="0070C0"/>
          <w:sz w:val="20"/>
          <w:szCs w:val="20"/>
        </w:rPr>
        <w:t>Window Replacement Trends</w:t>
      </w:r>
    </w:p>
    <w:p w14:paraId="286AC9F6" w14:textId="77777777" w:rsidR="00F94CE8" w:rsidRPr="007C7B76" w:rsidRDefault="00F94CE8" w:rsidP="007C7B76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6F431E97" w:rsidR="00F94CE8" w:rsidRDefault="00F207EC" w:rsidP="007C7B76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Analyzing the same five 2021 consumer/market surveys from The Media Audit shows the average </w:t>
      </w:r>
      <w:r w:rsidR="00E8013A"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  <w:sz w:val="20"/>
          <w:szCs w:val="20"/>
        </w:rPr>
        <w:t>of adults 18+ planning to replace windows during the next 12 months is 42.3 and their average income is $73,730.</w:t>
      </w:r>
    </w:p>
    <w:p w14:paraId="5AFC8E2A" w14:textId="25E6D15A" w:rsidR="00F207EC" w:rsidRDefault="00F207EC" w:rsidP="007C7B76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2FA3959" w14:textId="4A7D6CDF" w:rsidR="00F207EC" w:rsidRDefault="00F207EC" w:rsidP="007C7B76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Unsurprisingly, Millennials over-index</w:t>
      </w:r>
      <w:r w:rsidR="00E8013A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the most for a window-replacement project with an average of 141.4, but Gen Zers were slightly under-indexed at an average of 98. Gen Xers, Baby Boomers and </w:t>
      </w:r>
      <w:r w:rsidR="007D210C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Silent Generation all under-indexed by at least 23 points. </w:t>
      </w:r>
    </w:p>
    <w:p w14:paraId="71AA2F8E" w14:textId="77777777" w:rsidR="00D44EBF" w:rsidRDefault="00D44EBF" w:rsidP="007C7B76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86A6562" w14:textId="5F25B909" w:rsidR="002D3EF4" w:rsidRDefault="002D3EF4" w:rsidP="002D3EF4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Adults 18+ Who Plan </w:t>
      </w:r>
      <w:r w:rsidR="002B754C">
        <w:rPr>
          <w:b/>
          <w:bCs/>
          <w:sz w:val="20"/>
          <w:szCs w:val="20"/>
        </w:rPr>
        <w:t xml:space="preserve">a Window-Replacement </w:t>
      </w:r>
      <w:r>
        <w:rPr>
          <w:b/>
          <w:bCs/>
          <w:sz w:val="20"/>
          <w:szCs w:val="20"/>
        </w:rPr>
        <w:t xml:space="preserve">Project* and </w:t>
      </w:r>
    </w:p>
    <w:p w14:paraId="44C02ADB" w14:textId="502F5BDD" w:rsidR="002D3EF4" w:rsidRPr="005D1511" w:rsidRDefault="002D3EF4" w:rsidP="002D3EF4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Their Heavy Exposure to Media, by Indices,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182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1498"/>
        <w:gridCol w:w="1498"/>
        <w:gridCol w:w="1501"/>
        <w:gridCol w:w="1498"/>
        <w:gridCol w:w="1498"/>
      </w:tblGrid>
      <w:tr w:rsidR="002D3EF4" w:rsidRPr="005D1511" w14:paraId="248157AC" w14:textId="77777777" w:rsidTr="002D3EF4">
        <w:trPr>
          <w:jc w:val="center"/>
        </w:trPr>
        <w:tc>
          <w:tcPr>
            <w:tcW w:w="43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B38EDA0" w14:textId="66F3B006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200D356" w14:textId="77777777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4B87DA2" w14:textId="77777777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Nashville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4B87F33" w14:textId="77777777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Minneapolis-St. Paul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4F4AF14" w14:textId="77777777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9ED6D27" w14:textId="77777777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2D3EF4" w:rsidRPr="005D1511" w14:paraId="1F0A1A94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10D278C" w14:textId="2422090A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Radio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(180+ min. during avg. day)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0B2D2F7" w14:textId="56B10CCB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275434E9" w14:textId="1F332226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95</w:t>
            </w:r>
          </w:p>
        </w:tc>
        <w:tc>
          <w:tcPr>
            <w:tcW w:w="1501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7E86B0" w14:textId="4450C868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502090B" w14:textId="0EE51B36" w:rsidR="002D3EF4" w:rsidRPr="004815C1" w:rsidRDefault="002D3EF4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A21D58C" w14:textId="7D77E103" w:rsidR="002D3EF4" w:rsidRPr="004815C1" w:rsidRDefault="002B754C" w:rsidP="00584E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142</w:t>
            </w:r>
          </w:p>
        </w:tc>
      </w:tr>
      <w:tr w:rsidR="002D3EF4" w:rsidRPr="005D1511" w14:paraId="6CAE4BEC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1AA5483" w14:textId="6D9A132D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TV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(300+ min. during avg. day)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E7920FF" w14:textId="38DE6BE5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7F3B6B1" w14:textId="684F861D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BB49F43" w14:textId="7184AA45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B4E8397" w14:textId="01F08F26" w:rsidR="002D3EF4" w:rsidRPr="004815C1" w:rsidRDefault="002D3EF4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E1AFECF" w14:textId="516BFD71" w:rsidR="002D3EF4" w:rsidRPr="00B0062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</w:tr>
      <w:tr w:rsidR="002D3EF4" w:rsidRPr="005D1511" w14:paraId="66D86431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33C0184" w14:textId="7B5B86D7" w:rsidR="002D3EF4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Newspaper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(60+ min. during avg. day)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10131905" w14:textId="35232B47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7B39627" w14:textId="73D7DBB8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4F943EFE" w14:textId="5425E8D1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541748A" w14:textId="6BD8DEC7" w:rsidR="002D3EF4" w:rsidRDefault="002D3EF4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3B207294" w14:textId="16E6BB74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228</w:t>
            </w:r>
          </w:p>
        </w:tc>
      </w:tr>
      <w:tr w:rsidR="002D3EF4" w:rsidRPr="005D1511" w14:paraId="0AC827B9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94A6B09" w14:textId="0D032FB1" w:rsidR="002D3EF4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Outdoor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(200+ miles during avg. week)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6F910D5" w14:textId="34749A91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C07B00B" w14:textId="31ABBC01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DF968CA" w14:textId="3CCDEB8D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4360292" w14:textId="5657CDE0" w:rsidR="002D3EF4" w:rsidRDefault="002D3EF4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70D782C" w14:textId="709266B2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</w:tr>
      <w:tr w:rsidR="002D3EF4" w:rsidRPr="005D1511" w14:paraId="09DC13FA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B320340" w14:textId="6065CE50" w:rsidR="002D3EF4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Direct mail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(read 75%+ weekly)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8B37788" w14:textId="24D1A472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7FD689B" w14:textId="1F5785B1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FA2F819" w14:textId="48BE0B4B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1A149F3E" w14:textId="7D37C593" w:rsidR="002D3EF4" w:rsidRDefault="002D3EF4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242DBDEE" w14:textId="59BA08D1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175</w:t>
            </w:r>
          </w:p>
        </w:tc>
      </w:tr>
      <w:tr w:rsidR="002D3EF4" w:rsidRPr="005D1511" w14:paraId="104B9446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5DC70D1" w14:textId="1DD1876A" w:rsidR="002D3EF4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Internet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(180+ min. during typ. day)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4E0C3DC" w14:textId="370BD7FA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DC6C921" w14:textId="68611126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E1EDAB7" w14:textId="299DF87D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0B995B2" w14:textId="2244C281" w:rsidR="002D3EF4" w:rsidRDefault="002D3EF4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AB080D6" w14:textId="6E22FDA2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</w:tr>
      <w:tr w:rsidR="002D3EF4" w:rsidRPr="005D1511" w14:paraId="251E2CB0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379B382" w14:textId="2EA7060E" w:rsidR="002D3EF4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Social media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(180+ min. during typ. day)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EE862E2" w14:textId="4B6028B1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4426698B" w14:textId="5680907D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0ABD37D" w14:textId="5AF20506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ADD1BA8" w14:textId="7580A522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F7ACD2D" w14:textId="2D846032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</w:tr>
      <w:tr w:rsidR="002D3EF4" w:rsidRPr="005D1511" w14:paraId="347EA8A4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657CD6F" w14:textId="4BCEFA21" w:rsidR="002D3EF4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Audio streaming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(180+ min. during typ. day)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170DD55" w14:textId="2F14D3B7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1E8070F" w14:textId="58A0E5B8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D63839F" w14:textId="2DC4EC30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DBD34F1" w14:textId="3130B2F5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EA4D4A6" w14:textId="7F58F13E" w:rsidR="002D3EF4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151</w:t>
            </w:r>
          </w:p>
        </w:tc>
      </w:tr>
      <w:tr w:rsidR="002D3EF4" w:rsidRPr="005D1511" w14:paraId="129F7AE7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5A39F55" w14:textId="2A3FB550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Video streaming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(180+ min. during typ. day)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12470CC" w14:textId="3236C614" w:rsidR="002D3EF4" w:rsidRPr="004815C1" w:rsidRDefault="002B754C" w:rsidP="00584E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E0811C3" w14:textId="32C499F0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69E1C89" w14:textId="190C1084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AB9A489" w14:textId="5D2D5709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EEA03C6" w14:textId="3D8ADB94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142</w:t>
            </w:r>
          </w:p>
        </w:tc>
      </w:tr>
      <w:tr w:rsidR="00584EF6" w:rsidRPr="005D1511" w14:paraId="0A3B8354" w14:textId="77777777" w:rsidTr="00584EF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B3ABDB2" w14:textId="7F671920" w:rsidR="002D3EF4" w:rsidRPr="004815C1" w:rsidRDefault="002D3EF4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Podcast listening </w:t>
            </w:r>
            <w:r w:rsidRPr="002D3EF4">
              <w:rPr>
                <w:rFonts w:ascii="Verdana" w:eastAsia="Times New Roman" w:hAnsi="Verdana"/>
                <w:sz w:val="16"/>
                <w:szCs w:val="16"/>
              </w:rPr>
              <w:t>(180+ min. during avg. day)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678C1DF8" w14:textId="66A53394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56697CD" w14:textId="1CEA6F56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4BDA4BBE" w14:textId="218A2605" w:rsidR="002B754C" w:rsidRPr="002B754C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098A1AD" w14:textId="19712DE0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4A7F21AB" w14:textId="29A3EA29" w:rsidR="002D3EF4" w:rsidRPr="004815C1" w:rsidRDefault="002B754C" w:rsidP="00584EF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281</w:t>
            </w:r>
          </w:p>
        </w:tc>
      </w:tr>
    </w:tbl>
    <w:p w14:paraId="2829D7B4" w14:textId="77777777" w:rsidR="002D3EF4" w:rsidRPr="00F74B23" w:rsidRDefault="002D3EF4" w:rsidP="002D3EF4">
      <w:pPr>
        <w:spacing w:after="0" w:line="240" w:lineRule="auto"/>
        <w:ind w:hanging="900"/>
        <w:contextualSpacing/>
        <w:mirrorIndents/>
        <w:rPr>
          <w:rFonts w:ascii="Verdana" w:hAnsi="Verdana"/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3142">
        <w:rPr>
          <w:sz w:val="16"/>
          <w:szCs w:val="16"/>
        </w:rPr>
        <w:t>*</w:t>
      </w:r>
      <w:r>
        <w:rPr>
          <w:rFonts w:ascii="Verdana" w:eastAsia="Times New Roman" w:hAnsi="Verdana"/>
          <w:sz w:val="16"/>
          <w:szCs w:val="16"/>
        </w:rPr>
        <w:t>during the next 12 months</w:t>
      </w:r>
    </w:p>
    <w:p w14:paraId="09C7777A" w14:textId="77777777" w:rsidR="00F207EC" w:rsidRPr="007C7B76" w:rsidRDefault="00F207EC" w:rsidP="007C7B76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18411C0" w14:textId="6E74F529" w:rsidR="00F94CE8" w:rsidRDefault="00FB418C" w:rsidP="00C74115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17EE2533" w14:textId="77777777" w:rsidR="00C74115" w:rsidRPr="00C74115" w:rsidRDefault="00C74115" w:rsidP="005E07F6">
      <w:pPr>
        <w:pStyle w:val="NoSpacing"/>
        <w:contextualSpacing/>
        <w:rPr>
          <w:b/>
          <w:color w:val="0070C0"/>
          <w:sz w:val="20"/>
          <w:szCs w:val="20"/>
        </w:rPr>
      </w:pPr>
    </w:p>
    <w:p w14:paraId="22F81A01" w14:textId="5677AFE2" w:rsidR="005313C5" w:rsidRDefault="005313C5" w:rsidP="005313C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 Manufacturers and Dealers in J.D. Power 202</w:t>
      </w:r>
      <w:r w:rsidR="00C74115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US Window and </w:t>
      </w:r>
    </w:p>
    <w:p w14:paraId="230A67A4" w14:textId="3B7351BE" w:rsidR="005313C5" w:rsidRPr="00CC1ECE" w:rsidRDefault="005313C5" w:rsidP="005313C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Patio Doors Satisfaction Study</w:t>
      </w:r>
      <w:r w:rsidRPr="00710C26">
        <w:rPr>
          <w:rFonts w:ascii="Verdana" w:hAnsi="Verdana"/>
          <w:b/>
          <w:sz w:val="20"/>
          <w:szCs w:val="20"/>
          <w:vertAlign w:val="superscript"/>
        </w:rPr>
        <w:t>SM</w:t>
      </w:r>
      <w:r>
        <w:rPr>
          <w:rFonts w:ascii="Verdana" w:hAnsi="Verdana"/>
          <w:b/>
          <w:sz w:val="20"/>
          <w:szCs w:val="20"/>
        </w:rPr>
        <w:t>, January–May 202</w:t>
      </w:r>
      <w:r w:rsidR="00C74115">
        <w:rPr>
          <w:rFonts w:ascii="Verdana" w:hAnsi="Verdana"/>
          <w:b/>
          <w:sz w:val="20"/>
          <w:szCs w:val="20"/>
        </w:rPr>
        <w:t>1</w:t>
      </w:r>
    </w:p>
    <w:tbl>
      <w:tblPr>
        <w:tblW w:w="908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1170"/>
        <w:gridCol w:w="3370"/>
        <w:gridCol w:w="1170"/>
      </w:tblGrid>
      <w:tr w:rsidR="005313C5" w:rsidRPr="00CC1ECE" w14:paraId="6CEB057C" w14:textId="77777777" w:rsidTr="005C1638">
        <w:trPr>
          <w:jc w:val="center"/>
        </w:trPr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136B8CC" w14:textId="77777777" w:rsidR="005313C5" w:rsidRPr="00CC1ECE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Manufacturer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B5C491F" w14:textId="77777777" w:rsidR="005313C5" w:rsidRPr="00CC1ECE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Score*</w:t>
            </w:r>
          </w:p>
        </w:tc>
        <w:tc>
          <w:tcPr>
            <w:tcW w:w="337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E6DEA06" w14:textId="77777777" w:rsidR="005313C5" w:rsidRPr="00CC1ECE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Retailer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9B7D820" w14:textId="77777777" w:rsidR="005313C5" w:rsidRPr="00CC1ECE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Score*</w:t>
            </w:r>
          </w:p>
        </w:tc>
      </w:tr>
      <w:tr w:rsidR="005313C5" w:rsidRPr="00CC1ECE" w14:paraId="21509E85" w14:textId="77777777" w:rsidTr="00915410">
        <w:trPr>
          <w:trHeight w:val="243"/>
          <w:jc w:val="center"/>
        </w:trPr>
        <w:tc>
          <w:tcPr>
            <w:tcW w:w="337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F3E594A" w14:textId="77777777" w:rsidR="005313C5" w:rsidRPr="00CC1ECE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Renewal by Andersen</w:t>
            </w:r>
          </w:p>
        </w:tc>
        <w:tc>
          <w:tcPr>
            <w:tcW w:w="117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65F42D71" w14:textId="305468F9" w:rsidR="005313C5" w:rsidRPr="00CC1ECE" w:rsidRDefault="005C163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886</w:t>
            </w:r>
          </w:p>
        </w:tc>
        <w:tc>
          <w:tcPr>
            <w:tcW w:w="337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38045C7" w14:textId="77777777" w:rsidR="005313C5" w:rsidRPr="00CC1ECE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Renewal by Andersen</w:t>
            </w:r>
          </w:p>
        </w:tc>
        <w:tc>
          <w:tcPr>
            <w:tcW w:w="117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4B01DB8D" w14:textId="5AB2F8F1" w:rsidR="005313C5" w:rsidRPr="00CC1ECE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</w:t>
            </w:r>
            <w:r w:rsidR="005C1638">
              <w:rPr>
                <w:rFonts w:ascii="Verdana" w:eastAsia="Times New Roman" w:hAnsi="Verdana"/>
                <w:sz w:val="20"/>
                <w:szCs w:val="20"/>
              </w:rPr>
              <w:t>76</w:t>
            </w:r>
          </w:p>
        </w:tc>
      </w:tr>
      <w:tr w:rsidR="005313C5" w:rsidRPr="00CC1ECE" w14:paraId="763CDF46" w14:textId="77777777" w:rsidTr="00915410">
        <w:trPr>
          <w:trHeight w:val="243"/>
          <w:jc w:val="center"/>
        </w:trPr>
        <w:tc>
          <w:tcPr>
            <w:tcW w:w="33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CDE162E" w14:textId="095A1A59" w:rsidR="005313C5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#2: </w:t>
            </w:r>
            <w:r w:rsidR="005C1638">
              <w:rPr>
                <w:rFonts w:ascii="Verdana" w:eastAsia="Times New Roman" w:hAnsi="Verdana"/>
                <w:sz w:val="20"/>
                <w:szCs w:val="20"/>
              </w:rPr>
              <w:t xml:space="preserve">American Craftsman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F05AF96" w14:textId="7D73056D" w:rsidR="005313C5" w:rsidRDefault="005C163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82DF544" w14:textId="1AEF2DC1" w:rsidR="005313C5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#2: </w:t>
            </w:r>
            <w:r w:rsidR="005C1638">
              <w:rPr>
                <w:rFonts w:ascii="Verdana" w:eastAsia="Times New Roman" w:hAnsi="Verdana"/>
                <w:sz w:val="20"/>
                <w:szCs w:val="20"/>
              </w:rPr>
              <w:t xml:space="preserve">The Home Depot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16272180" w14:textId="16BD2BAF" w:rsidR="005313C5" w:rsidRDefault="005C163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876</w:t>
            </w:r>
          </w:p>
        </w:tc>
      </w:tr>
      <w:tr w:rsidR="005313C5" w:rsidRPr="00CC1ECE" w14:paraId="3793A67B" w14:textId="77777777" w:rsidTr="00915410">
        <w:trPr>
          <w:trHeight w:val="243"/>
          <w:jc w:val="center"/>
        </w:trPr>
        <w:tc>
          <w:tcPr>
            <w:tcW w:w="33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84E6DFA" w14:textId="6DF50A4C" w:rsidR="005313C5" w:rsidRDefault="005313C5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#3: </w:t>
            </w:r>
            <w:r w:rsidR="005C1638">
              <w:rPr>
                <w:rFonts w:ascii="Verdana" w:eastAsia="Times New Roman" w:hAnsi="Verdana"/>
                <w:sz w:val="20"/>
                <w:szCs w:val="20"/>
              </w:rPr>
              <w:t>Milgard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3DDD8E1" w14:textId="0549BC45" w:rsidR="005313C5" w:rsidRDefault="005C163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0D5E709" w14:textId="2DCCED8C" w:rsidR="005313C5" w:rsidRDefault="005C163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Window World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690D200E" w14:textId="68123B3C" w:rsidR="005313C5" w:rsidRDefault="005C1638" w:rsidP="005642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874</w:t>
            </w:r>
          </w:p>
        </w:tc>
      </w:tr>
      <w:tr w:rsidR="005C1638" w:rsidRPr="00CC1ECE" w14:paraId="0B393D00" w14:textId="77777777" w:rsidTr="00915410">
        <w:trPr>
          <w:trHeight w:val="243"/>
          <w:jc w:val="center"/>
        </w:trPr>
        <w:tc>
          <w:tcPr>
            <w:tcW w:w="33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6669E04" w14:textId="41A1970C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Marvin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9C8D76C" w14:textId="45B64B4B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48FD0727" w14:textId="3EA7C45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Industry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E08307F" w14:textId="6474139A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860</w:t>
            </w:r>
          </w:p>
        </w:tc>
      </w:tr>
      <w:tr w:rsidR="005C1638" w:rsidRPr="00CC1ECE" w14:paraId="5BB343A5" w14:textId="77777777" w:rsidTr="00915410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2DE5D9B4" w14:textId="04206522" w:rsidR="005C1638" w:rsidRPr="00CC1ECE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Industry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BE5F1" w:themeFill="accent1" w:themeFillTint="33"/>
            <w:vAlign w:val="center"/>
          </w:tcPr>
          <w:p w14:paraId="65DDAAC6" w14:textId="16B1AF1B" w:rsidR="005C1638" w:rsidRPr="00CC1ECE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3ED6CB6" w14:textId="77777777" w:rsidR="005C1638" w:rsidRPr="00CC1ECE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Lowe’s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670427B" w14:textId="53CE3BAC" w:rsidR="005C1638" w:rsidRPr="00CC1ECE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826</w:t>
            </w:r>
          </w:p>
        </w:tc>
      </w:tr>
      <w:tr w:rsidR="005C1638" w:rsidRPr="00CC1ECE" w14:paraId="3AD8E92E" w14:textId="77777777" w:rsidTr="00915410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F8B294F" w14:textId="042F4DCE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Andersen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8BCBE3A" w14:textId="25C8908F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1BDA7ABC" w14:textId="6594FE64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7A33299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C1638" w:rsidRPr="00CC1ECE" w14:paraId="4D967A1D" w14:textId="77777777" w:rsidTr="00915410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0F60649" w14:textId="6CE4BD72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Pella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495BCACD" w14:textId="1E44BBC5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18001B9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CEFB97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C1638" w:rsidRPr="00CC1ECE" w14:paraId="4562AEB4" w14:textId="77777777" w:rsidTr="00915410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9C9D134" w14:textId="63F41C4A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Crestline (Weather Shield)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5E6B988C" w14:textId="26EE3886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0C818D6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6DABBF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C1638" w:rsidRPr="00CC1ECE" w14:paraId="4DBD1DBA" w14:textId="77777777" w:rsidTr="00915410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DDD8DC8" w14:textId="6DDC134C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JELD-WEN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795178E" w14:textId="4B9197E3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5DB5A3FC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C60EEFD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C1638" w:rsidRPr="00CC1ECE" w14:paraId="0AD41073" w14:textId="77777777" w:rsidTr="00915410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55416C9" w14:textId="3F34A670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Champion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35FB022C" w14:textId="10D265AE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798F3436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D300D8" w14:textId="77777777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C1638" w:rsidRPr="00CC1ECE" w14:paraId="623CDECE" w14:textId="77777777" w:rsidTr="00915410">
        <w:trPr>
          <w:trHeight w:val="54"/>
          <w:jc w:val="center"/>
        </w:trPr>
        <w:tc>
          <w:tcPr>
            <w:tcW w:w="33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736FE6A" w14:textId="7801BD7D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Harvey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63CAEA71" w14:textId="40D4DE9F" w:rsidR="005C1638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7A90EB41" w14:textId="77777777" w:rsidR="005C1638" w:rsidRPr="00CC1ECE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9E26A2" w14:textId="77777777" w:rsidR="005C1638" w:rsidRPr="00CC1ECE" w:rsidRDefault="005C1638" w:rsidP="005C16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543C6964" w14:textId="74810FEA" w:rsidR="005313C5" w:rsidRDefault="005313C5" w:rsidP="005E07F6">
      <w:pPr>
        <w:tabs>
          <w:tab w:val="left" w:pos="18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J.D. Power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August 202</w:t>
      </w:r>
      <w:r w:rsidR="005E07F6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*based on a 1,000-point scale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0AD1661A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E46A413" w14:textId="17114253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0C2A2054" w14:textId="4726F681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3CCB9159" w14:textId="6893DF0B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0BE08F6D" w14:textId="40EB07B0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1392C288" w14:textId="003D9BD9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56908F66" w14:textId="02DA2569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05D9D77C" w14:textId="112C5538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6CCDED0B" w14:textId="330BBA4B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1CED7F43" w14:textId="77777777" w:rsidR="00A50A35" w:rsidRDefault="00A50A35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6DA91682" w:rsidR="00F94CE8" w:rsidRPr="00A50A35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A50A35">
        <w:rPr>
          <w:rFonts w:ascii="Verdana" w:hAnsi="Verdana"/>
          <w:i/>
          <w:sz w:val="16"/>
          <w:szCs w:val="16"/>
        </w:rPr>
        <w:t>Sources:</w:t>
      </w:r>
      <w:r w:rsidRPr="00A50A35">
        <w:rPr>
          <w:rFonts w:ascii="Verdana" w:hAnsi="Verdana"/>
          <w:sz w:val="16"/>
          <w:szCs w:val="16"/>
        </w:rPr>
        <w:t xml:space="preserve"> </w:t>
      </w:r>
      <w:r w:rsidR="00A50A35" w:rsidRPr="00A50A35">
        <w:rPr>
          <w:sz w:val="16"/>
          <w:szCs w:val="16"/>
        </w:rPr>
        <w:t>Builder</w:t>
      </w:r>
      <w:r w:rsidR="00A50A35" w:rsidRPr="00A50A35">
        <w:rPr>
          <w:rFonts w:ascii="Verdana" w:hAnsi="Verdana"/>
          <w:sz w:val="16"/>
          <w:szCs w:val="16"/>
        </w:rPr>
        <w:t xml:space="preserve"> </w:t>
      </w:r>
      <w:r w:rsidRPr="00A50A35">
        <w:rPr>
          <w:rFonts w:ascii="Verdana" w:hAnsi="Verdana"/>
          <w:sz w:val="16"/>
          <w:szCs w:val="16"/>
        </w:rPr>
        <w:t xml:space="preserve">Website, </w:t>
      </w:r>
      <w:r w:rsidR="005F19E9" w:rsidRPr="00A50A35">
        <w:rPr>
          <w:rFonts w:ascii="Verdana" w:hAnsi="Verdana"/>
          <w:sz w:val="16"/>
          <w:szCs w:val="16"/>
        </w:rPr>
        <w:t>2</w:t>
      </w:r>
      <w:r w:rsidR="00306D88" w:rsidRPr="00A50A35">
        <w:rPr>
          <w:rFonts w:ascii="Verdana" w:hAnsi="Verdana"/>
          <w:sz w:val="16"/>
          <w:szCs w:val="16"/>
        </w:rPr>
        <w:t>/</w:t>
      </w:r>
      <w:r w:rsidR="00AE6B2A" w:rsidRPr="00A50A35">
        <w:rPr>
          <w:rFonts w:ascii="Verdana" w:hAnsi="Verdana"/>
          <w:sz w:val="16"/>
          <w:szCs w:val="16"/>
        </w:rPr>
        <w:t>2</w:t>
      </w:r>
      <w:r w:rsidR="00C8473A" w:rsidRPr="00A50A35">
        <w:rPr>
          <w:rFonts w:ascii="Verdana" w:hAnsi="Verdana"/>
          <w:sz w:val="16"/>
          <w:szCs w:val="16"/>
        </w:rPr>
        <w:t>2</w:t>
      </w:r>
      <w:r w:rsidRPr="00A50A35">
        <w:rPr>
          <w:rFonts w:ascii="Verdana" w:hAnsi="Verdana"/>
          <w:sz w:val="16"/>
          <w:szCs w:val="16"/>
        </w:rPr>
        <w:t xml:space="preserve">; </w:t>
      </w:r>
      <w:r w:rsidR="00A50A35" w:rsidRPr="00A50A35">
        <w:rPr>
          <w:sz w:val="16"/>
          <w:szCs w:val="16"/>
        </w:rPr>
        <w:t xml:space="preserve">National Association of Home Builders </w:t>
      </w:r>
      <w:r w:rsidRPr="00A50A35">
        <w:rPr>
          <w:rFonts w:ascii="Verdana" w:hAnsi="Verdana"/>
          <w:sz w:val="16"/>
          <w:szCs w:val="16"/>
        </w:rPr>
        <w:t xml:space="preserve">Website, </w:t>
      </w:r>
      <w:r w:rsidR="005F19E9" w:rsidRPr="00A50A35">
        <w:rPr>
          <w:rFonts w:ascii="Verdana" w:hAnsi="Verdana"/>
          <w:sz w:val="16"/>
          <w:szCs w:val="16"/>
        </w:rPr>
        <w:t>2</w:t>
      </w:r>
      <w:r w:rsidR="004E421A" w:rsidRPr="00A50A35">
        <w:rPr>
          <w:rFonts w:ascii="Verdana" w:hAnsi="Verdana"/>
          <w:sz w:val="16"/>
          <w:szCs w:val="16"/>
        </w:rPr>
        <w:t>/</w:t>
      </w:r>
      <w:r w:rsidR="00AE6B2A" w:rsidRPr="00A50A35">
        <w:rPr>
          <w:rFonts w:ascii="Verdana" w:hAnsi="Verdana"/>
          <w:sz w:val="16"/>
          <w:szCs w:val="16"/>
        </w:rPr>
        <w:t>2</w:t>
      </w:r>
      <w:r w:rsidR="00C8473A" w:rsidRPr="00A50A35">
        <w:rPr>
          <w:rFonts w:ascii="Verdana" w:hAnsi="Verdana"/>
          <w:sz w:val="16"/>
          <w:szCs w:val="16"/>
        </w:rPr>
        <w:t>2</w:t>
      </w:r>
      <w:r w:rsidRPr="00A50A35">
        <w:rPr>
          <w:rFonts w:ascii="Verdana" w:hAnsi="Verdana"/>
          <w:sz w:val="16"/>
          <w:szCs w:val="16"/>
        </w:rPr>
        <w:t xml:space="preserve">; </w:t>
      </w:r>
      <w:r w:rsidR="00A50A35" w:rsidRPr="00A50A35">
        <w:rPr>
          <w:sz w:val="16"/>
          <w:szCs w:val="16"/>
        </w:rPr>
        <w:t xml:space="preserve">The Joint Center for Housing Studies of Harvard University </w:t>
      </w:r>
      <w:r w:rsidRPr="00A50A35">
        <w:rPr>
          <w:rFonts w:ascii="Verdana" w:hAnsi="Verdana"/>
          <w:sz w:val="16"/>
          <w:szCs w:val="16"/>
        </w:rPr>
        <w:t>Website</w:t>
      </w:r>
      <w:r w:rsidR="00A00453" w:rsidRPr="00A50A35">
        <w:rPr>
          <w:rFonts w:ascii="Verdana" w:hAnsi="Verdana"/>
          <w:sz w:val="16"/>
          <w:szCs w:val="16"/>
        </w:rPr>
        <w:t xml:space="preserve">, </w:t>
      </w:r>
      <w:r w:rsidR="005F19E9" w:rsidRPr="00A50A35">
        <w:rPr>
          <w:rFonts w:ascii="Verdana" w:hAnsi="Verdana"/>
          <w:sz w:val="16"/>
          <w:szCs w:val="16"/>
        </w:rPr>
        <w:t>2</w:t>
      </w:r>
      <w:r w:rsidR="00306D88" w:rsidRPr="00A50A35">
        <w:rPr>
          <w:rFonts w:ascii="Verdana" w:hAnsi="Verdana"/>
          <w:sz w:val="16"/>
          <w:szCs w:val="16"/>
        </w:rPr>
        <w:t>/</w:t>
      </w:r>
      <w:r w:rsidR="00AE6B2A" w:rsidRPr="00A50A35">
        <w:rPr>
          <w:rFonts w:ascii="Verdana" w:hAnsi="Verdana"/>
          <w:sz w:val="16"/>
          <w:szCs w:val="16"/>
        </w:rPr>
        <w:t>2</w:t>
      </w:r>
      <w:r w:rsidR="00C8473A" w:rsidRPr="00A50A35">
        <w:rPr>
          <w:rFonts w:ascii="Verdana" w:hAnsi="Verdana"/>
          <w:sz w:val="16"/>
          <w:szCs w:val="16"/>
        </w:rPr>
        <w:t>2</w:t>
      </w:r>
      <w:r w:rsidR="00A50A35">
        <w:rPr>
          <w:rFonts w:ascii="Verdana" w:hAnsi="Verdana"/>
          <w:sz w:val="16"/>
          <w:szCs w:val="16"/>
        </w:rPr>
        <w:t>;</w:t>
      </w:r>
      <w:r w:rsidR="00A50A35" w:rsidRPr="00A50A35">
        <w:rPr>
          <w:rFonts w:ascii="Verdana" w:hAnsi="Verdana"/>
          <w:sz w:val="16"/>
          <w:szCs w:val="16"/>
        </w:rPr>
        <w:t xml:space="preserve"> </w:t>
      </w:r>
      <w:r w:rsidR="00A50A35" w:rsidRPr="00A50A35">
        <w:rPr>
          <w:sz w:val="16"/>
          <w:szCs w:val="16"/>
        </w:rPr>
        <w:t>The Farnsworth Group Website</w:t>
      </w:r>
      <w:r w:rsidR="00A50A35" w:rsidRPr="00A50A35">
        <w:rPr>
          <w:rFonts w:ascii="Verdana" w:hAnsi="Verdana"/>
          <w:sz w:val="16"/>
          <w:szCs w:val="16"/>
        </w:rPr>
        <w:t>, 2/22</w:t>
      </w:r>
      <w:r w:rsidR="00A50A35">
        <w:rPr>
          <w:rFonts w:ascii="Verdana" w:hAnsi="Verdana"/>
          <w:sz w:val="16"/>
          <w:szCs w:val="16"/>
        </w:rPr>
        <w:t>;</w:t>
      </w:r>
      <w:r w:rsidR="00A50A35" w:rsidRPr="00A50A35">
        <w:rPr>
          <w:sz w:val="16"/>
          <w:szCs w:val="16"/>
        </w:rPr>
        <w:t xml:space="preserve"> </w:t>
      </w:r>
      <w:r w:rsidR="00A50A35" w:rsidRPr="00A50A35">
        <w:rPr>
          <w:i/>
          <w:iCs/>
          <w:sz w:val="16"/>
          <w:szCs w:val="16"/>
        </w:rPr>
        <w:t>Door and Window Market</w:t>
      </w:r>
      <w:r w:rsidR="00A50A35" w:rsidRPr="00A50A35">
        <w:rPr>
          <w:sz w:val="16"/>
          <w:szCs w:val="16"/>
        </w:rPr>
        <w:t xml:space="preserve"> Website</w:t>
      </w:r>
      <w:r w:rsidR="00A50A35" w:rsidRPr="00A50A35">
        <w:rPr>
          <w:rFonts w:ascii="Verdana" w:hAnsi="Verdana"/>
          <w:sz w:val="16"/>
          <w:szCs w:val="16"/>
        </w:rPr>
        <w:t>, 2/22</w:t>
      </w:r>
      <w:r w:rsidR="00A50A35">
        <w:rPr>
          <w:rFonts w:ascii="Verdana" w:hAnsi="Verdana"/>
          <w:sz w:val="16"/>
          <w:szCs w:val="16"/>
        </w:rPr>
        <w:t>;</w:t>
      </w:r>
      <w:r w:rsidR="00A50A35" w:rsidRPr="00A50A35">
        <w:rPr>
          <w:sz w:val="16"/>
          <w:szCs w:val="16"/>
        </w:rPr>
        <w:t xml:space="preserve"> Kitchen Cabinet Manufacturers Association Website</w:t>
      </w:r>
      <w:r w:rsidR="00A50A35" w:rsidRPr="00A50A35">
        <w:rPr>
          <w:rFonts w:ascii="Verdana" w:hAnsi="Verdana"/>
          <w:sz w:val="16"/>
          <w:szCs w:val="16"/>
        </w:rPr>
        <w:t>, 2/22</w:t>
      </w:r>
      <w:r w:rsidR="00A50A35">
        <w:rPr>
          <w:rFonts w:ascii="Verdana" w:hAnsi="Verdana"/>
          <w:sz w:val="16"/>
          <w:szCs w:val="16"/>
        </w:rPr>
        <w:t>;</w:t>
      </w:r>
      <w:r w:rsidR="00A50A35" w:rsidRPr="00A50A35">
        <w:rPr>
          <w:sz w:val="16"/>
          <w:szCs w:val="16"/>
        </w:rPr>
        <w:t xml:space="preserve"> Houzz Website</w:t>
      </w:r>
      <w:r w:rsidR="00A50A35" w:rsidRPr="00A50A35">
        <w:rPr>
          <w:rFonts w:ascii="Verdana" w:hAnsi="Verdana"/>
          <w:sz w:val="16"/>
          <w:szCs w:val="16"/>
        </w:rPr>
        <w:t>, 2/22</w:t>
      </w:r>
      <w:r w:rsidR="00A50A35">
        <w:rPr>
          <w:rFonts w:ascii="Verdana" w:hAnsi="Verdana"/>
          <w:sz w:val="16"/>
          <w:szCs w:val="16"/>
        </w:rPr>
        <w:t>;</w:t>
      </w:r>
      <w:r w:rsidR="00A50A35" w:rsidRPr="00A50A35">
        <w:rPr>
          <w:sz w:val="16"/>
          <w:szCs w:val="16"/>
        </w:rPr>
        <w:t xml:space="preserve"> The Media Audit Website</w:t>
      </w:r>
      <w:r w:rsidR="00A50A35" w:rsidRPr="00A50A35">
        <w:rPr>
          <w:rFonts w:ascii="Verdana" w:hAnsi="Verdana"/>
          <w:sz w:val="16"/>
          <w:szCs w:val="16"/>
        </w:rPr>
        <w:t>, 2/22</w:t>
      </w:r>
      <w:r w:rsidR="00A50A35">
        <w:rPr>
          <w:rFonts w:ascii="Verdana" w:hAnsi="Verdana"/>
          <w:sz w:val="16"/>
          <w:szCs w:val="16"/>
        </w:rPr>
        <w:t>;</w:t>
      </w:r>
      <w:r w:rsidR="00A50A35" w:rsidRPr="00A50A35">
        <w:rPr>
          <w:sz w:val="16"/>
          <w:szCs w:val="16"/>
        </w:rPr>
        <w:t xml:space="preserve"> J.D. Power Website</w:t>
      </w:r>
      <w:r w:rsidR="00A50A35" w:rsidRPr="00A50A35">
        <w:rPr>
          <w:rFonts w:ascii="Verdana" w:hAnsi="Verdana"/>
          <w:sz w:val="16"/>
          <w:szCs w:val="16"/>
        </w:rPr>
        <w:t>, 2/22</w:t>
      </w:r>
      <w:r w:rsidR="00A50A35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3E059979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5F19E9">
        <w:rPr>
          <w:rFonts w:ascii="Verdana" w:hAnsi="Verdana"/>
          <w:sz w:val="16"/>
        </w:rPr>
        <w:t>Febr</w:t>
      </w:r>
      <w:r w:rsidR="00C8473A">
        <w:rPr>
          <w:rFonts w:ascii="Verdana" w:hAnsi="Verdana"/>
          <w:sz w:val="16"/>
        </w:rPr>
        <w:t>uary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CCC6" w14:textId="77777777" w:rsidR="00F6660E" w:rsidRDefault="00F6660E" w:rsidP="00260DE9">
      <w:pPr>
        <w:spacing w:after="0" w:line="240" w:lineRule="auto"/>
      </w:pPr>
      <w:r>
        <w:separator/>
      </w:r>
    </w:p>
  </w:endnote>
  <w:endnote w:type="continuationSeparator" w:id="0">
    <w:p w14:paraId="3847A9B5" w14:textId="77777777" w:rsidR="00F6660E" w:rsidRDefault="00F6660E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45C0" w14:textId="77777777" w:rsidR="00F6660E" w:rsidRDefault="00F6660E" w:rsidP="00260DE9">
      <w:pPr>
        <w:spacing w:after="0" w:line="240" w:lineRule="auto"/>
      </w:pPr>
      <w:r>
        <w:separator/>
      </w:r>
    </w:p>
  </w:footnote>
  <w:footnote w:type="continuationSeparator" w:id="0">
    <w:p w14:paraId="131527A2" w14:textId="77777777" w:rsidR="00F6660E" w:rsidRDefault="00F6660E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26E7"/>
    <w:rsid w:val="00004575"/>
    <w:rsid w:val="000052A8"/>
    <w:rsid w:val="00006EB7"/>
    <w:rsid w:val="00030B4A"/>
    <w:rsid w:val="0003466E"/>
    <w:rsid w:val="00052024"/>
    <w:rsid w:val="0005633E"/>
    <w:rsid w:val="000577D6"/>
    <w:rsid w:val="0007198D"/>
    <w:rsid w:val="000830D7"/>
    <w:rsid w:val="000C4B96"/>
    <w:rsid w:val="000C7821"/>
    <w:rsid w:val="000D2F3A"/>
    <w:rsid w:val="000D7C07"/>
    <w:rsid w:val="00112A85"/>
    <w:rsid w:val="0012010F"/>
    <w:rsid w:val="00142DEE"/>
    <w:rsid w:val="001531C2"/>
    <w:rsid w:val="00154344"/>
    <w:rsid w:val="00160474"/>
    <w:rsid w:val="00161442"/>
    <w:rsid w:val="0016492E"/>
    <w:rsid w:val="00177D0F"/>
    <w:rsid w:val="001A05E7"/>
    <w:rsid w:val="001B64B0"/>
    <w:rsid w:val="001C2831"/>
    <w:rsid w:val="001F5DFA"/>
    <w:rsid w:val="00257232"/>
    <w:rsid w:val="00260DE9"/>
    <w:rsid w:val="00294474"/>
    <w:rsid w:val="002A4A73"/>
    <w:rsid w:val="002A6286"/>
    <w:rsid w:val="002B0BCF"/>
    <w:rsid w:val="002B3E1A"/>
    <w:rsid w:val="002B428E"/>
    <w:rsid w:val="002B68B8"/>
    <w:rsid w:val="002B754C"/>
    <w:rsid w:val="002D3EF4"/>
    <w:rsid w:val="002E1F38"/>
    <w:rsid w:val="00306D88"/>
    <w:rsid w:val="00315170"/>
    <w:rsid w:val="00327C87"/>
    <w:rsid w:val="003630CD"/>
    <w:rsid w:val="0038459A"/>
    <w:rsid w:val="003B417B"/>
    <w:rsid w:val="003C15ED"/>
    <w:rsid w:val="003D6958"/>
    <w:rsid w:val="003E2E9B"/>
    <w:rsid w:val="003F0FE1"/>
    <w:rsid w:val="00400606"/>
    <w:rsid w:val="004045A6"/>
    <w:rsid w:val="00412473"/>
    <w:rsid w:val="00422A36"/>
    <w:rsid w:val="00424E79"/>
    <w:rsid w:val="00432903"/>
    <w:rsid w:val="0045212B"/>
    <w:rsid w:val="004528DF"/>
    <w:rsid w:val="0046193A"/>
    <w:rsid w:val="0048482F"/>
    <w:rsid w:val="00493426"/>
    <w:rsid w:val="00494CA5"/>
    <w:rsid w:val="004D4671"/>
    <w:rsid w:val="004E421A"/>
    <w:rsid w:val="004F7F58"/>
    <w:rsid w:val="0050254D"/>
    <w:rsid w:val="00520014"/>
    <w:rsid w:val="005313C5"/>
    <w:rsid w:val="0056258A"/>
    <w:rsid w:val="0057012D"/>
    <w:rsid w:val="00571D6A"/>
    <w:rsid w:val="00584EF6"/>
    <w:rsid w:val="00592462"/>
    <w:rsid w:val="00596832"/>
    <w:rsid w:val="00596B02"/>
    <w:rsid w:val="005C1638"/>
    <w:rsid w:val="005C3BA5"/>
    <w:rsid w:val="005E07F6"/>
    <w:rsid w:val="005F19E9"/>
    <w:rsid w:val="00600CFD"/>
    <w:rsid w:val="00601F2D"/>
    <w:rsid w:val="006111CC"/>
    <w:rsid w:val="00613DF8"/>
    <w:rsid w:val="006255E3"/>
    <w:rsid w:val="00635FF3"/>
    <w:rsid w:val="00637CB9"/>
    <w:rsid w:val="006557DC"/>
    <w:rsid w:val="00657B52"/>
    <w:rsid w:val="0067102D"/>
    <w:rsid w:val="00682C26"/>
    <w:rsid w:val="0068770F"/>
    <w:rsid w:val="0069436D"/>
    <w:rsid w:val="006B3A10"/>
    <w:rsid w:val="006D1053"/>
    <w:rsid w:val="006E6275"/>
    <w:rsid w:val="00706B50"/>
    <w:rsid w:val="00707104"/>
    <w:rsid w:val="007139CE"/>
    <w:rsid w:val="007257B5"/>
    <w:rsid w:val="00743ED7"/>
    <w:rsid w:val="00746C4A"/>
    <w:rsid w:val="007651A4"/>
    <w:rsid w:val="007862CF"/>
    <w:rsid w:val="00793BD0"/>
    <w:rsid w:val="007B6E29"/>
    <w:rsid w:val="007B731F"/>
    <w:rsid w:val="007C7B76"/>
    <w:rsid w:val="007D210C"/>
    <w:rsid w:val="007D3185"/>
    <w:rsid w:val="007D4B3A"/>
    <w:rsid w:val="0082749D"/>
    <w:rsid w:val="00875007"/>
    <w:rsid w:val="0088350D"/>
    <w:rsid w:val="0088505B"/>
    <w:rsid w:val="0089324F"/>
    <w:rsid w:val="00915410"/>
    <w:rsid w:val="009229BB"/>
    <w:rsid w:val="00923C8D"/>
    <w:rsid w:val="00931A86"/>
    <w:rsid w:val="009419F0"/>
    <w:rsid w:val="0097289D"/>
    <w:rsid w:val="0097480E"/>
    <w:rsid w:val="00984DF0"/>
    <w:rsid w:val="0099377F"/>
    <w:rsid w:val="009A3728"/>
    <w:rsid w:val="009A3EBE"/>
    <w:rsid w:val="009A4526"/>
    <w:rsid w:val="009A6479"/>
    <w:rsid w:val="009B2789"/>
    <w:rsid w:val="009C3F52"/>
    <w:rsid w:val="009C6A17"/>
    <w:rsid w:val="009F3C8C"/>
    <w:rsid w:val="00A00453"/>
    <w:rsid w:val="00A031C1"/>
    <w:rsid w:val="00A12BB9"/>
    <w:rsid w:val="00A30B01"/>
    <w:rsid w:val="00A50A35"/>
    <w:rsid w:val="00A55AAE"/>
    <w:rsid w:val="00A55AB4"/>
    <w:rsid w:val="00A61F9B"/>
    <w:rsid w:val="00A63C97"/>
    <w:rsid w:val="00A71026"/>
    <w:rsid w:val="00A820F9"/>
    <w:rsid w:val="00AB01D8"/>
    <w:rsid w:val="00AE087E"/>
    <w:rsid w:val="00AE1F72"/>
    <w:rsid w:val="00AE6B2A"/>
    <w:rsid w:val="00AE71B7"/>
    <w:rsid w:val="00B12A59"/>
    <w:rsid w:val="00B2342A"/>
    <w:rsid w:val="00B33B46"/>
    <w:rsid w:val="00B36421"/>
    <w:rsid w:val="00B36979"/>
    <w:rsid w:val="00B4203D"/>
    <w:rsid w:val="00B6421F"/>
    <w:rsid w:val="00B833C1"/>
    <w:rsid w:val="00BC0DB8"/>
    <w:rsid w:val="00BC2144"/>
    <w:rsid w:val="00BD3F73"/>
    <w:rsid w:val="00BE4BEC"/>
    <w:rsid w:val="00BE6652"/>
    <w:rsid w:val="00C11931"/>
    <w:rsid w:val="00C12491"/>
    <w:rsid w:val="00C147E3"/>
    <w:rsid w:val="00C20878"/>
    <w:rsid w:val="00C21D13"/>
    <w:rsid w:val="00C342E5"/>
    <w:rsid w:val="00C412D4"/>
    <w:rsid w:val="00C54007"/>
    <w:rsid w:val="00C65128"/>
    <w:rsid w:val="00C74115"/>
    <w:rsid w:val="00C77B54"/>
    <w:rsid w:val="00C8473A"/>
    <w:rsid w:val="00CE3B31"/>
    <w:rsid w:val="00CE7889"/>
    <w:rsid w:val="00D16971"/>
    <w:rsid w:val="00D17DB0"/>
    <w:rsid w:val="00D22E81"/>
    <w:rsid w:val="00D26223"/>
    <w:rsid w:val="00D37649"/>
    <w:rsid w:val="00D44EBF"/>
    <w:rsid w:val="00D8342E"/>
    <w:rsid w:val="00D93E11"/>
    <w:rsid w:val="00DA1474"/>
    <w:rsid w:val="00DA3780"/>
    <w:rsid w:val="00DB5119"/>
    <w:rsid w:val="00DC4F7C"/>
    <w:rsid w:val="00DD5A41"/>
    <w:rsid w:val="00DE0FDD"/>
    <w:rsid w:val="00DF202B"/>
    <w:rsid w:val="00E06A67"/>
    <w:rsid w:val="00E13B28"/>
    <w:rsid w:val="00E20F93"/>
    <w:rsid w:val="00E21202"/>
    <w:rsid w:val="00E31C88"/>
    <w:rsid w:val="00E45F8D"/>
    <w:rsid w:val="00E54712"/>
    <w:rsid w:val="00E8013A"/>
    <w:rsid w:val="00E80C14"/>
    <w:rsid w:val="00E913AE"/>
    <w:rsid w:val="00ED42A4"/>
    <w:rsid w:val="00EF6801"/>
    <w:rsid w:val="00EF6AB9"/>
    <w:rsid w:val="00F056FA"/>
    <w:rsid w:val="00F207EC"/>
    <w:rsid w:val="00F2704A"/>
    <w:rsid w:val="00F53ED0"/>
    <w:rsid w:val="00F65E94"/>
    <w:rsid w:val="00F6660E"/>
    <w:rsid w:val="00F66EA8"/>
    <w:rsid w:val="00F70E29"/>
    <w:rsid w:val="00F70F48"/>
    <w:rsid w:val="00F94CE8"/>
    <w:rsid w:val="00FA495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2022-02-18T16:35:00Z</dcterms:created>
  <dcterms:modified xsi:type="dcterms:W3CDTF">2022-02-18T16:35:00Z</dcterms:modified>
</cp:coreProperties>
</file>