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34BF292C" w:rsidR="00F94CE8" w:rsidRPr="005F19E9" w:rsidRDefault="005F19E9" w:rsidP="00C11931">
      <w:pPr>
        <w:pStyle w:val="NoSpacing"/>
        <w:contextualSpacing/>
        <w:mirrorIndents/>
        <w:rPr>
          <w:rFonts w:ascii="Verdana" w:hAnsi="Verdana"/>
          <w:b/>
          <w:bCs/>
          <w:color w:val="FF0000"/>
          <w:sz w:val="20"/>
          <w:szCs w:val="20"/>
        </w:rPr>
      </w:pPr>
      <w:r w:rsidRPr="005F19E9">
        <w:rPr>
          <w:rFonts w:ascii="Verdana" w:hAnsi="Verdana"/>
          <w:b/>
          <w:bCs/>
          <w:color w:val="FF0000"/>
          <w:sz w:val="20"/>
          <w:szCs w:val="20"/>
        </w:rPr>
        <w:t>Home Improvements Market 2022</w:t>
      </w:r>
    </w:p>
    <w:p w14:paraId="11DB62D2" w14:textId="77777777" w:rsidR="00F94CE8" w:rsidRPr="002C1B6E" w:rsidRDefault="00F94CE8" w:rsidP="002C1B6E">
      <w:pPr>
        <w:pStyle w:val="NoSpacing"/>
        <w:contextualSpacing/>
        <w:mirrorIndents/>
        <w:rPr>
          <w:rFonts w:ascii="Verdana" w:hAnsi="Verdana"/>
          <w:sz w:val="20"/>
          <w:szCs w:val="20"/>
        </w:rPr>
      </w:pPr>
    </w:p>
    <w:p w14:paraId="317D4E9A" w14:textId="63FE96F2" w:rsidR="002C1B6E" w:rsidRPr="002C1B6E" w:rsidRDefault="002C1B6E" w:rsidP="002C1B6E">
      <w:pPr>
        <w:spacing w:after="0" w:line="240" w:lineRule="auto"/>
        <w:contextualSpacing/>
        <w:mirrorIndents/>
        <w:jc w:val="center"/>
        <w:rPr>
          <w:rFonts w:ascii="Verdana" w:hAnsi="Verdana"/>
          <w:b/>
          <w:bCs/>
          <w:color w:val="0070C0"/>
          <w:sz w:val="20"/>
          <w:szCs w:val="20"/>
        </w:rPr>
      </w:pPr>
      <w:r w:rsidRPr="002C1B6E">
        <w:rPr>
          <w:rFonts w:ascii="Verdana" w:hAnsi="Verdana"/>
          <w:b/>
          <w:bCs/>
          <w:color w:val="0070C0"/>
          <w:sz w:val="20"/>
          <w:szCs w:val="20"/>
        </w:rPr>
        <w:t>Many Demand-Factors Still Driving</w:t>
      </w:r>
      <w:r w:rsidR="005D6775">
        <w:rPr>
          <w:rFonts w:ascii="Verdana" w:hAnsi="Verdana"/>
          <w:b/>
          <w:bCs/>
          <w:color w:val="0070C0"/>
          <w:sz w:val="20"/>
          <w:szCs w:val="20"/>
        </w:rPr>
        <w:t xml:space="preserve"> the</w:t>
      </w:r>
      <w:r w:rsidRPr="002C1B6E">
        <w:rPr>
          <w:rFonts w:ascii="Verdana" w:hAnsi="Verdana"/>
          <w:b/>
          <w:bCs/>
          <w:color w:val="0070C0"/>
          <w:sz w:val="20"/>
          <w:szCs w:val="20"/>
        </w:rPr>
        <w:t xml:space="preserve"> Market</w:t>
      </w:r>
    </w:p>
    <w:p w14:paraId="2F3D29B6" w14:textId="77777777" w:rsidR="002C1B6E" w:rsidRPr="002C1B6E" w:rsidRDefault="002C1B6E" w:rsidP="002C1B6E">
      <w:pPr>
        <w:spacing w:after="0" w:line="240" w:lineRule="auto"/>
        <w:contextualSpacing/>
        <w:mirrorIndents/>
        <w:rPr>
          <w:rFonts w:ascii="Verdana" w:hAnsi="Verdana"/>
          <w:sz w:val="20"/>
          <w:szCs w:val="20"/>
        </w:rPr>
      </w:pPr>
    </w:p>
    <w:p w14:paraId="5036B807" w14:textId="22DE7F40" w:rsidR="002C1B6E" w:rsidRDefault="002A2D1B" w:rsidP="002C1B6E">
      <w:pPr>
        <w:spacing w:after="0" w:line="240" w:lineRule="auto"/>
        <w:contextualSpacing/>
        <w:mirrorIndents/>
        <w:rPr>
          <w:rFonts w:ascii="Verdana" w:hAnsi="Verdana"/>
          <w:sz w:val="20"/>
          <w:szCs w:val="20"/>
        </w:rPr>
      </w:pPr>
      <w:r>
        <w:rPr>
          <w:rFonts w:ascii="Verdana" w:hAnsi="Verdana"/>
          <w:sz w:val="20"/>
          <w:szCs w:val="20"/>
        </w:rPr>
        <w:t>T</w:t>
      </w:r>
      <w:r w:rsidR="002C1B6E">
        <w:rPr>
          <w:rFonts w:ascii="Verdana" w:hAnsi="Verdana"/>
          <w:sz w:val="20"/>
          <w:szCs w:val="20"/>
        </w:rPr>
        <w:t>he Home Improvement Research Institute’s</w:t>
      </w:r>
      <w:r>
        <w:rPr>
          <w:rFonts w:ascii="Verdana" w:hAnsi="Verdana"/>
          <w:sz w:val="20"/>
          <w:szCs w:val="20"/>
        </w:rPr>
        <w:t xml:space="preserve"> (HIRI)</w:t>
      </w:r>
      <w:r w:rsidR="002C1B6E">
        <w:rPr>
          <w:rFonts w:ascii="Verdana" w:hAnsi="Verdana"/>
          <w:sz w:val="20"/>
          <w:szCs w:val="20"/>
        </w:rPr>
        <w:t xml:space="preserve"> Home Improvement Project Intent Tracking Survey</w:t>
      </w:r>
      <w:r>
        <w:rPr>
          <w:rFonts w:ascii="Verdana" w:hAnsi="Verdana"/>
          <w:sz w:val="20"/>
          <w:szCs w:val="20"/>
        </w:rPr>
        <w:t xml:space="preserve"> revealed</w:t>
      </w:r>
      <w:r w:rsidR="002C1B6E">
        <w:rPr>
          <w:rFonts w:ascii="Verdana" w:hAnsi="Verdana"/>
          <w:sz w:val="20"/>
          <w:szCs w:val="20"/>
        </w:rPr>
        <w:t xml:space="preserve"> 76.0% of the 3,000 surveyed homeowners said they planned a home improvement project during Q4 2021, the largest percentage since Q4 2012.</w:t>
      </w:r>
    </w:p>
    <w:p w14:paraId="1F20F18E" w14:textId="4DDFA67B" w:rsidR="002C1B6E" w:rsidRDefault="002C1B6E" w:rsidP="002C1B6E">
      <w:pPr>
        <w:spacing w:after="0" w:line="240" w:lineRule="auto"/>
        <w:contextualSpacing/>
        <w:mirrorIndents/>
        <w:rPr>
          <w:rFonts w:ascii="Verdana" w:hAnsi="Verdana"/>
          <w:sz w:val="20"/>
          <w:szCs w:val="20"/>
        </w:rPr>
      </w:pPr>
    </w:p>
    <w:p w14:paraId="4EFF8273" w14:textId="625A2C3D" w:rsidR="003441AC" w:rsidRDefault="003441AC" w:rsidP="003441AC">
      <w:pPr>
        <w:spacing w:after="0" w:line="240" w:lineRule="auto"/>
        <w:contextualSpacing/>
        <w:mirrorIndents/>
        <w:rPr>
          <w:rFonts w:ascii="Verdana" w:hAnsi="Verdana"/>
          <w:sz w:val="20"/>
          <w:szCs w:val="20"/>
        </w:rPr>
      </w:pPr>
      <w:r>
        <w:rPr>
          <w:rFonts w:ascii="Verdana" w:hAnsi="Verdana"/>
          <w:sz w:val="20"/>
          <w:szCs w:val="20"/>
        </w:rPr>
        <w:t>The Joint Center for Housing Studies of Harvard University (JCHS) forecasts substantial home improvement spending during 2022: Q1 an 11.3% YOY increase, Q2 a 15.2% YOY increase, Q3 a 19</w:t>
      </w:r>
      <w:r w:rsidR="005D6775">
        <w:rPr>
          <w:rFonts w:ascii="Verdana" w:hAnsi="Verdana"/>
          <w:sz w:val="20"/>
          <w:szCs w:val="20"/>
        </w:rPr>
        <w:t>.7%</w:t>
      </w:r>
      <w:r>
        <w:rPr>
          <w:rFonts w:ascii="Verdana" w:hAnsi="Verdana"/>
          <w:sz w:val="20"/>
          <w:szCs w:val="20"/>
        </w:rPr>
        <w:t xml:space="preserve"> YOY increase and Q4 a 17.3% YOY increase.</w:t>
      </w:r>
    </w:p>
    <w:p w14:paraId="625AE9CF" w14:textId="54C88AC8" w:rsidR="003441AC" w:rsidRDefault="003441AC" w:rsidP="003441AC">
      <w:pPr>
        <w:spacing w:after="0" w:line="240" w:lineRule="auto"/>
        <w:contextualSpacing/>
        <w:mirrorIndents/>
        <w:rPr>
          <w:rFonts w:ascii="Verdana" w:hAnsi="Verdana"/>
          <w:sz w:val="20"/>
          <w:szCs w:val="20"/>
        </w:rPr>
      </w:pPr>
    </w:p>
    <w:p w14:paraId="2C80F9AB" w14:textId="7F68FAF7" w:rsidR="003441AC" w:rsidRDefault="003441AC" w:rsidP="003441AC">
      <w:pPr>
        <w:spacing w:after="0" w:line="240" w:lineRule="auto"/>
        <w:contextualSpacing/>
        <w:mirrorIndents/>
        <w:rPr>
          <w:rFonts w:ascii="Verdana" w:hAnsi="Verdana"/>
          <w:sz w:val="20"/>
          <w:szCs w:val="20"/>
        </w:rPr>
      </w:pPr>
      <w:r>
        <w:rPr>
          <w:rFonts w:ascii="Verdana" w:hAnsi="Verdana"/>
          <w:sz w:val="20"/>
          <w:szCs w:val="20"/>
        </w:rPr>
        <w:t xml:space="preserve">Much of the demand comes from the housing market. </w:t>
      </w:r>
      <w:r w:rsidR="005D6775">
        <w:rPr>
          <w:rFonts w:ascii="Verdana" w:hAnsi="Verdana"/>
          <w:sz w:val="20"/>
          <w:szCs w:val="20"/>
        </w:rPr>
        <w:t>Many d</w:t>
      </w:r>
      <w:r>
        <w:rPr>
          <w:rFonts w:ascii="Verdana" w:hAnsi="Verdana"/>
          <w:sz w:val="20"/>
          <w:szCs w:val="20"/>
        </w:rPr>
        <w:t>elayed projects will now occur during 2022, housing prices cause some buyers to stay in their homes and consider home improvement projects and many new homes require immediate improvements.</w:t>
      </w:r>
    </w:p>
    <w:p w14:paraId="1802AAFB" w14:textId="102997D8" w:rsidR="002C1B6E" w:rsidRDefault="002C1B6E" w:rsidP="002C1B6E">
      <w:pPr>
        <w:spacing w:after="0" w:line="240" w:lineRule="auto"/>
        <w:contextualSpacing/>
        <w:mirrorIndents/>
        <w:rPr>
          <w:rFonts w:ascii="Verdana" w:hAnsi="Verdana"/>
          <w:sz w:val="20"/>
          <w:szCs w:val="20"/>
        </w:rPr>
      </w:pPr>
    </w:p>
    <w:p w14:paraId="30FE98F1" w14:textId="77777777" w:rsidR="00B3331C" w:rsidRDefault="00B3331C" w:rsidP="00B3331C">
      <w:pPr>
        <w:pStyle w:val="Header"/>
        <w:contextualSpacing/>
        <w:jc w:val="center"/>
        <w:rPr>
          <w:rFonts w:ascii="Verdana" w:hAnsi="Verdana"/>
          <w:b/>
          <w:sz w:val="20"/>
          <w:szCs w:val="20"/>
        </w:rPr>
      </w:pPr>
      <w:r>
        <w:rPr>
          <w:rFonts w:ascii="Verdana" w:hAnsi="Verdana"/>
          <w:b/>
          <w:sz w:val="20"/>
          <w:szCs w:val="20"/>
        </w:rPr>
        <w:t xml:space="preserve">Consumers’ Plans to Sell or Buy a Home During the </w:t>
      </w:r>
    </w:p>
    <w:p w14:paraId="10959378" w14:textId="2D5CBAFC" w:rsidR="00B3331C" w:rsidRPr="00CC1ECE" w:rsidRDefault="00B3331C" w:rsidP="00B3331C">
      <w:pPr>
        <w:pStyle w:val="Header"/>
        <w:contextualSpacing/>
        <w:jc w:val="center"/>
        <w:rPr>
          <w:rFonts w:ascii="Verdana" w:hAnsi="Verdana"/>
          <w:b/>
          <w:sz w:val="20"/>
          <w:szCs w:val="20"/>
        </w:rPr>
      </w:pPr>
      <w:r>
        <w:rPr>
          <w:rFonts w:ascii="Verdana" w:hAnsi="Verdana"/>
          <w:b/>
          <w:sz w:val="20"/>
          <w:szCs w:val="20"/>
        </w:rPr>
        <w:t>Next 1 to 3 Months, September 2021–January 2022</w:t>
      </w:r>
    </w:p>
    <w:tbl>
      <w:tblPr>
        <w:tblW w:w="9053" w:type="dxa"/>
        <w:jc w:val="center"/>
        <w:tblBorders>
          <w:left w:val="single" w:sz="8" w:space="0" w:color="000000"/>
          <w:right w:val="single" w:sz="8" w:space="0" w:color="000000"/>
        </w:tblBorders>
        <w:tblLayout w:type="fixed"/>
        <w:tblLook w:val="0000" w:firstRow="0" w:lastRow="0" w:firstColumn="0" w:lastColumn="0" w:noHBand="0" w:noVBand="0"/>
      </w:tblPr>
      <w:tblGrid>
        <w:gridCol w:w="2070"/>
        <w:gridCol w:w="1395"/>
        <w:gridCol w:w="1397"/>
        <w:gridCol w:w="1397"/>
        <w:gridCol w:w="1397"/>
        <w:gridCol w:w="1397"/>
      </w:tblGrid>
      <w:tr w:rsidR="00B3331C" w:rsidRPr="00CC1ECE" w14:paraId="32AE29A8" w14:textId="77777777" w:rsidTr="00586085">
        <w:trPr>
          <w:jc w:val="center"/>
        </w:trPr>
        <w:tc>
          <w:tcPr>
            <w:tcW w:w="2070" w:type="dxa"/>
            <w:tcBorders>
              <w:top w:val="single" w:sz="12" w:space="0" w:color="000000"/>
              <w:left w:val="single" w:sz="12" w:space="0" w:color="000000"/>
              <w:bottom w:val="single" w:sz="18" w:space="0" w:color="C0504D" w:themeColor="accent2"/>
              <w:right w:val="single" w:sz="18" w:space="0" w:color="0070C0"/>
            </w:tcBorders>
            <w:vAlign w:val="center"/>
          </w:tcPr>
          <w:p w14:paraId="554718EA" w14:textId="3664CEE0" w:rsidR="00B3331C" w:rsidRPr="00CC1ECE" w:rsidRDefault="00B3331C"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Plans</w:t>
            </w:r>
          </w:p>
        </w:tc>
        <w:tc>
          <w:tcPr>
            <w:tcW w:w="1395" w:type="dxa"/>
            <w:tcBorders>
              <w:top w:val="single" w:sz="12" w:space="0" w:color="000000"/>
              <w:left w:val="single" w:sz="18" w:space="0" w:color="0070C0"/>
              <w:bottom w:val="single" w:sz="18" w:space="0" w:color="C0504D" w:themeColor="accent2"/>
              <w:right w:val="single" w:sz="8" w:space="0" w:color="0070C0"/>
            </w:tcBorders>
            <w:vAlign w:val="center"/>
          </w:tcPr>
          <w:p w14:paraId="2393BD4C" w14:textId="77777777" w:rsidR="00B3331C" w:rsidRDefault="00B3331C"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Sept. 2021</w:t>
            </w:r>
          </w:p>
        </w:tc>
        <w:tc>
          <w:tcPr>
            <w:tcW w:w="1397" w:type="dxa"/>
            <w:tcBorders>
              <w:top w:val="single" w:sz="12" w:space="0" w:color="000000"/>
              <w:left w:val="single" w:sz="8" w:space="0" w:color="0070C0"/>
              <w:bottom w:val="single" w:sz="18" w:space="0" w:color="C0504D" w:themeColor="accent2"/>
              <w:right w:val="single" w:sz="8" w:space="0" w:color="0070C0"/>
            </w:tcBorders>
            <w:vAlign w:val="center"/>
          </w:tcPr>
          <w:p w14:paraId="75D1E2D9" w14:textId="77777777" w:rsidR="00B3331C" w:rsidRPr="00CC1ECE" w:rsidRDefault="00B3331C"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Oct 2021</w:t>
            </w:r>
          </w:p>
        </w:tc>
        <w:tc>
          <w:tcPr>
            <w:tcW w:w="1397" w:type="dxa"/>
            <w:tcBorders>
              <w:top w:val="single" w:sz="12" w:space="0" w:color="000000"/>
              <w:left w:val="single" w:sz="8" w:space="0" w:color="0070C0"/>
              <w:bottom w:val="single" w:sz="18" w:space="0" w:color="C0504D" w:themeColor="accent2"/>
              <w:right w:val="single" w:sz="8" w:space="0" w:color="0070C0"/>
            </w:tcBorders>
            <w:vAlign w:val="center"/>
          </w:tcPr>
          <w:p w14:paraId="0FF8A1A9" w14:textId="77777777" w:rsidR="00B3331C" w:rsidRPr="00CC1ECE" w:rsidRDefault="00B3331C"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Nov 2021</w:t>
            </w:r>
          </w:p>
        </w:tc>
        <w:tc>
          <w:tcPr>
            <w:tcW w:w="1397" w:type="dxa"/>
            <w:tcBorders>
              <w:top w:val="single" w:sz="12" w:space="0" w:color="000000"/>
              <w:left w:val="single" w:sz="8" w:space="0" w:color="0070C0"/>
              <w:bottom w:val="single" w:sz="18" w:space="0" w:color="C0504D" w:themeColor="accent2"/>
              <w:right w:val="single" w:sz="8" w:space="0" w:color="0070C0"/>
            </w:tcBorders>
            <w:vAlign w:val="center"/>
          </w:tcPr>
          <w:p w14:paraId="505E8990" w14:textId="77777777" w:rsidR="00B3331C" w:rsidRPr="00CC1ECE" w:rsidRDefault="00B3331C"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Dec 2021</w:t>
            </w:r>
          </w:p>
        </w:tc>
        <w:tc>
          <w:tcPr>
            <w:tcW w:w="1397" w:type="dxa"/>
            <w:tcBorders>
              <w:top w:val="single" w:sz="12" w:space="0" w:color="000000"/>
              <w:left w:val="single" w:sz="8" w:space="0" w:color="0070C0"/>
              <w:bottom w:val="single" w:sz="18" w:space="0" w:color="C0504D" w:themeColor="accent2"/>
              <w:right w:val="single" w:sz="12" w:space="0" w:color="auto"/>
            </w:tcBorders>
            <w:vAlign w:val="center"/>
          </w:tcPr>
          <w:p w14:paraId="55D049DB" w14:textId="77777777" w:rsidR="00B3331C" w:rsidRPr="00CC1ECE" w:rsidRDefault="00B3331C"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Jan 2022</w:t>
            </w:r>
          </w:p>
        </w:tc>
      </w:tr>
      <w:tr w:rsidR="00EB1AC1" w:rsidRPr="00CC1ECE" w14:paraId="56ED3E95" w14:textId="77777777" w:rsidTr="00586085">
        <w:trPr>
          <w:trHeight w:val="243"/>
          <w:jc w:val="center"/>
        </w:trPr>
        <w:tc>
          <w:tcPr>
            <w:tcW w:w="207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5E80D65D" w14:textId="41A39C17" w:rsidR="00B3331C" w:rsidRPr="00CC1ECE" w:rsidRDefault="00B3331C"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Sell </w:t>
            </w:r>
            <w:r w:rsidR="00586085">
              <w:rPr>
                <w:rFonts w:ascii="Verdana" w:eastAsia="Times New Roman" w:hAnsi="Verdana"/>
                <w:sz w:val="20"/>
                <w:szCs w:val="20"/>
              </w:rPr>
              <w:t xml:space="preserve">a </w:t>
            </w:r>
            <w:r>
              <w:rPr>
                <w:rFonts w:ascii="Verdana" w:eastAsia="Times New Roman" w:hAnsi="Verdana"/>
                <w:sz w:val="20"/>
                <w:szCs w:val="20"/>
              </w:rPr>
              <w:t>home</w:t>
            </w:r>
            <w:r w:rsidR="001351AD">
              <w:rPr>
                <w:rFonts w:ascii="Verdana" w:eastAsia="Times New Roman" w:hAnsi="Verdana"/>
                <w:sz w:val="20"/>
                <w:szCs w:val="20"/>
              </w:rPr>
              <w:t>: Yes</w:t>
            </w:r>
          </w:p>
        </w:tc>
        <w:tc>
          <w:tcPr>
            <w:tcW w:w="1395"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0FACA0CE" w14:textId="057E1FF2" w:rsidR="00B3331C" w:rsidRPr="00CC1ECE"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5.2%</w:t>
            </w:r>
          </w:p>
        </w:tc>
        <w:tc>
          <w:tcPr>
            <w:tcW w:w="1397"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6CA1AB57" w14:textId="0428DB14" w:rsidR="00B3331C" w:rsidRPr="00CC1ECE"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3.7%</w:t>
            </w:r>
          </w:p>
        </w:tc>
        <w:tc>
          <w:tcPr>
            <w:tcW w:w="1397"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113724C4" w14:textId="6F969A5F" w:rsidR="00B3331C" w:rsidRPr="00CC1ECE"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4.7%</w:t>
            </w:r>
          </w:p>
        </w:tc>
        <w:tc>
          <w:tcPr>
            <w:tcW w:w="1397"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0B8A25EF" w14:textId="6F6BCE69" w:rsidR="00B3331C" w:rsidRPr="00CC1ECE"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4.9%</w:t>
            </w:r>
          </w:p>
        </w:tc>
        <w:tc>
          <w:tcPr>
            <w:tcW w:w="1397" w:type="dxa"/>
            <w:tcBorders>
              <w:top w:val="single" w:sz="18" w:space="0" w:color="C0504D" w:themeColor="accent2"/>
              <w:left w:val="single" w:sz="8" w:space="0" w:color="0070C0"/>
              <w:bottom w:val="single" w:sz="4" w:space="0" w:color="auto"/>
              <w:right w:val="single" w:sz="12" w:space="0" w:color="auto"/>
            </w:tcBorders>
            <w:shd w:val="clear" w:color="auto" w:fill="D6E3BC" w:themeFill="accent3" w:themeFillTint="66"/>
            <w:vAlign w:val="center"/>
          </w:tcPr>
          <w:p w14:paraId="4DDDF42D" w14:textId="40FFEA5F" w:rsidR="00B3331C" w:rsidRPr="00CC1ECE"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5.6%</w:t>
            </w:r>
          </w:p>
        </w:tc>
      </w:tr>
      <w:tr w:rsidR="007677D6" w:rsidRPr="00CC1ECE" w14:paraId="1DFDC88B" w14:textId="77777777" w:rsidTr="00586085">
        <w:trPr>
          <w:trHeight w:val="243"/>
          <w:jc w:val="center"/>
        </w:trPr>
        <w:tc>
          <w:tcPr>
            <w:tcW w:w="2070" w:type="dxa"/>
            <w:tcBorders>
              <w:top w:val="single" w:sz="4" w:space="0" w:color="auto"/>
              <w:left w:val="single" w:sz="12" w:space="0" w:color="000000"/>
              <w:bottom w:val="single" w:sz="8" w:space="0" w:color="C0504D" w:themeColor="accent2"/>
              <w:right w:val="single" w:sz="18" w:space="0" w:color="0070C0"/>
            </w:tcBorders>
            <w:shd w:val="clear" w:color="auto" w:fill="auto"/>
            <w:vAlign w:val="center"/>
          </w:tcPr>
          <w:p w14:paraId="68DFABEC" w14:textId="112BDBE2" w:rsidR="00B3331C" w:rsidRDefault="001351AD"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Sell </w:t>
            </w:r>
            <w:r w:rsidR="00586085">
              <w:rPr>
                <w:rFonts w:ascii="Verdana" w:eastAsia="Times New Roman" w:hAnsi="Verdana"/>
                <w:sz w:val="20"/>
                <w:szCs w:val="20"/>
              </w:rPr>
              <w:t xml:space="preserve">a </w:t>
            </w:r>
            <w:r>
              <w:rPr>
                <w:rFonts w:ascii="Verdana" w:eastAsia="Times New Roman" w:hAnsi="Verdana"/>
                <w:sz w:val="20"/>
                <w:szCs w:val="20"/>
              </w:rPr>
              <w:t>home:</w:t>
            </w:r>
            <w:r w:rsidR="00B3331C">
              <w:rPr>
                <w:rFonts w:ascii="Verdana" w:eastAsia="Times New Roman" w:hAnsi="Verdana"/>
                <w:sz w:val="20"/>
                <w:szCs w:val="20"/>
              </w:rPr>
              <w:t xml:space="preserve"> No</w:t>
            </w:r>
          </w:p>
        </w:tc>
        <w:tc>
          <w:tcPr>
            <w:tcW w:w="1395" w:type="dxa"/>
            <w:tcBorders>
              <w:top w:val="single" w:sz="4" w:space="0" w:color="auto"/>
              <w:left w:val="single" w:sz="18" w:space="0" w:color="0070C0"/>
              <w:bottom w:val="single" w:sz="8" w:space="0" w:color="C0504D" w:themeColor="accent2"/>
              <w:right w:val="single" w:sz="8" w:space="0" w:color="0070C0"/>
            </w:tcBorders>
            <w:shd w:val="clear" w:color="auto" w:fill="auto"/>
            <w:vAlign w:val="center"/>
          </w:tcPr>
          <w:p w14:paraId="67D367BB" w14:textId="669D9555" w:rsidR="00B3331C"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86.5%</w:t>
            </w:r>
          </w:p>
        </w:tc>
        <w:tc>
          <w:tcPr>
            <w:tcW w:w="1397" w:type="dxa"/>
            <w:tcBorders>
              <w:top w:val="single" w:sz="4" w:space="0" w:color="auto"/>
              <w:left w:val="single" w:sz="8" w:space="0" w:color="0070C0"/>
              <w:bottom w:val="single" w:sz="8" w:space="0" w:color="C0504D" w:themeColor="accent2"/>
              <w:right w:val="single" w:sz="8" w:space="0" w:color="0070C0"/>
            </w:tcBorders>
            <w:shd w:val="clear" w:color="auto" w:fill="EAF1DD" w:themeFill="accent3" w:themeFillTint="33"/>
            <w:vAlign w:val="center"/>
          </w:tcPr>
          <w:p w14:paraId="343F5976" w14:textId="2E5DD108" w:rsidR="00B3331C"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89.6%</w:t>
            </w:r>
          </w:p>
        </w:tc>
        <w:tc>
          <w:tcPr>
            <w:tcW w:w="1397" w:type="dxa"/>
            <w:tcBorders>
              <w:top w:val="single" w:sz="4" w:space="0" w:color="auto"/>
              <w:left w:val="single" w:sz="8" w:space="0" w:color="0070C0"/>
              <w:bottom w:val="single" w:sz="8" w:space="0" w:color="C0504D" w:themeColor="accent2"/>
              <w:right w:val="single" w:sz="8" w:space="0" w:color="0070C0"/>
            </w:tcBorders>
            <w:shd w:val="clear" w:color="auto" w:fill="F2DBDB" w:themeFill="accent2" w:themeFillTint="33"/>
            <w:vAlign w:val="center"/>
          </w:tcPr>
          <w:p w14:paraId="7D57C640" w14:textId="21C4149D" w:rsidR="00B3331C"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88.0%</w:t>
            </w:r>
          </w:p>
        </w:tc>
        <w:tc>
          <w:tcPr>
            <w:tcW w:w="1397" w:type="dxa"/>
            <w:tcBorders>
              <w:top w:val="single" w:sz="4" w:space="0" w:color="auto"/>
              <w:left w:val="single" w:sz="8" w:space="0" w:color="0070C0"/>
              <w:bottom w:val="single" w:sz="8" w:space="0" w:color="C0504D" w:themeColor="accent2"/>
              <w:right w:val="single" w:sz="8" w:space="0" w:color="0070C0"/>
            </w:tcBorders>
            <w:shd w:val="clear" w:color="auto" w:fill="EAF1DD" w:themeFill="accent3" w:themeFillTint="33"/>
            <w:vAlign w:val="center"/>
          </w:tcPr>
          <w:p w14:paraId="2B5D82E8" w14:textId="2384BEC4" w:rsidR="00B3331C"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90.2%</w:t>
            </w:r>
          </w:p>
        </w:tc>
        <w:tc>
          <w:tcPr>
            <w:tcW w:w="1397" w:type="dxa"/>
            <w:tcBorders>
              <w:top w:val="single" w:sz="4" w:space="0" w:color="auto"/>
              <w:left w:val="single" w:sz="8" w:space="0" w:color="0070C0"/>
              <w:bottom w:val="single" w:sz="8" w:space="0" w:color="C0504D" w:themeColor="accent2"/>
              <w:right w:val="single" w:sz="12" w:space="0" w:color="auto"/>
            </w:tcBorders>
            <w:shd w:val="clear" w:color="auto" w:fill="F2DBDB" w:themeFill="accent2" w:themeFillTint="33"/>
            <w:vAlign w:val="center"/>
          </w:tcPr>
          <w:p w14:paraId="3D73C949" w14:textId="265C8773" w:rsidR="00B3331C"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88.0%</w:t>
            </w:r>
          </w:p>
        </w:tc>
      </w:tr>
      <w:tr w:rsidR="007677D6" w:rsidRPr="00CC1ECE" w14:paraId="5E2D1BF3" w14:textId="77777777" w:rsidTr="00586085">
        <w:trPr>
          <w:trHeight w:val="243"/>
          <w:jc w:val="center"/>
        </w:trPr>
        <w:tc>
          <w:tcPr>
            <w:tcW w:w="2070" w:type="dxa"/>
            <w:tcBorders>
              <w:top w:val="single" w:sz="8" w:space="0" w:color="C0504D" w:themeColor="accent2"/>
              <w:left w:val="single" w:sz="12" w:space="0" w:color="000000"/>
              <w:bottom w:val="single" w:sz="4" w:space="0" w:color="000000"/>
              <w:right w:val="single" w:sz="18" w:space="0" w:color="0070C0"/>
            </w:tcBorders>
            <w:shd w:val="clear" w:color="auto" w:fill="auto"/>
            <w:vAlign w:val="center"/>
          </w:tcPr>
          <w:p w14:paraId="2C0339DD" w14:textId="295D9526" w:rsidR="00B3331C" w:rsidRDefault="00B3331C"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Buy </w:t>
            </w:r>
            <w:r w:rsidR="00586085">
              <w:rPr>
                <w:rFonts w:ascii="Verdana" w:eastAsia="Times New Roman" w:hAnsi="Verdana"/>
                <w:sz w:val="20"/>
                <w:szCs w:val="20"/>
              </w:rPr>
              <w:t xml:space="preserve">a </w:t>
            </w:r>
            <w:r>
              <w:rPr>
                <w:rFonts w:ascii="Verdana" w:eastAsia="Times New Roman" w:hAnsi="Verdana"/>
                <w:sz w:val="20"/>
                <w:szCs w:val="20"/>
              </w:rPr>
              <w:t>home</w:t>
            </w:r>
            <w:r w:rsidR="001351AD">
              <w:rPr>
                <w:rFonts w:ascii="Verdana" w:eastAsia="Times New Roman" w:hAnsi="Verdana"/>
                <w:sz w:val="20"/>
                <w:szCs w:val="20"/>
              </w:rPr>
              <w:t>: Yes</w:t>
            </w:r>
          </w:p>
        </w:tc>
        <w:tc>
          <w:tcPr>
            <w:tcW w:w="1395" w:type="dxa"/>
            <w:tcBorders>
              <w:top w:val="single" w:sz="8" w:space="0" w:color="C0504D" w:themeColor="accent2"/>
              <w:left w:val="single" w:sz="18" w:space="0" w:color="0070C0"/>
              <w:bottom w:val="single" w:sz="4" w:space="0" w:color="000000"/>
              <w:right w:val="single" w:sz="8" w:space="0" w:color="0070C0"/>
            </w:tcBorders>
            <w:shd w:val="clear" w:color="auto" w:fill="auto"/>
            <w:vAlign w:val="center"/>
          </w:tcPr>
          <w:p w14:paraId="12CFA410" w14:textId="27638903" w:rsidR="00B3331C"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7.0%</w:t>
            </w:r>
          </w:p>
        </w:tc>
        <w:tc>
          <w:tcPr>
            <w:tcW w:w="1397" w:type="dxa"/>
            <w:tcBorders>
              <w:top w:val="single" w:sz="8" w:space="0" w:color="C0504D" w:themeColor="accent2"/>
              <w:left w:val="single" w:sz="8" w:space="0" w:color="0070C0"/>
              <w:bottom w:val="single" w:sz="4" w:space="0" w:color="000000"/>
              <w:right w:val="single" w:sz="8" w:space="0" w:color="0070C0"/>
            </w:tcBorders>
            <w:shd w:val="clear" w:color="auto" w:fill="D6E3BC" w:themeFill="accent3" w:themeFillTint="66"/>
            <w:vAlign w:val="center"/>
          </w:tcPr>
          <w:p w14:paraId="42D5A5F2" w14:textId="6475B285" w:rsidR="00B3331C"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7.9%</w:t>
            </w:r>
          </w:p>
        </w:tc>
        <w:tc>
          <w:tcPr>
            <w:tcW w:w="1397" w:type="dxa"/>
            <w:tcBorders>
              <w:top w:val="single" w:sz="8" w:space="0" w:color="C0504D" w:themeColor="accent2"/>
              <w:left w:val="single" w:sz="8" w:space="0" w:color="0070C0"/>
              <w:bottom w:val="single" w:sz="4" w:space="0" w:color="000000"/>
              <w:right w:val="single" w:sz="8" w:space="0" w:color="0070C0"/>
            </w:tcBorders>
            <w:shd w:val="clear" w:color="auto" w:fill="F2DBDB" w:themeFill="accent2" w:themeFillTint="33"/>
            <w:vAlign w:val="center"/>
          </w:tcPr>
          <w:p w14:paraId="194C0E3B" w14:textId="02FA7F4F" w:rsidR="00B3331C"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7.8%</w:t>
            </w:r>
          </w:p>
        </w:tc>
        <w:tc>
          <w:tcPr>
            <w:tcW w:w="1397" w:type="dxa"/>
            <w:tcBorders>
              <w:top w:val="single" w:sz="8" w:space="0" w:color="C0504D" w:themeColor="accent2"/>
              <w:left w:val="single" w:sz="8" w:space="0" w:color="0070C0"/>
              <w:bottom w:val="single" w:sz="4" w:space="0" w:color="000000"/>
              <w:right w:val="single" w:sz="8" w:space="0" w:color="0070C0"/>
            </w:tcBorders>
            <w:shd w:val="clear" w:color="auto" w:fill="E5B8B7" w:themeFill="accent2" w:themeFillTint="66"/>
            <w:vAlign w:val="center"/>
          </w:tcPr>
          <w:p w14:paraId="15CAB4B1" w14:textId="75BE1399" w:rsidR="00B3331C"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6.9%</w:t>
            </w:r>
          </w:p>
        </w:tc>
        <w:tc>
          <w:tcPr>
            <w:tcW w:w="1397" w:type="dxa"/>
            <w:tcBorders>
              <w:top w:val="single" w:sz="8" w:space="0" w:color="C0504D" w:themeColor="accent2"/>
              <w:left w:val="single" w:sz="8" w:space="0" w:color="0070C0"/>
              <w:bottom w:val="single" w:sz="4" w:space="0" w:color="000000"/>
              <w:right w:val="single" w:sz="12" w:space="0" w:color="auto"/>
            </w:tcBorders>
            <w:shd w:val="clear" w:color="auto" w:fill="D6E3BC" w:themeFill="accent3" w:themeFillTint="66"/>
            <w:vAlign w:val="center"/>
          </w:tcPr>
          <w:p w14:paraId="1C82BA2D" w14:textId="053BD527" w:rsidR="00B3331C"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7.7%</w:t>
            </w:r>
          </w:p>
        </w:tc>
      </w:tr>
      <w:tr w:rsidR="00586085" w:rsidRPr="00CC1ECE" w14:paraId="16071BF5" w14:textId="77777777" w:rsidTr="00586085">
        <w:trPr>
          <w:trHeight w:val="54"/>
          <w:jc w:val="center"/>
        </w:trPr>
        <w:tc>
          <w:tcPr>
            <w:tcW w:w="207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03961DAF" w14:textId="6D32F0CB" w:rsidR="00B3331C" w:rsidRPr="00CC1ECE" w:rsidRDefault="001351AD"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Buy </w:t>
            </w:r>
            <w:r w:rsidR="00586085">
              <w:rPr>
                <w:rFonts w:ascii="Verdana" w:eastAsia="Times New Roman" w:hAnsi="Verdana"/>
                <w:sz w:val="20"/>
                <w:szCs w:val="20"/>
              </w:rPr>
              <w:t xml:space="preserve">a </w:t>
            </w:r>
            <w:r>
              <w:rPr>
                <w:rFonts w:ascii="Verdana" w:eastAsia="Times New Roman" w:hAnsi="Verdana"/>
                <w:sz w:val="20"/>
                <w:szCs w:val="20"/>
              </w:rPr>
              <w:t xml:space="preserve">home: </w:t>
            </w:r>
            <w:r w:rsidR="00B3331C">
              <w:rPr>
                <w:rFonts w:ascii="Verdana" w:eastAsia="Times New Roman" w:hAnsi="Verdana"/>
                <w:sz w:val="20"/>
                <w:szCs w:val="20"/>
              </w:rPr>
              <w:t>No</w:t>
            </w:r>
          </w:p>
        </w:tc>
        <w:tc>
          <w:tcPr>
            <w:tcW w:w="1395"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30FD8556" w14:textId="0F2D0F49" w:rsidR="00B3331C" w:rsidRPr="00CC1ECE"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w:t>
            </w:r>
            <w:r w:rsidR="007677D6">
              <w:rPr>
                <w:rFonts w:ascii="Verdana" w:eastAsia="Times New Roman" w:hAnsi="Verdana"/>
                <w:sz w:val="20"/>
                <w:szCs w:val="20"/>
              </w:rPr>
              <w:t>.</w:t>
            </w:r>
            <w:r>
              <w:rPr>
                <w:rFonts w:ascii="Verdana" w:eastAsia="Times New Roman" w:hAnsi="Verdana"/>
                <w:sz w:val="20"/>
                <w:szCs w:val="20"/>
              </w:rPr>
              <w:t>7%</w:t>
            </w:r>
          </w:p>
        </w:tc>
        <w:tc>
          <w:tcPr>
            <w:tcW w:w="1397"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08F10804" w14:textId="53BFAE32" w:rsidR="00B3331C" w:rsidRPr="00CC1ECE"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w:t>
            </w:r>
            <w:r w:rsidR="007677D6">
              <w:rPr>
                <w:rFonts w:ascii="Verdana" w:eastAsia="Times New Roman" w:hAnsi="Verdana"/>
                <w:sz w:val="20"/>
                <w:szCs w:val="20"/>
              </w:rPr>
              <w:t>.</w:t>
            </w:r>
            <w:r>
              <w:rPr>
                <w:rFonts w:ascii="Verdana" w:eastAsia="Times New Roman" w:hAnsi="Verdana"/>
                <w:sz w:val="20"/>
                <w:szCs w:val="20"/>
              </w:rPr>
              <w:t>3%</w:t>
            </w:r>
          </w:p>
        </w:tc>
        <w:tc>
          <w:tcPr>
            <w:tcW w:w="1397" w:type="dxa"/>
            <w:tcBorders>
              <w:top w:val="single" w:sz="4" w:space="0" w:color="000000"/>
              <w:left w:val="single" w:sz="8" w:space="0" w:color="0070C0"/>
              <w:bottom w:val="single" w:sz="12" w:space="0" w:color="000000"/>
              <w:right w:val="single" w:sz="8" w:space="0" w:color="0070C0"/>
            </w:tcBorders>
            <w:shd w:val="clear" w:color="auto" w:fill="F2DBDB" w:themeFill="accent2" w:themeFillTint="33"/>
            <w:vAlign w:val="center"/>
          </w:tcPr>
          <w:p w14:paraId="21CD37C7" w14:textId="5EFB9F81" w:rsidR="00B3331C" w:rsidRPr="00CC1ECE"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82.7%</w:t>
            </w:r>
          </w:p>
        </w:tc>
        <w:tc>
          <w:tcPr>
            <w:tcW w:w="1397"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58E19B38" w14:textId="187032FC" w:rsidR="00B3331C" w:rsidRPr="00CC1ECE"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85.9%</w:t>
            </w:r>
          </w:p>
        </w:tc>
        <w:tc>
          <w:tcPr>
            <w:tcW w:w="1397" w:type="dxa"/>
            <w:tcBorders>
              <w:top w:val="single" w:sz="4" w:space="0" w:color="000000"/>
              <w:left w:val="single" w:sz="8" w:space="0" w:color="0070C0"/>
              <w:bottom w:val="single" w:sz="12" w:space="0" w:color="000000"/>
              <w:right w:val="single" w:sz="12" w:space="0" w:color="auto"/>
            </w:tcBorders>
            <w:shd w:val="clear" w:color="auto" w:fill="F2DBDB" w:themeFill="accent2" w:themeFillTint="33"/>
            <w:vAlign w:val="center"/>
          </w:tcPr>
          <w:p w14:paraId="620C8996" w14:textId="2111428B" w:rsidR="00B3331C" w:rsidRPr="00CC1ECE" w:rsidRDefault="001351AD"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85.3%</w:t>
            </w:r>
          </w:p>
        </w:tc>
      </w:tr>
    </w:tbl>
    <w:p w14:paraId="169635F7" w14:textId="229065DE" w:rsidR="001351AD" w:rsidRPr="0068494F" w:rsidRDefault="001351AD" w:rsidP="00586085">
      <w:pPr>
        <w:pStyle w:val="NoSpacing"/>
        <w:tabs>
          <w:tab w:val="left" w:pos="180"/>
        </w:tabs>
        <w:contextualSpacing/>
        <w:mirrorIndents/>
        <w:rPr>
          <w:rFonts w:ascii="Verdana" w:hAnsi="Verdana"/>
          <w:sz w:val="20"/>
          <w:szCs w:val="20"/>
        </w:rPr>
      </w:pPr>
      <w:r>
        <w:rPr>
          <w:rFonts w:ascii="Verdana" w:hAnsi="Verdana"/>
          <w:sz w:val="16"/>
          <w:szCs w:val="16"/>
        </w:rPr>
        <w:tab/>
        <w:t>The Farnsworth Group</w:t>
      </w:r>
      <w:r w:rsidRPr="00CC1ECE">
        <w:rPr>
          <w:rFonts w:ascii="Verdana" w:hAnsi="Verdana"/>
          <w:sz w:val="16"/>
          <w:szCs w:val="16"/>
        </w:rPr>
        <w:t xml:space="preserve">, </w:t>
      </w:r>
      <w:r>
        <w:rPr>
          <w:rFonts w:ascii="Verdana" w:hAnsi="Verdana"/>
          <w:sz w:val="16"/>
          <w:szCs w:val="16"/>
        </w:rPr>
        <w:t>January 2022</w:t>
      </w:r>
      <w:r>
        <w:rPr>
          <w:rFonts w:ascii="Verdana" w:hAnsi="Verdana"/>
          <w:sz w:val="16"/>
          <w:szCs w:val="16"/>
        </w:rPr>
        <w:tab/>
        <w:t>(color represents the change from the previous month)</w:t>
      </w:r>
    </w:p>
    <w:p w14:paraId="29C83F07" w14:textId="1BA0FFB4" w:rsidR="00B3331C" w:rsidRDefault="00B3331C" w:rsidP="001351AD">
      <w:pPr>
        <w:pStyle w:val="NoSpacing"/>
        <w:contextualSpacing/>
        <w:mirrorIndents/>
        <w:rPr>
          <w:rFonts w:ascii="Verdana" w:hAnsi="Verdana"/>
          <w:sz w:val="20"/>
          <w:szCs w:val="20"/>
        </w:rPr>
      </w:pPr>
    </w:p>
    <w:p w14:paraId="5875F4B2" w14:textId="5E3EB623" w:rsidR="002C1B6E" w:rsidRPr="002A2D1B" w:rsidRDefault="002C1B6E" w:rsidP="002A2D1B">
      <w:pPr>
        <w:spacing w:after="0" w:line="240" w:lineRule="auto"/>
        <w:contextualSpacing/>
        <w:mirrorIndents/>
        <w:jc w:val="center"/>
        <w:rPr>
          <w:rFonts w:ascii="Verdana" w:hAnsi="Verdana"/>
          <w:b/>
          <w:bCs/>
          <w:color w:val="0070C0"/>
          <w:sz w:val="20"/>
          <w:szCs w:val="20"/>
        </w:rPr>
      </w:pPr>
      <w:r w:rsidRPr="002A2D1B">
        <w:rPr>
          <w:rFonts w:ascii="Verdana" w:hAnsi="Verdana"/>
          <w:b/>
          <w:bCs/>
          <w:color w:val="0070C0"/>
          <w:sz w:val="20"/>
          <w:szCs w:val="20"/>
        </w:rPr>
        <w:t>The Retail Perspective</w:t>
      </w:r>
    </w:p>
    <w:p w14:paraId="403938BD" w14:textId="77777777" w:rsidR="002C1B6E" w:rsidRPr="002C1B6E" w:rsidRDefault="002C1B6E" w:rsidP="002C1B6E">
      <w:pPr>
        <w:spacing w:after="0" w:line="240" w:lineRule="auto"/>
        <w:contextualSpacing/>
        <w:mirrorIndents/>
        <w:rPr>
          <w:rFonts w:ascii="Verdana" w:hAnsi="Verdana"/>
          <w:sz w:val="20"/>
          <w:szCs w:val="20"/>
        </w:rPr>
      </w:pPr>
    </w:p>
    <w:p w14:paraId="0EA134EA" w14:textId="3FAB5592" w:rsidR="002A2D1B" w:rsidRDefault="002A2D1B" w:rsidP="002C1B6E">
      <w:pPr>
        <w:spacing w:after="0" w:line="240" w:lineRule="auto"/>
        <w:contextualSpacing/>
        <w:mirrorIndents/>
        <w:rPr>
          <w:rFonts w:ascii="Verdana" w:hAnsi="Verdana"/>
          <w:sz w:val="20"/>
          <w:szCs w:val="20"/>
        </w:rPr>
      </w:pPr>
      <w:r>
        <w:rPr>
          <w:rFonts w:ascii="Verdana" w:hAnsi="Verdana"/>
          <w:sz w:val="20"/>
          <w:szCs w:val="20"/>
        </w:rPr>
        <w:t xml:space="preserve">After home improvement products sales increased 13.3% during 2020, some in the industry thought 2021 couldn’t match that growth, however, sales increased another 13.0% for 2021, establishing a record two-year growth. </w:t>
      </w:r>
    </w:p>
    <w:p w14:paraId="2AFEA2B3" w14:textId="05B46CA5" w:rsidR="002A2D1B" w:rsidRDefault="002A2D1B" w:rsidP="002C1B6E">
      <w:pPr>
        <w:spacing w:after="0" w:line="240" w:lineRule="auto"/>
        <w:contextualSpacing/>
        <w:mirrorIndents/>
        <w:rPr>
          <w:rFonts w:ascii="Verdana" w:hAnsi="Verdana"/>
          <w:sz w:val="20"/>
          <w:szCs w:val="20"/>
        </w:rPr>
      </w:pPr>
    </w:p>
    <w:p w14:paraId="43A134B4" w14:textId="4769A1C4" w:rsidR="00820532" w:rsidRDefault="00875D0E" w:rsidP="002C1B6E">
      <w:pPr>
        <w:spacing w:after="0" w:line="240" w:lineRule="auto"/>
        <w:contextualSpacing/>
        <w:mirrorIndents/>
        <w:rPr>
          <w:rFonts w:ascii="Verdana" w:hAnsi="Verdana"/>
          <w:sz w:val="20"/>
          <w:szCs w:val="20"/>
        </w:rPr>
      </w:pPr>
      <w:r>
        <w:rPr>
          <w:rFonts w:ascii="Verdana" w:hAnsi="Verdana"/>
          <w:sz w:val="20"/>
          <w:szCs w:val="20"/>
        </w:rPr>
        <w:t xml:space="preserve">According to </w:t>
      </w:r>
      <w:r w:rsidR="005D6775">
        <w:rPr>
          <w:rFonts w:ascii="Verdana" w:hAnsi="Verdana"/>
          <w:sz w:val="20"/>
          <w:szCs w:val="20"/>
        </w:rPr>
        <w:t xml:space="preserve">the </w:t>
      </w:r>
      <w:r>
        <w:rPr>
          <w:rFonts w:ascii="Verdana" w:hAnsi="Verdana"/>
          <w:sz w:val="20"/>
          <w:szCs w:val="20"/>
        </w:rPr>
        <w:t xml:space="preserve">Placer.ai Q4 2021 Retail Quarterly Index Report, smaller home improvement retailers </w:t>
      </w:r>
      <w:r w:rsidR="00820532">
        <w:rPr>
          <w:rFonts w:ascii="Verdana" w:hAnsi="Verdana"/>
          <w:sz w:val="20"/>
          <w:szCs w:val="20"/>
        </w:rPr>
        <w:t xml:space="preserve">had major increases </w:t>
      </w:r>
      <w:r w:rsidR="00586085">
        <w:rPr>
          <w:rFonts w:ascii="Verdana" w:hAnsi="Verdana"/>
          <w:sz w:val="20"/>
          <w:szCs w:val="20"/>
        </w:rPr>
        <w:t xml:space="preserve">in </w:t>
      </w:r>
      <w:r w:rsidR="00820532">
        <w:rPr>
          <w:rFonts w:ascii="Verdana" w:hAnsi="Verdana"/>
          <w:sz w:val="20"/>
          <w:szCs w:val="20"/>
        </w:rPr>
        <w:t xml:space="preserve">visits compared to Q4 2019: </w:t>
      </w:r>
      <w:r>
        <w:rPr>
          <w:rFonts w:ascii="Verdana" w:hAnsi="Verdana"/>
          <w:sz w:val="20"/>
          <w:szCs w:val="20"/>
        </w:rPr>
        <w:t>Tractor Supply</w:t>
      </w:r>
      <w:r w:rsidR="00820532">
        <w:rPr>
          <w:rFonts w:ascii="Verdana" w:hAnsi="Verdana"/>
          <w:sz w:val="20"/>
          <w:szCs w:val="20"/>
        </w:rPr>
        <w:t xml:space="preserve"> +47.3%</w:t>
      </w:r>
      <w:r>
        <w:rPr>
          <w:rFonts w:ascii="Verdana" w:hAnsi="Verdana"/>
          <w:sz w:val="20"/>
          <w:szCs w:val="20"/>
        </w:rPr>
        <w:t>, Rural King</w:t>
      </w:r>
      <w:r w:rsidR="00820532">
        <w:rPr>
          <w:rFonts w:ascii="Verdana" w:hAnsi="Verdana"/>
          <w:sz w:val="20"/>
          <w:szCs w:val="20"/>
        </w:rPr>
        <w:t xml:space="preserve"> +16.1%, Harbor Freight Tools +15.7% and Ace Hardware +24.0%.</w:t>
      </w:r>
    </w:p>
    <w:p w14:paraId="49D26FBF" w14:textId="77777777" w:rsidR="00820532" w:rsidRDefault="00820532" w:rsidP="002C1B6E">
      <w:pPr>
        <w:spacing w:after="0" w:line="240" w:lineRule="auto"/>
        <w:contextualSpacing/>
        <w:mirrorIndents/>
        <w:rPr>
          <w:rFonts w:ascii="Verdana" w:hAnsi="Verdana"/>
          <w:sz w:val="20"/>
          <w:szCs w:val="20"/>
        </w:rPr>
      </w:pPr>
    </w:p>
    <w:p w14:paraId="75B8B195" w14:textId="7F802CCF" w:rsidR="002A2D1B" w:rsidRDefault="00820532" w:rsidP="002C1B6E">
      <w:pPr>
        <w:spacing w:after="0" w:line="240" w:lineRule="auto"/>
        <w:contextualSpacing/>
        <w:mirrorIndents/>
        <w:rPr>
          <w:rFonts w:ascii="Verdana" w:hAnsi="Verdana"/>
          <w:sz w:val="20"/>
          <w:szCs w:val="20"/>
        </w:rPr>
      </w:pPr>
      <w:r>
        <w:rPr>
          <w:rFonts w:ascii="Verdana" w:hAnsi="Verdana"/>
          <w:sz w:val="20"/>
          <w:szCs w:val="20"/>
        </w:rPr>
        <w:t xml:space="preserve">By comparison, the two major home improvement retailers also experienced increases from Q4 2019, but not quite as large: </w:t>
      </w:r>
      <w:r w:rsidR="00875D0E">
        <w:rPr>
          <w:rFonts w:ascii="Verdana" w:hAnsi="Verdana"/>
          <w:sz w:val="20"/>
          <w:szCs w:val="20"/>
        </w:rPr>
        <w:t xml:space="preserve">The Home Depot </w:t>
      </w:r>
      <w:r>
        <w:rPr>
          <w:rFonts w:ascii="Verdana" w:hAnsi="Verdana"/>
          <w:sz w:val="20"/>
          <w:szCs w:val="20"/>
        </w:rPr>
        <w:t>+11.5</w:t>
      </w:r>
      <w:r w:rsidR="00875D0E">
        <w:rPr>
          <w:rFonts w:ascii="Verdana" w:hAnsi="Verdana"/>
          <w:sz w:val="20"/>
          <w:szCs w:val="20"/>
        </w:rPr>
        <w:t xml:space="preserve">% and Lowe’s </w:t>
      </w:r>
      <w:r>
        <w:rPr>
          <w:rFonts w:ascii="Verdana" w:hAnsi="Verdana"/>
          <w:sz w:val="20"/>
          <w:szCs w:val="20"/>
        </w:rPr>
        <w:t>+13.0</w:t>
      </w:r>
      <w:r w:rsidR="00875D0E">
        <w:rPr>
          <w:rFonts w:ascii="Verdana" w:hAnsi="Verdana"/>
          <w:sz w:val="20"/>
          <w:szCs w:val="20"/>
        </w:rPr>
        <w:t>%</w:t>
      </w:r>
      <w:r>
        <w:rPr>
          <w:rFonts w:ascii="Verdana" w:hAnsi="Verdana"/>
          <w:sz w:val="20"/>
          <w:szCs w:val="20"/>
        </w:rPr>
        <w:t>; however, both of their Q4 2021 visits decreased from Q4 2020 and Q3 2021.</w:t>
      </w:r>
    </w:p>
    <w:p w14:paraId="7343F496" w14:textId="110B1435" w:rsidR="00820532" w:rsidRDefault="00820532" w:rsidP="002C1B6E">
      <w:pPr>
        <w:spacing w:after="0" w:line="240" w:lineRule="auto"/>
        <w:contextualSpacing/>
        <w:mirrorIndents/>
        <w:rPr>
          <w:rFonts w:ascii="Verdana" w:hAnsi="Verdana"/>
          <w:sz w:val="20"/>
          <w:szCs w:val="20"/>
        </w:rPr>
      </w:pPr>
    </w:p>
    <w:p w14:paraId="4FC272CE" w14:textId="7005CE89" w:rsidR="00534DA1" w:rsidRPr="00502F18" w:rsidRDefault="00CD2032" w:rsidP="00534DA1">
      <w:pPr>
        <w:pStyle w:val="Header"/>
        <w:contextualSpacing/>
        <w:jc w:val="center"/>
        <w:rPr>
          <w:rFonts w:ascii="Verdana" w:hAnsi="Verdana"/>
          <w:b/>
          <w:sz w:val="20"/>
          <w:szCs w:val="20"/>
        </w:rPr>
      </w:pPr>
      <w:r>
        <w:rPr>
          <w:rFonts w:ascii="Verdana" w:hAnsi="Verdana"/>
          <w:b/>
          <w:sz w:val="20"/>
          <w:szCs w:val="20"/>
        </w:rPr>
        <w:t>Building Materials and Supplies Dealers</w:t>
      </w:r>
      <w:r w:rsidR="00534DA1">
        <w:rPr>
          <w:rFonts w:ascii="Verdana" w:hAnsi="Verdana"/>
          <w:b/>
          <w:sz w:val="20"/>
          <w:szCs w:val="20"/>
        </w:rPr>
        <w:t>’* Sales Comparisons, 2020–2021</w:t>
      </w:r>
      <w:r>
        <w:rPr>
          <w:rFonts w:ascii="Verdana" w:hAnsi="Verdana"/>
          <w:b/>
          <w:sz w:val="20"/>
          <w:szCs w:val="20"/>
        </w:rPr>
        <w:t>†</w:t>
      </w:r>
    </w:p>
    <w:tbl>
      <w:tblPr>
        <w:tblW w:w="10882" w:type="dxa"/>
        <w:jc w:val="center"/>
        <w:tblBorders>
          <w:left w:val="single" w:sz="8" w:space="0" w:color="000000"/>
          <w:right w:val="single" w:sz="8" w:space="0" w:color="000000"/>
        </w:tblBorders>
        <w:tblLayout w:type="fixed"/>
        <w:tblLook w:val="0000" w:firstRow="0" w:lastRow="0" w:firstColumn="0" w:lastColumn="0" w:noHBand="0" w:noVBand="0"/>
      </w:tblPr>
      <w:tblGrid>
        <w:gridCol w:w="1555"/>
        <w:gridCol w:w="1296"/>
        <w:gridCol w:w="1296"/>
        <w:gridCol w:w="1296"/>
        <w:gridCol w:w="1551"/>
        <w:gridCol w:w="1296"/>
        <w:gridCol w:w="1296"/>
        <w:gridCol w:w="1296"/>
      </w:tblGrid>
      <w:tr w:rsidR="00D653E8" w:rsidRPr="00502F18" w14:paraId="31F35AC8" w14:textId="77777777" w:rsidTr="005D6775">
        <w:trPr>
          <w:jc w:val="center"/>
        </w:trPr>
        <w:tc>
          <w:tcPr>
            <w:tcW w:w="1555" w:type="dxa"/>
            <w:tcBorders>
              <w:top w:val="single" w:sz="12" w:space="0" w:color="000000"/>
              <w:left w:val="single" w:sz="12" w:space="0" w:color="000000"/>
              <w:bottom w:val="single" w:sz="18" w:space="0" w:color="C0504D" w:themeColor="accent2"/>
              <w:right w:val="single" w:sz="12" w:space="0" w:color="0070C0"/>
            </w:tcBorders>
            <w:shd w:val="clear" w:color="auto" w:fill="auto"/>
            <w:vAlign w:val="center"/>
          </w:tcPr>
          <w:p w14:paraId="77983FD7" w14:textId="77777777" w:rsidR="00D653E8" w:rsidRPr="00502F18" w:rsidRDefault="00D653E8" w:rsidP="005D677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Period</w:t>
            </w:r>
          </w:p>
        </w:tc>
        <w:tc>
          <w:tcPr>
            <w:tcW w:w="1296" w:type="dxa"/>
            <w:tcBorders>
              <w:top w:val="single" w:sz="12" w:space="0" w:color="000000"/>
              <w:left w:val="single" w:sz="8" w:space="0" w:color="0070C0"/>
              <w:bottom w:val="single" w:sz="18" w:space="0" w:color="C0504D" w:themeColor="accent2"/>
              <w:right w:val="single" w:sz="8" w:space="0" w:color="0070C0"/>
            </w:tcBorders>
            <w:vAlign w:val="center"/>
          </w:tcPr>
          <w:p w14:paraId="26D61F35" w14:textId="77777777" w:rsidR="00D653E8" w:rsidRDefault="00D653E8" w:rsidP="005D677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 Sales</w:t>
            </w:r>
          </w:p>
        </w:tc>
        <w:tc>
          <w:tcPr>
            <w:tcW w:w="129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F77F0B8" w14:textId="77777777" w:rsidR="00D653E8" w:rsidRDefault="00D653E8" w:rsidP="005D677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296" w:type="dxa"/>
            <w:tcBorders>
              <w:top w:val="single" w:sz="12" w:space="0" w:color="000000"/>
              <w:left w:val="single" w:sz="8" w:space="0" w:color="0070C0"/>
              <w:bottom w:val="single" w:sz="18" w:space="0" w:color="C0504D" w:themeColor="accent2"/>
              <w:right w:val="single" w:sz="18" w:space="0" w:color="0070C0"/>
            </w:tcBorders>
            <w:shd w:val="clear" w:color="auto" w:fill="auto"/>
            <w:vAlign w:val="center"/>
          </w:tcPr>
          <w:p w14:paraId="375AB316" w14:textId="77777777" w:rsidR="00D653E8" w:rsidRPr="00502F18" w:rsidRDefault="00D653E8" w:rsidP="005D677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2019</w:t>
            </w:r>
          </w:p>
        </w:tc>
        <w:tc>
          <w:tcPr>
            <w:tcW w:w="1551"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2D9530BB" w14:textId="77777777" w:rsidR="00D653E8" w:rsidRPr="00502F18" w:rsidRDefault="00D653E8" w:rsidP="005D677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Period</w:t>
            </w:r>
          </w:p>
        </w:tc>
        <w:tc>
          <w:tcPr>
            <w:tcW w:w="1296" w:type="dxa"/>
            <w:tcBorders>
              <w:top w:val="single" w:sz="12" w:space="0" w:color="000000"/>
              <w:left w:val="single" w:sz="8" w:space="0" w:color="0070C0"/>
              <w:bottom w:val="single" w:sz="18" w:space="0" w:color="C0504D" w:themeColor="accent2"/>
              <w:right w:val="single" w:sz="8" w:space="0" w:color="0070C0"/>
            </w:tcBorders>
            <w:vAlign w:val="center"/>
          </w:tcPr>
          <w:p w14:paraId="4F7B3253" w14:textId="77777777" w:rsidR="00D653E8" w:rsidRDefault="00D653E8" w:rsidP="005D677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 Sales</w:t>
            </w:r>
          </w:p>
        </w:tc>
        <w:tc>
          <w:tcPr>
            <w:tcW w:w="129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446836D" w14:textId="77777777" w:rsidR="00D653E8" w:rsidRDefault="00D653E8" w:rsidP="005D677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29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602CCE4D" w14:textId="77777777" w:rsidR="00D653E8" w:rsidRPr="00502F18" w:rsidRDefault="00D653E8" w:rsidP="005D677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2019</w:t>
            </w:r>
          </w:p>
        </w:tc>
      </w:tr>
      <w:tr w:rsidR="00D653E8" w:rsidRPr="00502F18" w14:paraId="45EC8ECE" w14:textId="77777777" w:rsidTr="005D6775">
        <w:trPr>
          <w:trHeight w:val="243"/>
          <w:jc w:val="center"/>
        </w:trPr>
        <w:tc>
          <w:tcPr>
            <w:tcW w:w="1555" w:type="dxa"/>
            <w:tcBorders>
              <w:top w:val="single" w:sz="18" w:space="0" w:color="C0504D" w:themeColor="accent2"/>
              <w:left w:val="single" w:sz="12" w:space="0" w:color="000000"/>
              <w:bottom w:val="single" w:sz="4" w:space="0" w:color="auto"/>
              <w:right w:val="single" w:sz="12" w:space="0" w:color="0070C0"/>
            </w:tcBorders>
            <w:shd w:val="clear" w:color="auto" w:fill="auto"/>
            <w:vAlign w:val="center"/>
          </w:tcPr>
          <w:p w14:paraId="5FEE7954" w14:textId="77777777" w:rsidR="00D653E8" w:rsidRPr="00502F18" w:rsidRDefault="00D653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Q1 2021</w:t>
            </w:r>
          </w:p>
        </w:tc>
        <w:tc>
          <w:tcPr>
            <w:tcW w:w="1296" w:type="dxa"/>
            <w:tcBorders>
              <w:top w:val="single" w:sz="18" w:space="0" w:color="C0504D" w:themeColor="accent2"/>
              <w:left w:val="single" w:sz="8" w:space="0" w:color="0070C0"/>
              <w:bottom w:val="single" w:sz="4" w:space="0" w:color="auto"/>
              <w:right w:val="single" w:sz="8" w:space="0" w:color="0070C0"/>
            </w:tcBorders>
            <w:vAlign w:val="center"/>
          </w:tcPr>
          <w:p w14:paraId="5AB18114" w14:textId="0F4CDAA1" w:rsidR="00D653E8" w:rsidRDefault="00620D7E"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$90.18 B</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66B1B5E1" w14:textId="1291A6A8" w:rsidR="00D653E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BD5A1B">
              <w:rPr>
                <w:rFonts w:ascii="Verdana" w:eastAsia="Times New Roman" w:hAnsi="Verdana"/>
                <w:sz w:val="20"/>
                <w:szCs w:val="20"/>
              </w:rPr>
              <w:t>20.7</w:t>
            </w:r>
            <w:r>
              <w:rPr>
                <w:rFonts w:ascii="Verdana" w:eastAsia="Times New Roman" w:hAnsi="Verdana"/>
                <w:sz w:val="20"/>
                <w:szCs w:val="20"/>
              </w:rPr>
              <w:t>%</w:t>
            </w:r>
          </w:p>
        </w:tc>
        <w:tc>
          <w:tcPr>
            <w:tcW w:w="1296" w:type="dxa"/>
            <w:tcBorders>
              <w:top w:val="single" w:sz="18" w:space="0" w:color="C0504D" w:themeColor="accent2"/>
              <w:left w:val="single" w:sz="8" w:space="0" w:color="0070C0"/>
              <w:bottom w:val="single" w:sz="4" w:space="0" w:color="auto"/>
              <w:right w:val="single" w:sz="18" w:space="0" w:color="0070C0"/>
            </w:tcBorders>
            <w:shd w:val="clear" w:color="auto" w:fill="C2D69B" w:themeFill="accent3" w:themeFillTint="99"/>
            <w:vAlign w:val="center"/>
          </w:tcPr>
          <w:p w14:paraId="4A9B5BDE" w14:textId="2A2F9320" w:rsidR="00D653E8" w:rsidRPr="00502F1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741062">
              <w:rPr>
                <w:rFonts w:ascii="Verdana" w:eastAsia="Times New Roman" w:hAnsi="Verdana"/>
                <w:sz w:val="20"/>
                <w:szCs w:val="20"/>
              </w:rPr>
              <w:t>28.2</w:t>
            </w:r>
            <w:r>
              <w:rPr>
                <w:rFonts w:ascii="Verdana" w:eastAsia="Times New Roman" w:hAnsi="Verdana"/>
                <w:sz w:val="20"/>
                <w:szCs w:val="20"/>
              </w:rPr>
              <w:t>%</w:t>
            </w:r>
          </w:p>
        </w:tc>
        <w:tc>
          <w:tcPr>
            <w:tcW w:w="1551"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45203967" w14:textId="0F4BBA77" w:rsidR="00D653E8" w:rsidRPr="00502F18" w:rsidRDefault="00620D7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August</w:t>
            </w:r>
            <w:r w:rsidR="00D653E8">
              <w:rPr>
                <w:rFonts w:ascii="Verdana" w:eastAsia="Times New Roman" w:hAnsi="Verdana"/>
                <w:sz w:val="20"/>
                <w:szCs w:val="20"/>
              </w:rPr>
              <w:t xml:space="preserve"> 2021</w:t>
            </w:r>
          </w:p>
        </w:tc>
        <w:tc>
          <w:tcPr>
            <w:tcW w:w="1296" w:type="dxa"/>
            <w:tcBorders>
              <w:top w:val="single" w:sz="18" w:space="0" w:color="C0504D" w:themeColor="accent2"/>
              <w:left w:val="single" w:sz="8" w:space="0" w:color="0070C0"/>
              <w:bottom w:val="single" w:sz="4" w:space="0" w:color="000000"/>
              <w:right w:val="single" w:sz="8" w:space="0" w:color="0070C0"/>
            </w:tcBorders>
            <w:shd w:val="clear" w:color="auto" w:fill="auto"/>
            <w:vAlign w:val="center"/>
          </w:tcPr>
          <w:p w14:paraId="0046F186" w14:textId="2C0AFDC6" w:rsidR="00D653E8" w:rsidRPr="00502F18" w:rsidRDefault="00620D7E"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$35</w:t>
            </w:r>
            <w:r w:rsidR="00683091">
              <w:rPr>
                <w:rFonts w:ascii="Verdana" w:eastAsia="Times New Roman" w:hAnsi="Verdana"/>
                <w:sz w:val="20"/>
                <w:szCs w:val="20"/>
              </w:rPr>
              <w:t>.40 B</w:t>
            </w:r>
          </w:p>
        </w:tc>
        <w:tc>
          <w:tcPr>
            <w:tcW w:w="1296"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3CAC51A2" w14:textId="2BE724CE" w:rsidR="00D653E8" w:rsidRPr="00502F1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BD5A1B">
              <w:rPr>
                <w:rFonts w:ascii="Verdana" w:eastAsia="Times New Roman" w:hAnsi="Verdana"/>
                <w:sz w:val="20"/>
                <w:szCs w:val="20"/>
              </w:rPr>
              <w:t>8.6</w:t>
            </w:r>
            <w:r>
              <w:rPr>
                <w:rFonts w:ascii="Verdana" w:eastAsia="Times New Roman" w:hAnsi="Verdana"/>
                <w:sz w:val="20"/>
                <w:szCs w:val="20"/>
              </w:rPr>
              <w:t>%</w:t>
            </w:r>
          </w:p>
        </w:tc>
        <w:tc>
          <w:tcPr>
            <w:tcW w:w="1296"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39C49749" w14:textId="199F3471" w:rsidR="00D653E8" w:rsidRPr="00502F1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5F6902">
              <w:rPr>
                <w:rFonts w:ascii="Verdana" w:eastAsia="Times New Roman" w:hAnsi="Verdana"/>
                <w:sz w:val="20"/>
                <w:szCs w:val="20"/>
              </w:rPr>
              <w:t>22</w:t>
            </w:r>
            <w:r>
              <w:rPr>
                <w:rFonts w:ascii="Verdana" w:eastAsia="Times New Roman" w:hAnsi="Verdana"/>
                <w:sz w:val="20"/>
                <w:szCs w:val="20"/>
              </w:rPr>
              <w:t>.4%</w:t>
            </w:r>
          </w:p>
        </w:tc>
      </w:tr>
      <w:tr w:rsidR="00D653E8" w:rsidRPr="00502F18" w14:paraId="133702B5" w14:textId="77777777" w:rsidTr="005D6775">
        <w:trPr>
          <w:trHeight w:val="243"/>
          <w:jc w:val="center"/>
        </w:trPr>
        <w:tc>
          <w:tcPr>
            <w:tcW w:w="1555" w:type="dxa"/>
            <w:tcBorders>
              <w:top w:val="single" w:sz="4" w:space="0" w:color="auto"/>
              <w:left w:val="single" w:sz="12" w:space="0" w:color="000000"/>
              <w:bottom w:val="single" w:sz="4" w:space="0" w:color="000000"/>
              <w:right w:val="single" w:sz="12" w:space="0" w:color="0070C0"/>
            </w:tcBorders>
            <w:shd w:val="clear" w:color="auto" w:fill="auto"/>
            <w:vAlign w:val="center"/>
          </w:tcPr>
          <w:p w14:paraId="1F2F5306" w14:textId="77777777" w:rsidR="00D653E8" w:rsidRPr="00502F18" w:rsidRDefault="00D653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Q2 2021</w:t>
            </w:r>
          </w:p>
        </w:tc>
        <w:tc>
          <w:tcPr>
            <w:tcW w:w="1296" w:type="dxa"/>
            <w:tcBorders>
              <w:top w:val="single" w:sz="4" w:space="0" w:color="auto"/>
              <w:left w:val="single" w:sz="8" w:space="0" w:color="0070C0"/>
              <w:bottom w:val="single" w:sz="4" w:space="0" w:color="000000"/>
              <w:right w:val="single" w:sz="8" w:space="0" w:color="0070C0"/>
            </w:tcBorders>
            <w:vAlign w:val="center"/>
          </w:tcPr>
          <w:p w14:paraId="7590CD04" w14:textId="0478CBE9" w:rsidR="00D653E8" w:rsidRDefault="00620D7E"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$119.63 B</w:t>
            </w:r>
          </w:p>
        </w:tc>
        <w:tc>
          <w:tcPr>
            <w:tcW w:w="129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F16095D" w14:textId="6CA28F8D" w:rsidR="00D653E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r w:rsidR="00BD5A1B">
              <w:rPr>
                <w:rFonts w:ascii="Verdana" w:eastAsia="Times New Roman" w:hAnsi="Verdana"/>
                <w:sz w:val="20"/>
                <w:szCs w:val="20"/>
              </w:rPr>
              <w:t>6.8</w:t>
            </w:r>
            <w:r>
              <w:rPr>
                <w:rFonts w:ascii="Verdana" w:eastAsia="Times New Roman" w:hAnsi="Verdana"/>
                <w:sz w:val="20"/>
                <w:szCs w:val="20"/>
              </w:rPr>
              <w:t>%</w:t>
            </w:r>
          </w:p>
        </w:tc>
        <w:tc>
          <w:tcPr>
            <w:tcW w:w="1296"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1B7218D1" w14:textId="14F3D838" w:rsidR="00D653E8" w:rsidRPr="00502F1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741062">
              <w:rPr>
                <w:rFonts w:ascii="Verdana" w:eastAsia="Times New Roman" w:hAnsi="Verdana"/>
                <w:sz w:val="20"/>
                <w:szCs w:val="20"/>
              </w:rPr>
              <w:t>32.0</w:t>
            </w:r>
            <w:r>
              <w:rPr>
                <w:rFonts w:ascii="Verdana" w:eastAsia="Times New Roman" w:hAnsi="Verdana"/>
                <w:sz w:val="20"/>
                <w:szCs w:val="20"/>
              </w:rPr>
              <w:t>%</w:t>
            </w:r>
          </w:p>
        </w:tc>
        <w:tc>
          <w:tcPr>
            <w:tcW w:w="1551"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032ED036" w14:textId="245E33C1" w:rsidR="00D653E8" w:rsidRPr="00502F18" w:rsidRDefault="00620D7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Sept.</w:t>
            </w:r>
            <w:r w:rsidR="00D653E8">
              <w:rPr>
                <w:rFonts w:ascii="Verdana" w:eastAsia="Times New Roman" w:hAnsi="Verdana"/>
                <w:sz w:val="20"/>
                <w:szCs w:val="20"/>
              </w:rPr>
              <w:t xml:space="preserve"> 2021</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35F669A1" w14:textId="2EA3C95F" w:rsidR="00D653E8" w:rsidRPr="00502F1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683091">
              <w:rPr>
                <w:rFonts w:ascii="Verdana" w:eastAsia="Times New Roman" w:hAnsi="Verdana"/>
                <w:sz w:val="20"/>
                <w:szCs w:val="20"/>
              </w:rPr>
              <w:t>34.69</w:t>
            </w:r>
            <w:r>
              <w:rPr>
                <w:rFonts w:ascii="Verdana" w:eastAsia="Times New Roman" w:hAnsi="Verdana"/>
                <w:sz w:val="20"/>
                <w:szCs w:val="20"/>
              </w:rPr>
              <w:t xml:space="preserve"> B</w:t>
            </w:r>
          </w:p>
        </w:tc>
        <w:tc>
          <w:tcPr>
            <w:tcW w:w="1296"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493F204E" w14:textId="6C9991DE" w:rsidR="00D653E8" w:rsidRPr="00502F1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r w:rsidR="00BD5A1B">
              <w:rPr>
                <w:rFonts w:ascii="Verdana" w:eastAsia="Times New Roman" w:hAnsi="Verdana"/>
                <w:sz w:val="20"/>
                <w:szCs w:val="20"/>
              </w:rPr>
              <w:t>2</w:t>
            </w:r>
            <w:r>
              <w:rPr>
                <w:rFonts w:ascii="Verdana" w:eastAsia="Times New Roman" w:hAnsi="Verdana"/>
                <w:sz w:val="20"/>
                <w:szCs w:val="20"/>
              </w:rPr>
              <w:t>%</w:t>
            </w:r>
          </w:p>
        </w:tc>
        <w:tc>
          <w:tcPr>
            <w:tcW w:w="1296" w:type="dxa"/>
            <w:tcBorders>
              <w:top w:val="single" w:sz="4" w:space="0" w:color="000000"/>
              <w:left w:val="single" w:sz="8" w:space="0" w:color="0070C0"/>
              <w:bottom w:val="single" w:sz="4" w:space="0" w:color="000000"/>
              <w:right w:val="single" w:sz="12" w:space="0" w:color="000000"/>
            </w:tcBorders>
            <w:shd w:val="clear" w:color="auto" w:fill="00B050"/>
            <w:vAlign w:val="center"/>
          </w:tcPr>
          <w:p w14:paraId="15C72083" w14:textId="0D15732D" w:rsidR="00D653E8" w:rsidRPr="00502F1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5F6902">
              <w:rPr>
                <w:rFonts w:ascii="Verdana" w:eastAsia="Times New Roman" w:hAnsi="Verdana"/>
                <w:sz w:val="20"/>
                <w:szCs w:val="20"/>
              </w:rPr>
              <w:t>30.1</w:t>
            </w:r>
            <w:r>
              <w:rPr>
                <w:rFonts w:ascii="Verdana" w:eastAsia="Times New Roman" w:hAnsi="Verdana"/>
                <w:sz w:val="20"/>
                <w:szCs w:val="20"/>
              </w:rPr>
              <w:t>%</w:t>
            </w:r>
          </w:p>
        </w:tc>
      </w:tr>
      <w:tr w:rsidR="00620D7E" w:rsidRPr="00502F18" w14:paraId="641E7BB5" w14:textId="77777777" w:rsidTr="005D6775">
        <w:trPr>
          <w:trHeight w:val="243"/>
          <w:jc w:val="center"/>
        </w:trPr>
        <w:tc>
          <w:tcPr>
            <w:tcW w:w="1555" w:type="dxa"/>
            <w:tcBorders>
              <w:top w:val="single" w:sz="4" w:space="0" w:color="auto"/>
              <w:left w:val="single" w:sz="12" w:space="0" w:color="000000"/>
              <w:bottom w:val="single" w:sz="4" w:space="0" w:color="000000"/>
              <w:right w:val="single" w:sz="12" w:space="0" w:color="0070C0"/>
            </w:tcBorders>
            <w:shd w:val="clear" w:color="auto" w:fill="auto"/>
            <w:vAlign w:val="center"/>
          </w:tcPr>
          <w:p w14:paraId="0271732F" w14:textId="313E9E79" w:rsidR="00620D7E" w:rsidRDefault="00620D7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1H 2021</w:t>
            </w:r>
          </w:p>
        </w:tc>
        <w:tc>
          <w:tcPr>
            <w:tcW w:w="1296" w:type="dxa"/>
            <w:tcBorders>
              <w:top w:val="single" w:sz="4" w:space="0" w:color="auto"/>
              <w:left w:val="single" w:sz="8" w:space="0" w:color="0070C0"/>
              <w:bottom w:val="single" w:sz="4" w:space="0" w:color="000000"/>
              <w:right w:val="single" w:sz="8" w:space="0" w:color="0070C0"/>
            </w:tcBorders>
            <w:vAlign w:val="center"/>
          </w:tcPr>
          <w:p w14:paraId="555C822D" w14:textId="4D0FC4DB" w:rsidR="00620D7E" w:rsidRDefault="00620D7E"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$209.80 B</w:t>
            </w:r>
          </w:p>
        </w:tc>
        <w:tc>
          <w:tcPr>
            <w:tcW w:w="129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8FAE9B7" w14:textId="569DFEDC" w:rsidR="00620D7E" w:rsidRDefault="00BD5A1B"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+18.5%</w:t>
            </w:r>
          </w:p>
        </w:tc>
        <w:tc>
          <w:tcPr>
            <w:tcW w:w="1296"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2CE4FB81" w14:textId="3CB0BE5E" w:rsidR="00620D7E" w:rsidRDefault="00741062"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+30.3%</w:t>
            </w:r>
          </w:p>
        </w:tc>
        <w:tc>
          <w:tcPr>
            <w:tcW w:w="1551"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67915E86" w14:textId="7BC79090" w:rsidR="00620D7E" w:rsidRDefault="00620D7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Oct. 2021</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4EE432A4" w14:textId="49AC1576" w:rsidR="00620D7E" w:rsidRDefault="00683091"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$34.98 B</w:t>
            </w:r>
          </w:p>
        </w:tc>
        <w:tc>
          <w:tcPr>
            <w:tcW w:w="1296"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23779000" w14:textId="6C821E8F" w:rsidR="00620D7E" w:rsidRDefault="00BD5A1B"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+5.9%</w:t>
            </w:r>
          </w:p>
        </w:tc>
        <w:tc>
          <w:tcPr>
            <w:tcW w:w="1296" w:type="dxa"/>
            <w:tcBorders>
              <w:top w:val="single" w:sz="4" w:space="0" w:color="000000"/>
              <w:left w:val="single" w:sz="8" w:space="0" w:color="0070C0"/>
              <w:bottom w:val="single" w:sz="4" w:space="0" w:color="000000"/>
              <w:right w:val="single" w:sz="12" w:space="0" w:color="000000"/>
            </w:tcBorders>
            <w:shd w:val="clear" w:color="auto" w:fill="C2D69B" w:themeFill="accent3" w:themeFillTint="99"/>
            <w:vAlign w:val="center"/>
          </w:tcPr>
          <w:p w14:paraId="3CDC2259" w14:textId="305A5613" w:rsidR="00620D7E" w:rsidRDefault="005F6902"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+21.9%</w:t>
            </w:r>
          </w:p>
        </w:tc>
      </w:tr>
      <w:tr w:rsidR="00D653E8" w:rsidRPr="00502F18" w14:paraId="4D347481" w14:textId="77777777" w:rsidTr="005D6775">
        <w:trPr>
          <w:trHeight w:val="243"/>
          <w:jc w:val="center"/>
        </w:trPr>
        <w:tc>
          <w:tcPr>
            <w:tcW w:w="1555"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406F8750" w14:textId="767E130E" w:rsidR="00D653E8" w:rsidRPr="00502F18" w:rsidRDefault="00620D7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Q3 2021</w:t>
            </w:r>
          </w:p>
        </w:tc>
        <w:tc>
          <w:tcPr>
            <w:tcW w:w="1296" w:type="dxa"/>
            <w:tcBorders>
              <w:top w:val="single" w:sz="4" w:space="0" w:color="000000"/>
              <w:left w:val="single" w:sz="8" w:space="0" w:color="0070C0"/>
              <w:bottom w:val="single" w:sz="12" w:space="0" w:color="000000"/>
              <w:right w:val="single" w:sz="8" w:space="0" w:color="0070C0"/>
            </w:tcBorders>
            <w:vAlign w:val="center"/>
          </w:tcPr>
          <w:p w14:paraId="11A6CC53" w14:textId="2319DF23" w:rsidR="00D653E8" w:rsidRPr="00502F18" w:rsidRDefault="00620D7E"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$106.87 B</w:t>
            </w:r>
          </w:p>
        </w:tc>
        <w:tc>
          <w:tcPr>
            <w:tcW w:w="1296"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46F951D6" w14:textId="386F2B2C" w:rsidR="00D653E8" w:rsidRPr="00502F1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BD5A1B">
              <w:rPr>
                <w:rFonts w:ascii="Verdana" w:eastAsia="Times New Roman" w:hAnsi="Verdana"/>
                <w:sz w:val="20"/>
                <w:szCs w:val="20"/>
              </w:rPr>
              <w:t>6.7</w:t>
            </w:r>
            <w:r>
              <w:rPr>
                <w:rFonts w:ascii="Verdana" w:eastAsia="Times New Roman" w:hAnsi="Verdana"/>
                <w:sz w:val="20"/>
                <w:szCs w:val="20"/>
              </w:rPr>
              <w:t>%</w:t>
            </w:r>
          </w:p>
        </w:tc>
        <w:tc>
          <w:tcPr>
            <w:tcW w:w="1296" w:type="dxa"/>
            <w:tcBorders>
              <w:top w:val="single" w:sz="4" w:space="0" w:color="000000"/>
              <w:left w:val="single" w:sz="8" w:space="0" w:color="0070C0"/>
              <w:bottom w:val="single" w:sz="12" w:space="0" w:color="000000"/>
              <w:right w:val="single" w:sz="18" w:space="0" w:color="0070C0"/>
            </w:tcBorders>
            <w:shd w:val="clear" w:color="auto" w:fill="C2D69B" w:themeFill="accent3" w:themeFillTint="99"/>
            <w:vAlign w:val="center"/>
          </w:tcPr>
          <w:p w14:paraId="65C555BB" w14:textId="7DACCA97" w:rsidR="00D653E8" w:rsidRPr="00502F1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741062">
              <w:rPr>
                <w:rFonts w:ascii="Verdana" w:eastAsia="Times New Roman" w:hAnsi="Verdana"/>
                <w:sz w:val="20"/>
                <w:szCs w:val="20"/>
              </w:rPr>
              <w:t>25</w:t>
            </w:r>
            <w:r>
              <w:rPr>
                <w:rFonts w:ascii="Verdana" w:eastAsia="Times New Roman" w:hAnsi="Verdana"/>
                <w:sz w:val="20"/>
                <w:szCs w:val="20"/>
              </w:rPr>
              <w:t>.0%</w:t>
            </w:r>
          </w:p>
        </w:tc>
        <w:tc>
          <w:tcPr>
            <w:tcW w:w="1551"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5E76E2B7" w14:textId="1458058D" w:rsidR="00D653E8" w:rsidRPr="00502F18" w:rsidRDefault="00620D7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Nov.</w:t>
            </w:r>
            <w:r w:rsidR="00D653E8">
              <w:rPr>
                <w:rFonts w:ascii="Verdana" w:eastAsia="Times New Roman" w:hAnsi="Verdana"/>
                <w:sz w:val="20"/>
                <w:szCs w:val="20"/>
              </w:rPr>
              <w:t xml:space="preserve"> 2021</w:t>
            </w:r>
          </w:p>
        </w:tc>
        <w:tc>
          <w:tcPr>
            <w:tcW w:w="1296" w:type="dxa"/>
            <w:tcBorders>
              <w:top w:val="single" w:sz="4" w:space="0" w:color="000000"/>
              <w:left w:val="single" w:sz="8" w:space="0" w:color="0070C0"/>
              <w:bottom w:val="single" w:sz="12" w:space="0" w:color="000000"/>
              <w:right w:val="single" w:sz="8" w:space="0" w:color="0070C0"/>
            </w:tcBorders>
            <w:shd w:val="clear" w:color="auto" w:fill="auto"/>
            <w:vAlign w:val="center"/>
          </w:tcPr>
          <w:p w14:paraId="11E46305" w14:textId="28E04C32" w:rsidR="00D653E8" w:rsidRPr="00502F18" w:rsidRDefault="00683091"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$35.30 B</w:t>
            </w:r>
          </w:p>
        </w:tc>
        <w:tc>
          <w:tcPr>
            <w:tcW w:w="1296" w:type="dxa"/>
            <w:tcBorders>
              <w:top w:val="single" w:sz="4" w:space="0" w:color="000000"/>
              <w:left w:val="single" w:sz="8" w:space="0" w:color="0070C0"/>
              <w:bottom w:val="single" w:sz="12" w:space="0" w:color="000000"/>
              <w:right w:val="single" w:sz="8" w:space="0" w:color="0070C0"/>
            </w:tcBorders>
            <w:shd w:val="clear" w:color="auto" w:fill="D6E3BC" w:themeFill="accent3" w:themeFillTint="66"/>
            <w:vAlign w:val="center"/>
          </w:tcPr>
          <w:p w14:paraId="01B776CF" w14:textId="1EDDCD70" w:rsidR="00D653E8" w:rsidRPr="00502F1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r w:rsidR="00BD5A1B">
              <w:rPr>
                <w:rFonts w:ascii="Verdana" w:eastAsia="Times New Roman" w:hAnsi="Verdana"/>
                <w:sz w:val="20"/>
                <w:szCs w:val="20"/>
              </w:rPr>
              <w:t>5.2</w:t>
            </w:r>
            <w:r>
              <w:rPr>
                <w:rFonts w:ascii="Verdana" w:eastAsia="Times New Roman" w:hAnsi="Verdana"/>
                <w:sz w:val="20"/>
                <w:szCs w:val="20"/>
              </w:rPr>
              <w:t>%</w:t>
            </w:r>
          </w:p>
        </w:tc>
        <w:tc>
          <w:tcPr>
            <w:tcW w:w="1296" w:type="dxa"/>
            <w:tcBorders>
              <w:top w:val="single" w:sz="4" w:space="0" w:color="000000"/>
              <w:left w:val="single" w:sz="8" w:space="0" w:color="0070C0"/>
              <w:bottom w:val="single" w:sz="12" w:space="0" w:color="000000"/>
              <w:right w:val="single" w:sz="12" w:space="0" w:color="000000"/>
            </w:tcBorders>
            <w:shd w:val="clear" w:color="auto" w:fill="00B050"/>
            <w:vAlign w:val="center"/>
          </w:tcPr>
          <w:p w14:paraId="76559B51" w14:textId="141108D8" w:rsidR="00D653E8" w:rsidRPr="00502F18" w:rsidRDefault="00D653E8" w:rsidP="005D6775">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5F6902">
              <w:rPr>
                <w:rFonts w:ascii="Verdana" w:eastAsia="Times New Roman" w:hAnsi="Verdana"/>
                <w:sz w:val="20"/>
                <w:szCs w:val="20"/>
              </w:rPr>
              <w:t>34.6</w:t>
            </w:r>
            <w:r>
              <w:rPr>
                <w:rFonts w:ascii="Verdana" w:eastAsia="Times New Roman" w:hAnsi="Verdana"/>
                <w:sz w:val="20"/>
                <w:szCs w:val="20"/>
              </w:rPr>
              <w:t>%</w:t>
            </w:r>
          </w:p>
        </w:tc>
      </w:tr>
    </w:tbl>
    <w:p w14:paraId="4E21ED32" w14:textId="3FE54464" w:rsidR="00534DA1" w:rsidRDefault="00534DA1" w:rsidP="00DE4745">
      <w:pPr>
        <w:spacing w:after="0" w:line="240" w:lineRule="auto"/>
        <w:ind w:hanging="720"/>
        <w:contextualSpacing/>
        <w:rPr>
          <w:rFonts w:ascii="Verdana" w:hAnsi="Verdana"/>
          <w:sz w:val="20"/>
          <w:szCs w:val="20"/>
        </w:rPr>
      </w:pPr>
      <w:r>
        <w:rPr>
          <w:rFonts w:ascii="Verdana" w:hAnsi="Verdana"/>
          <w:iCs/>
          <w:sz w:val="16"/>
          <w:szCs w:val="16"/>
        </w:rPr>
        <w:t>US Census Bureau</w:t>
      </w:r>
      <w:r w:rsidRPr="00502F18">
        <w:rPr>
          <w:rFonts w:ascii="Verdana" w:hAnsi="Verdana"/>
          <w:sz w:val="16"/>
          <w:szCs w:val="16"/>
        </w:rPr>
        <w:t xml:space="preserve">, </w:t>
      </w:r>
      <w:r>
        <w:rPr>
          <w:rFonts w:ascii="Verdana" w:hAnsi="Verdana"/>
          <w:sz w:val="16"/>
          <w:szCs w:val="16"/>
        </w:rPr>
        <w:t>February 2022</w:t>
      </w:r>
      <w:r w:rsidRPr="00502F18">
        <w:rPr>
          <w:rFonts w:ascii="Verdana" w:hAnsi="Verdana"/>
          <w:sz w:val="16"/>
          <w:szCs w:val="16"/>
        </w:rPr>
        <w:tab/>
      </w:r>
      <w:r>
        <w:rPr>
          <w:rFonts w:ascii="Verdana" w:hAnsi="Verdana"/>
          <w:sz w:val="16"/>
          <w:szCs w:val="16"/>
        </w:rPr>
        <w:tab/>
      </w:r>
      <w:r w:rsidR="00DE4745">
        <w:rPr>
          <w:rFonts w:ascii="Verdana" w:hAnsi="Verdana"/>
          <w:sz w:val="16"/>
          <w:szCs w:val="16"/>
        </w:rPr>
        <w:tab/>
      </w:r>
      <w:r w:rsidR="00DE4745">
        <w:rPr>
          <w:rFonts w:ascii="Verdana" w:hAnsi="Verdana"/>
          <w:sz w:val="16"/>
          <w:szCs w:val="16"/>
        </w:rPr>
        <w:tab/>
      </w:r>
      <w:r w:rsidR="00DE4745">
        <w:rPr>
          <w:rFonts w:ascii="Verdana" w:hAnsi="Verdana"/>
          <w:sz w:val="16"/>
          <w:szCs w:val="16"/>
        </w:rPr>
        <w:tab/>
      </w:r>
      <w:r>
        <w:rPr>
          <w:rFonts w:ascii="Verdana" w:hAnsi="Verdana"/>
          <w:sz w:val="16"/>
          <w:szCs w:val="16"/>
        </w:rPr>
        <w:t>*NAICS 44</w:t>
      </w:r>
      <w:r w:rsidR="00CD2032">
        <w:rPr>
          <w:rFonts w:ascii="Verdana" w:hAnsi="Verdana"/>
          <w:sz w:val="16"/>
          <w:szCs w:val="16"/>
        </w:rPr>
        <w:t xml:space="preserve">41 </w:t>
      </w:r>
      <w:r w:rsidR="00CD2032">
        <w:rPr>
          <w:rFonts w:ascii="Verdana" w:hAnsi="Verdana"/>
          <w:sz w:val="16"/>
          <w:szCs w:val="16"/>
        </w:rPr>
        <w:tab/>
      </w:r>
      <w:r w:rsidR="00CD2032" w:rsidRPr="00CD2032">
        <w:rPr>
          <w:rFonts w:ascii="Verdana" w:hAnsi="Verdana"/>
          <w:bCs/>
          <w:sz w:val="16"/>
          <w:szCs w:val="16"/>
        </w:rPr>
        <w:t>†</w:t>
      </w:r>
      <w:r w:rsidR="00CD2032">
        <w:rPr>
          <w:rFonts w:ascii="Verdana" w:hAnsi="Verdana"/>
          <w:bCs/>
          <w:sz w:val="16"/>
          <w:szCs w:val="16"/>
        </w:rPr>
        <w:t>January–November periods</w:t>
      </w:r>
    </w:p>
    <w:p w14:paraId="7112F684" w14:textId="77777777" w:rsidR="00820532" w:rsidRDefault="00820532" w:rsidP="002C1B6E">
      <w:pPr>
        <w:spacing w:after="0" w:line="240" w:lineRule="auto"/>
        <w:contextualSpacing/>
        <w:mirrorIndents/>
        <w:rPr>
          <w:rFonts w:ascii="Verdana" w:hAnsi="Verdana"/>
          <w:sz w:val="20"/>
          <w:szCs w:val="20"/>
        </w:rPr>
      </w:pPr>
    </w:p>
    <w:p w14:paraId="5E734F9F" w14:textId="0175393D" w:rsidR="002A2D1B" w:rsidRDefault="002A2D1B" w:rsidP="002C1B6E">
      <w:pPr>
        <w:spacing w:after="0" w:line="240" w:lineRule="auto"/>
        <w:contextualSpacing/>
        <w:mirrorIndents/>
        <w:rPr>
          <w:rFonts w:ascii="Verdana" w:hAnsi="Verdana"/>
          <w:sz w:val="20"/>
          <w:szCs w:val="20"/>
        </w:rPr>
      </w:pPr>
    </w:p>
    <w:p w14:paraId="6E428FF6" w14:textId="5977A7F5" w:rsidR="002C1B6E" w:rsidRPr="00EE3387" w:rsidRDefault="002C1B6E" w:rsidP="00EE3387">
      <w:pPr>
        <w:spacing w:after="0" w:line="240" w:lineRule="auto"/>
        <w:contextualSpacing/>
        <w:mirrorIndents/>
        <w:jc w:val="center"/>
        <w:rPr>
          <w:rFonts w:ascii="Verdana" w:hAnsi="Verdana"/>
          <w:b/>
          <w:bCs/>
          <w:color w:val="0070C0"/>
          <w:sz w:val="20"/>
          <w:szCs w:val="20"/>
        </w:rPr>
      </w:pPr>
      <w:r w:rsidRPr="00EE3387">
        <w:rPr>
          <w:rFonts w:ascii="Verdana" w:hAnsi="Verdana"/>
          <w:b/>
          <w:bCs/>
          <w:color w:val="0070C0"/>
          <w:sz w:val="20"/>
          <w:szCs w:val="20"/>
        </w:rPr>
        <w:lastRenderedPageBreak/>
        <w:t>DIYers Are Ready to Work</w:t>
      </w:r>
    </w:p>
    <w:p w14:paraId="0A99C063" w14:textId="77777777" w:rsidR="002C1B6E" w:rsidRPr="002C1B6E" w:rsidRDefault="002C1B6E" w:rsidP="002C1B6E">
      <w:pPr>
        <w:spacing w:after="0" w:line="240" w:lineRule="auto"/>
        <w:contextualSpacing/>
        <w:mirrorIndents/>
        <w:rPr>
          <w:rFonts w:ascii="Verdana" w:hAnsi="Verdana"/>
          <w:sz w:val="20"/>
          <w:szCs w:val="20"/>
        </w:rPr>
      </w:pPr>
    </w:p>
    <w:p w14:paraId="5A2BB979" w14:textId="5B175A5C" w:rsidR="00EE3387" w:rsidRDefault="00EE3387" w:rsidP="002C1B6E">
      <w:pPr>
        <w:spacing w:after="0" w:line="240" w:lineRule="auto"/>
        <w:contextualSpacing/>
        <w:mirrorIndents/>
        <w:rPr>
          <w:rFonts w:ascii="Verdana" w:hAnsi="Verdana"/>
          <w:sz w:val="20"/>
          <w:szCs w:val="20"/>
        </w:rPr>
      </w:pPr>
      <w:r>
        <w:rPr>
          <w:rFonts w:ascii="Verdana" w:hAnsi="Verdana"/>
          <w:sz w:val="20"/>
          <w:szCs w:val="20"/>
        </w:rPr>
        <w:t xml:space="preserve">The Farnsworth Group’s DIY Home Improvement Monthly Tracker for January 2022 found </w:t>
      </w:r>
      <w:r w:rsidR="00E50D04">
        <w:rPr>
          <w:rFonts w:ascii="Verdana" w:hAnsi="Verdana"/>
          <w:sz w:val="20"/>
          <w:szCs w:val="20"/>
        </w:rPr>
        <w:t xml:space="preserve">almost half of </w:t>
      </w:r>
      <w:r w:rsidR="00586085">
        <w:rPr>
          <w:rFonts w:ascii="Verdana" w:hAnsi="Verdana"/>
          <w:sz w:val="20"/>
          <w:szCs w:val="20"/>
        </w:rPr>
        <w:t xml:space="preserve">the </w:t>
      </w:r>
      <w:r w:rsidR="00E50D04">
        <w:rPr>
          <w:rFonts w:ascii="Verdana" w:hAnsi="Verdana"/>
          <w:sz w:val="20"/>
          <w:szCs w:val="20"/>
        </w:rPr>
        <w:t>surveyed consumers said this was a good time to start a home improvement project: “very good time” at 13.2% and “somewhat good time” at 34.0%.</w:t>
      </w:r>
    </w:p>
    <w:p w14:paraId="5CEAD229" w14:textId="378D50FA" w:rsidR="00E50D04" w:rsidRDefault="00E50D04" w:rsidP="002C1B6E">
      <w:pPr>
        <w:spacing w:after="0" w:line="240" w:lineRule="auto"/>
        <w:contextualSpacing/>
        <w:mirrorIndents/>
        <w:rPr>
          <w:rFonts w:ascii="Verdana" w:hAnsi="Verdana"/>
          <w:sz w:val="20"/>
          <w:szCs w:val="20"/>
        </w:rPr>
      </w:pPr>
    </w:p>
    <w:p w14:paraId="436857BE" w14:textId="4B232D98" w:rsidR="00E50D04" w:rsidRDefault="00E50D04" w:rsidP="002C1B6E">
      <w:pPr>
        <w:spacing w:after="0" w:line="240" w:lineRule="auto"/>
        <w:contextualSpacing/>
        <w:mirrorIndents/>
        <w:rPr>
          <w:rFonts w:ascii="Verdana" w:hAnsi="Verdana"/>
          <w:sz w:val="20"/>
          <w:szCs w:val="20"/>
        </w:rPr>
      </w:pPr>
      <w:r>
        <w:rPr>
          <w:rFonts w:ascii="Verdana" w:hAnsi="Verdana"/>
          <w:sz w:val="20"/>
          <w:szCs w:val="20"/>
        </w:rPr>
        <w:t>Conversely, approximately 40% said it was a bad time to hire a contractor: “very bad time” at 13.4% and “somewhat bad time” at 26.7%. 73.5% said they did not consider hiring a contractor and the #1 reason was “too expensive” at 66.6%.</w:t>
      </w:r>
    </w:p>
    <w:p w14:paraId="297B1514" w14:textId="77777777" w:rsidR="00EE3387" w:rsidRDefault="00EE3387" w:rsidP="002C1B6E">
      <w:pPr>
        <w:spacing w:after="0" w:line="240" w:lineRule="auto"/>
        <w:contextualSpacing/>
        <w:mirrorIndents/>
        <w:rPr>
          <w:rFonts w:ascii="Verdana" w:hAnsi="Verdana"/>
          <w:sz w:val="20"/>
          <w:szCs w:val="20"/>
        </w:rPr>
      </w:pPr>
    </w:p>
    <w:p w14:paraId="5FC96D8E" w14:textId="1B5BE016" w:rsidR="00EE3387" w:rsidRDefault="00600AC4" w:rsidP="002C1B6E">
      <w:pPr>
        <w:spacing w:after="0" w:line="240" w:lineRule="auto"/>
        <w:contextualSpacing/>
        <w:mirrorIndents/>
        <w:rPr>
          <w:rFonts w:ascii="Verdana" w:hAnsi="Verdana"/>
          <w:sz w:val="20"/>
          <w:szCs w:val="20"/>
        </w:rPr>
      </w:pPr>
      <w:r>
        <w:rPr>
          <w:rFonts w:ascii="Verdana" w:hAnsi="Verdana"/>
          <w:sz w:val="20"/>
          <w:szCs w:val="20"/>
        </w:rPr>
        <w:t>Almost two-thirds of survey consumers said they would start a DIY project during the next few weeks: “will definitely start” at 32.1% and “will probably start” at 33.4%.</w:t>
      </w:r>
    </w:p>
    <w:p w14:paraId="2830E713" w14:textId="77777777" w:rsidR="00600AC4" w:rsidRDefault="00600AC4" w:rsidP="002C1B6E">
      <w:pPr>
        <w:spacing w:after="0" w:line="240" w:lineRule="auto"/>
        <w:contextualSpacing/>
        <w:mirrorIndents/>
        <w:rPr>
          <w:rFonts w:ascii="Verdana" w:hAnsi="Verdana"/>
          <w:sz w:val="20"/>
          <w:szCs w:val="20"/>
        </w:rPr>
      </w:pPr>
    </w:p>
    <w:p w14:paraId="3E8580D2" w14:textId="31BF7FDE" w:rsidR="00600AC4" w:rsidRPr="00BE4963" w:rsidRDefault="00600AC4" w:rsidP="00600AC4">
      <w:pPr>
        <w:pStyle w:val="Header"/>
        <w:contextualSpacing/>
        <w:jc w:val="center"/>
        <w:rPr>
          <w:rFonts w:ascii="Verdana" w:hAnsi="Verdana"/>
          <w:b/>
          <w:sz w:val="20"/>
          <w:szCs w:val="20"/>
        </w:rPr>
      </w:pPr>
      <w:r>
        <w:rPr>
          <w:rFonts w:ascii="Verdana" w:hAnsi="Verdana"/>
          <w:b/>
          <w:sz w:val="20"/>
          <w:szCs w:val="20"/>
        </w:rPr>
        <w:t>Top 10 DIY Projects Consumers Are Planning to Start*, January 2022</w:t>
      </w:r>
    </w:p>
    <w:tbl>
      <w:tblPr>
        <w:tblW w:w="9497" w:type="dxa"/>
        <w:jc w:val="center"/>
        <w:tblBorders>
          <w:left w:val="single" w:sz="8" w:space="0" w:color="000000"/>
          <w:right w:val="single" w:sz="8" w:space="0" w:color="000000"/>
        </w:tblBorders>
        <w:tblLayout w:type="fixed"/>
        <w:tblLook w:val="0000" w:firstRow="0" w:lastRow="0" w:firstColumn="0" w:lastColumn="0" w:noHBand="0" w:noVBand="0"/>
      </w:tblPr>
      <w:tblGrid>
        <w:gridCol w:w="3478"/>
        <w:gridCol w:w="1267"/>
        <w:gridCol w:w="3485"/>
        <w:gridCol w:w="1267"/>
      </w:tblGrid>
      <w:tr w:rsidR="00600AC4" w:rsidRPr="00CC1ECE" w14:paraId="2B78DC9B" w14:textId="77777777" w:rsidTr="009B2276">
        <w:trPr>
          <w:jc w:val="center"/>
        </w:trPr>
        <w:tc>
          <w:tcPr>
            <w:tcW w:w="3478" w:type="dxa"/>
            <w:tcBorders>
              <w:top w:val="single" w:sz="12" w:space="0" w:color="000000"/>
              <w:left w:val="single" w:sz="12" w:space="0" w:color="000000"/>
              <w:bottom w:val="single" w:sz="18" w:space="0" w:color="C0504D" w:themeColor="accent2"/>
              <w:right w:val="single" w:sz="8" w:space="0" w:color="0070C0"/>
            </w:tcBorders>
            <w:vAlign w:val="center"/>
          </w:tcPr>
          <w:p w14:paraId="22ABBFD9" w14:textId="75FB128C" w:rsidR="00600AC4" w:rsidRPr="00CC1ECE" w:rsidRDefault="00600AC4"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Project</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31EBAD38" w14:textId="77777777" w:rsidR="00600AC4" w:rsidRPr="00CC1ECE" w:rsidRDefault="00600AC4"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3485" w:type="dxa"/>
            <w:tcBorders>
              <w:top w:val="single" w:sz="12" w:space="0" w:color="000000"/>
              <w:left w:val="single" w:sz="18" w:space="0" w:color="0070C0"/>
              <w:bottom w:val="single" w:sz="18" w:space="0" w:color="C0504D" w:themeColor="accent2"/>
              <w:right w:val="single" w:sz="8" w:space="0" w:color="0070C0"/>
            </w:tcBorders>
            <w:vAlign w:val="center"/>
          </w:tcPr>
          <w:p w14:paraId="3960F877" w14:textId="39D83C71" w:rsidR="00600AC4" w:rsidRDefault="00600AC4"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Project</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5828ACC5" w14:textId="77777777" w:rsidR="00600AC4" w:rsidRDefault="00600AC4"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600AC4" w:rsidRPr="00CC1ECE" w14:paraId="6C73A2C9" w14:textId="77777777" w:rsidTr="009B2276">
        <w:trPr>
          <w:trHeight w:val="243"/>
          <w:jc w:val="center"/>
        </w:trPr>
        <w:tc>
          <w:tcPr>
            <w:tcW w:w="3478" w:type="dxa"/>
            <w:tcBorders>
              <w:top w:val="single" w:sz="18" w:space="0" w:color="C0504D" w:themeColor="accent2"/>
              <w:left w:val="single" w:sz="12" w:space="0" w:color="000000"/>
              <w:bottom w:val="single" w:sz="4" w:space="0" w:color="auto"/>
              <w:right w:val="single" w:sz="8" w:space="0" w:color="0070C0"/>
            </w:tcBorders>
            <w:shd w:val="clear" w:color="auto" w:fill="auto"/>
            <w:vAlign w:val="center"/>
          </w:tcPr>
          <w:p w14:paraId="56B3F462" w14:textId="3CA2FE6C" w:rsidR="00600AC4" w:rsidRPr="00CC1ECE" w:rsidRDefault="00600AC4"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Painting a room</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50B337C8" w14:textId="77777777" w:rsidR="00600AC4" w:rsidRPr="00CC1ECE" w:rsidRDefault="00600AC4"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56.5%</w:t>
            </w:r>
          </w:p>
        </w:tc>
        <w:tc>
          <w:tcPr>
            <w:tcW w:w="3485"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066FC7E1" w14:textId="64CD49A2" w:rsidR="00600AC4" w:rsidRPr="00CC1ECE" w:rsidRDefault="00600AC4"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L</w:t>
            </w:r>
            <w:r w:rsidR="009B2276">
              <w:rPr>
                <w:rFonts w:ascii="Verdana" w:eastAsia="Times New Roman" w:hAnsi="Verdana"/>
                <w:sz w:val="20"/>
                <w:szCs w:val="20"/>
              </w:rPr>
              <w:t>andscaping, planting, etc.</w:t>
            </w:r>
          </w:p>
        </w:tc>
        <w:tc>
          <w:tcPr>
            <w:tcW w:w="1267" w:type="dxa"/>
            <w:tcBorders>
              <w:top w:val="single" w:sz="18" w:space="0" w:color="C0504D" w:themeColor="accent2"/>
              <w:left w:val="single" w:sz="8" w:space="0" w:color="0070C0"/>
              <w:bottom w:val="single" w:sz="4" w:space="0" w:color="auto"/>
              <w:right w:val="single" w:sz="12" w:space="0" w:color="auto"/>
            </w:tcBorders>
            <w:shd w:val="clear" w:color="auto" w:fill="C2D69B" w:themeFill="accent3" w:themeFillTint="99"/>
            <w:vAlign w:val="center"/>
          </w:tcPr>
          <w:p w14:paraId="0953BC83" w14:textId="543DBDE0" w:rsidR="00600AC4" w:rsidRPr="00CC1ECE" w:rsidRDefault="009B2276"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20.2%</w:t>
            </w:r>
          </w:p>
        </w:tc>
      </w:tr>
      <w:tr w:rsidR="00600AC4" w:rsidRPr="00CC1ECE" w14:paraId="7DBAE0CA" w14:textId="77777777" w:rsidTr="009B2276">
        <w:trPr>
          <w:trHeight w:val="243"/>
          <w:jc w:val="center"/>
        </w:trPr>
        <w:tc>
          <w:tcPr>
            <w:tcW w:w="3478" w:type="dxa"/>
            <w:tcBorders>
              <w:top w:val="single" w:sz="4" w:space="0" w:color="auto"/>
              <w:left w:val="single" w:sz="12" w:space="0" w:color="000000"/>
              <w:bottom w:val="single" w:sz="4" w:space="0" w:color="000000"/>
              <w:right w:val="single" w:sz="8" w:space="0" w:color="0070C0"/>
            </w:tcBorders>
            <w:shd w:val="clear" w:color="auto" w:fill="auto"/>
            <w:vAlign w:val="center"/>
          </w:tcPr>
          <w:p w14:paraId="2B38F7E0" w14:textId="5E91315E" w:rsidR="00600AC4" w:rsidRDefault="00600AC4"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General home maintenance</w:t>
            </w:r>
          </w:p>
        </w:tc>
        <w:tc>
          <w:tcPr>
            <w:tcW w:w="1267" w:type="dxa"/>
            <w:tcBorders>
              <w:top w:val="single" w:sz="4" w:space="0" w:color="auto"/>
              <w:left w:val="single" w:sz="8" w:space="0" w:color="0070C0"/>
              <w:bottom w:val="single" w:sz="4" w:space="0" w:color="000000"/>
              <w:right w:val="single" w:sz="18" w:space="0" w:color="0070C0"/>
            </w:tcBorders>
            <w:shd w:val="clear" w:color="auto" w:fill="92D050"/>
            <w:vAlign w:val="center"/>
          </w:tcPr>
          <w:p w14:paraId="438A13C8" w14:textId="2D6ABBA4" w:rsidR="00600AC4" w:rsidRDefault="00600AC4"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38.6%</w:t>
            </w:r>
          </w:p>
        </w:tc>
        <w:tc>
          <w:tcPr>
            <w:tcW w:w="3485" w:type="dxa"/>
            <w:tcBorders>
              <w:top w:val="single" w:sz="4" w:space="0" w:color="auto"/>
              <w:left w:val="single" w:sz="18" w:space="0" w:color="0070C0"/>
              <w:bottom w:val="single" w:sz="4" w:space="0" w:color="000000"/>
              <w:right w:val="single" w:sz="8" w:space="0" w:color="0070C0"/>
            </w:tcBorders>
            <w:shd w:val="clear" w:color="auto" w:fill="auto"/>
            <w:vAlign w:val="center"/>
          </w:tcPr>
          <w:p w14:paraId="2325BD78" w14:textId="73B92B99" w:rsidR="00600AC4" w:rsidRDefault="00600AC4"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#7: </w:t>
            </w:r>
            <w:r w:rsidR="009B2276">
              <w:rPr>
                <w:rFonts w:ascii="Verdana" w:eastAsia="Times New Roman" w:hAnsi="Verdana"/>
                <w:sz w:val="20"/>
                <w:szCs w:val="20"/>
              </w:rPr>
              <w:t>Cabinets</w:t>
            </w:r>
          </w:p>
        </w:tc>
        <w:tc>
          <w:tcPr>
            <w:tcW w:w="1267"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79E267F3" w14:textId="4B4C50D4" w:rsidR="00600AC4" w:rsidRDefault="009B2276"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16.1%</w:t>
            </w:r>
          </w:p>
        </w:tc>
      </w:tr>
      <w:tr w:rsidR="00600AC4" w:rsidRPr="00CC1ECE" w14:paraId="119361B1" w14:textId="77777777" w:rsidTr="009B2276">
        <w:trPr>
          <w:trHeight w:val="243"/>
          <w:jc w:val="center"/>
        </w:trPr>
        <w:tc>
          <w:tcPr>
            <w:tcW w:w="3478" w:type="dxa"/>
            <w:tcBorders>
              <w:top w:val="single" w:sz="4" w:space="0" w:color="auto"/>
              <w:left w:val="single" w:sz="12" w:space="0" w:color="000000"/>
              <w:bottom w:val="single" w:sz="4" w:space="0" w:color="000000"/>
              <w:right w:val="single" w:sz="8" w:space="0" w:color="0070C0"/>
            </w:tcBorders>
            <w:shd w:val="clear" w:color="auto" w:fill="auto"/>
            <w:vAlign w:val="center"/>
          </w:tcPr>
          <w:p w14:paraId="054EADFB" w14:textId="14CF7EA8" w:rsidR="00600AC4" w:rsidRDefault="00600AC4"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Pa</w:t>
            </w:r>
            <w:r w:rsidR="009B2276">
              <w:rPr>
                <w:rFonts w:ascii="Verdana" w:eastAsia="Times New Roman" w:hAnsi="Verdana"/>
                <w:sz w:val="20"/>
                <w:szCs w:val="20"/>
              </w:rPr>
              <w:t>inting or staining items</w:t>
            </w:r>
          </w:p>
        </w:tc>
        <w:tc>
          <w:tcPr>
            <w:tcW w:w="1267" w:type="dxa"/>
            <w:tcBorders>
              <w:top w:val="single" w:sz="4" w:space="0" w:color="auto"/>
              <w:left w:val="single" w:sz="8" w:space="0" w:color="0070C0"/>
              <w:bottom w:val="single" w:sz="4" w:space="0" w:color="000000"/>
              <w:right w:val="single" w:sz="18" w:space="0" w:color="0070C0"/>
            </w:tcBorders>
            <w:shd w:val="clear" w:color="auto" w:fill="92D050"/>
            <w:vAlign w:val="center"/>
          </w:tcPr>
          <w:p w14:paraId="36752EC1" w14:textId="1A2763F2" w:rsidR="00600AC4" w:rsidRDefault="009B2276"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31.4%</w:t>
            </w:r>
          </w:p>
        </w:tc>
        <w:tc>
          <w:tcPr>
            <w:tcW w:w="3485" w:type="dxa"/>
            <w:tcBorders>
              <w:top w:val="single" w:sz="4" w:space="0" w:color="auto"/>
              <w:left w:val="single" w:sz="18" w:space="0" w:color="0070C0"/>
              <w:bottom w:val="single" w:sz="4" w:space="0" w:color="000000"/>
              <w:right w:val="single" w:sz="8" w:space="0" w:color="0070C0"/>
            </w:tcBorders>
            <w:shd w:val="clear" w:color="auto" w:fill="auto"/>
            <w:vAlign w:val="center"/>
          </w:tcPr>
          <w:p w14:paraId="488F8146" w14:textId="4E1A4662" w:rsidR="00600AC4" w:rsidRDefault="00600AC4"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#8: </w:t>
            </w:r>
            <w:r w:rsidR="009B2276">
              <w:rPr>
                <w:rFonts w:ascii="Verdana" w:eastAsia="Times New Roman" w:hAnsi="Verdana"/>
                <w:sz w:val="20"/>
                <w:szCs w:val="20"/>
              </w:rPr>
              <w:t>Decking or patio</w:t>
            </w:r>
          </w:p>
        </w:tc>
        <w:tc>
          <w:tcPr>
            <w:tcW w:w="1267"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445F2821" w14:textId="011DC0AC" w:rsidR="00600AC4" w:rsidRDefault="009B2276"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11.1%</w:t>
            </w:r>
          </w:p>
        </w:tc>
      </w:tr>
      <w:tr w:rsidR="00600AC4" w:rsidRPr="00CC1ECE" w14:paraId="744E99F5" w14:textId="77777777" w:rsidTr="009B2276">
        <w:trPr>
          <w:trHeight w:val="243"/>
          <w:jc w:val="center"/>
        </w:trPr>
        <w:tc>
          <w:tcPr>
            <w:tcW w:w="3478" w:type="dxa"/>
            <w:tcBorders>
              <w:top w:val="single" w:sz="4" w:space="0" w:color="auto"/>
              <w:left w:val="single" w:sz="12" w:space="0" w:color="000000"/>
              <w:bottom w:val="single" w:sz="4" w:space="0" w:color="000000"/>
              <w:right w:val="single" w:sz="8" w:space="0" w:color="0070C0"/>
            </w:tcBorders>
            <w:shd w:val="clear" w:color="auto" w:fill="auto"/>
            <w:vAlign w:val="center"/>
          </w:tcPr>
          <w:p w14:paraId="5E1785C3" w14:textId="1287ACFD" w:rsidR="00600AC4" w:rsidRDefault="00600AC4"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#4: </w:t>
            </w:r>
            <w:r w:rsidR="009B2276">
              <w:rPr>
                <w:rFonts w:ascii="Verdana" w:eastAsia="Times New Roman" w:hAnsi="Verdana"/>
                <w:sz w:val="20"/>
                <w:szCs w:val="20"/>
              </w:rPr>
              <w:t>Flooring</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47736819" w14:textId="6A50274D" w:rsidR="00600AC4" w:rsidRDefault="009B2276"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26.0%</w:t>
            </w:r>
          </w:p>
        </w:tc>
        <w:tc>
          <w:tcPr>
            <w:tcW w:w="3485" w:type="dxa"/>
            <w:tcBorders>
              <w:top w:val="single" w:sz="4" w:space="0" w:color="auto"/>
              <w:left w:val="single" w:sz="18" w:space="0" w:color="0070C0"/>
              <w:bottom w:val="single" w:sz="4" w:space="0" w:color="000000"/>
              <w:right w:val="single" w:sz="8" w:space="0" w:color="0070C0"/>
            </w:tcBorders>
            <w:shd w:val="clear" w:color="auto" w:fill="auto"/>
            <w:vAlign w:val="center"/>
          </w:tcPr>
          <w:p w14:paraId="316D7441" w14:textId="2F5E83A2" w:rsidR="00600AC4" w:rsidRDefault="00600AC4"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#9: </w:t>
            </w:r>
            <w:r w:rsidR="009B2276">
              <w:rPr>
                <w:rFonts w:ascii="Verdana" w:eastAsia="Times New Roman" w:hAnsi="Verdana"/>
                <w:sz w:val="20"/>
                <w:szCs w:val="20"/>
              </w:rPr>
              <w:t>Plumbing</w:t>
            </w:r>
          </w:p>
        </w:tc>
        <w:tc>
          <w:tcPr>
            <w:tcW w:w="1267"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4F11AE0A" w14:textId="1443C671" w:rsidR="00600AC4" w:rsidRDefault="009B2276"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10.6%</w:t>
            </w:r>
          </w:p>
        </w:tc>
      </w:tr>
      <w:tr w:rsidR="00600AC4" w:rsidRPr="00CC1ECE" w14:paraId="1736DB56" w14:textId="77777777" w:rsidTr="009B2276">
        <w:trPr>
          <w:trHeight w:val="54"/>
          <w:jc w:val="center"/>
        </w:trPr>
        <w:tc>
          <w:tcPr>
            <w:tcW w:w="3478"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06755487" w14:textId="50B0E589" w:rsidR="00600AC4" w:rsidRPr="00CC1ECE" w:rsidRDefault="00600AC4"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#5: </w:t>
            </w:r>
            <w:r w:rsidR="009B2276">
              <w:rPr>
                <w:rFonts w:ascii="Verdana" w:eastAsia="Times New Roman" w:hAnsi="Verdana"/>
                <w:sz w:val="20"/>
                <w:szCs w:val="20"/>
              </w:rPr>
              <w:t>Interior lighting</w:t>
            </w:r>
          </w:p>
        </w:tc>
        <w:tc>
          <w:tcPr>
            <w:tcW w:w="1267" w:type="dxa"/>
            <w:tcBorders>
              <w:top w:val="single" w:sz="4" w:space="0" w:color="000000"/>
              <w:left w:val="single" w:sz="8" w:space="0" w:color="0070C0"/>
              <w:bottom w:val="single" w:sz="12" w:space="0" w:color="000000"/>
              <w:right w:val="single" w:sz="18" w:space="0" w:color="0070C0"/>
            </w:tcBorders>
            <w:shd w:val="clear" w:color="auto" w:fill="C2D69B" w:themeFill="accent3" w:themeFillTint="99"/>
            <w:vAlign w:val="center"/>
          </w:tcPr>
          <w:p w14:paraId="5E3870B8" w14:textId="15F7213A" w:rsidR="00600AC4" w:rsidRPr="00CC1ECE" w:rsidRDefault="009B2276"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20.8%</w:t>
            </w:r>
          </w:p>
        </w:tc>
        <w:tc>
          <w:tcPr>
            <w:tcW w:w="3485"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36492D18" w14:textId="700A0169" w:rsidR="00600AC4" w:rsidRPr="00CC1ECE" w:rsidRDefault="009B2276"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Windows</w:t>
            </w:r>
          </w:p>
        </w:tc>
        <w:tc>
          <w:tcPr>
            <w:tcW w:w="1267"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3053BAED" w14:textId="28CB0D38" w:rsidR="00600AC4" w:rsidRPr="00CC1ECE" w:rsidRDefault="009B2276"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9.4%</w:t>
            </w:r>
          </w:p>
        </w:tc>
      </w:tr>
    </w:tbl>
    <w:p w14:paraId="2E891F6D" w14:textId="13D612E2" w:rsidR="00600AC4" w:rsidRPr="0068494F" w:rsidRDefault="00600AC4" w:rsidP="009B2276">
      <w:pPr>
        <w:pStyle w:val="NoSpacing"/>
        <w:ind w:hanging="90"/>
        <w:contextualSpacing/>
        <w:mirrorIndents/>
        <w:rPr>
          <w:rFonts w:ascii="Verdana" w:hAnsi="Verdana"/>
          <w:sz w:val="20"/>
          <w:szCs w:val="20"/>
        </w:rPr>
      </w:pPr>
      <w:r>
        <w:rPr>
          <w:rFonts w:ascii="Verdana" w:hAnsi="Verdana"/>
          <w:sz w:val="16"/>
          <w:szCs w:val="16"/>
        </w:rPr>
        <w:t>The Farnsworth Group</w:t>
      </w:r>
      <w:r w:rsidRPr="00CC1ECE">
        <w:rPr>
          <w:rFonts w:ascii="Verdana" w:hAnsi="Verdana"/>
          <w:sz w:val="16"/>
          <w:szCs w:val="16"/>
        </w:rPr>
        <w:t xml:space="preserve">, </w:t>
      </w:r>
      <w:r>
        <w:rPr>
          <w:rFonts w:ascii="Verdana" w:hAnsi="Verdana"/>
          <w:sz w:val="16"/>
          <w:szCs w:val="16"/>
        </w:rPr>
        <w:t>January 2022</w:t>
      </w:r>
      <w:r>
        <w:rPr>
          <w:rFonts w:ascii="Verdana" w:hAnsi="Verdana"/>
          <w:sz w:val="16"/>
          <w:szCs w:val="16"/>
        </w:rPr>
        <w:tab/>
      </w:r>
      <w:r w:rsidR="009B2276">
        <w:rPr>
          <w:rFonts w:ascii="Verdana" w:hAnsi="Verdana"/>
          <w:sz w:val="16"/>
          <w:szCs w:val="16"/>
        </w:rPr>
        <w:tab/>
      </w:r>
      <w:r w:rsidR="009B2276">
        <w:rPr>
          <w:rFonts w:ascii="Verdana" w:hAnsi="Verdana"/>
          <w:sz w:val="16"/>
          <w:szCs w:val="16"/>
        </w:rPr>
        <w:tab/>
      </w:r>
      <w:r>
        <w:rPr>
          <w:rFonts w:ascii="Verdana" w:hAnsi="Verdana"/>
          <w:sz w:val="16"/>
          <w:szCs w:val="16"/>
        </w:rPr>
        <w:t>*during the next few weeks</w:t>
      </w:r>
    </w:p>
    <w:p w14:paraId="466751A0" w14:textId="77777777" w:rsidR="00600AC4" w:rsidRDefault="00600AC4" w:rsidP="002C1B6E">
      <w:pPr>
        <w:spacing w:after="0" w:line="240" w:lineRule="auto"/>
        <w:contextualSpacing/>
        <w:mirrorIndents/>
        <w:rPr>
          <w:rFonts w:ascii="Verdana" w:hAnsi="Verdana"/>
          <w:sz w:val="20"/>
          <w:szCs w:val="20"/>
        </w:rPr>
      </w:pPr>
    </w:p>
    <w:p w14:paraId="47765EB8" w14:textId="782860F4" w:rsidR="002C1B6E" w:rsidRPr="0005013E" w:rsidRDefault="002C1B6E" w:rsidP="0005013E">
      <w:pPr>
        <w:spacing w:after="0" w:line="240" w:lineRule="auto"/>
        <w:contextualSpacing/>
        <w:mirrorIndents/>
        <w:jc w:val="center"/>
        <w:rPr>
          <w:rFonts w:ascii="Verdana" w:hAnsi="Verdana"/>
          <w:b/>
          <w:bCs/>
          <w:color w:val="0070C0"/>
          <w:sz w:val="20"/>
          <w:szCs w:val="20"/>
        </w:rPr>
      </w:pPr>
      <w:r w:rsidRPr="0005013E">
        <w:rPr>
          <w:rFonts w:ascii="Verdana" w:hAnsi="Verdana"/>
          <w:b/>
          <w:bCs/>
          <w:color w:val="0070C0"/>
          <w:sz w:val="20"/>
          <w:szCs w:val="20"/>
        </w:rPr>
        <w:t>DIYers’ Purchase Patterns</w:t>
      </w:r>
    </w:p>
    <w:p w14:paraId="231CA0FF" w14:textId="77777777" w:rsidR="002C1B6E" w:rsidRPr="002C1B6E" w:rsidRDefault="002C1B6E" w:rsidP="002C1B6E">
      <w:pPr>
        <w:spacing w:after="0" w:line="240" w:lineRule="auto"/>
        <w:contextualSpacing/>
        <w:mirrorIndents/>
        <w:rPr>
          <w:rFonts w:ascii="Verdana" w:hAnsi="Verdana"/>
          <w:sz w:val="20"/>
          <w:szCs w:val="20"/>
        </w:rPr>
      </w:pPr>
    </w:p>
    <w:p w14:paraId="24553CD7" w14:textId="060080B5" w:rsidR="0005013E" w:rsidRDefault="005758F8" w:rsidP="002C1B6E">
      <w:pPr>
        <w:spacing w:after="0" w:line="240" w:lineRule="auto"/>
        <w:contextualSpacing/>
        <w:mirrorIndents/>
        <w:rPr>
          <w:rFonts w:ascii="Verdana" w:hAnsi="Verdana"/>
          <w:sz w:val="20"/>
          <w:szCs w:val="20"/>
        </w:rPr>
      </w:pPr>
      <w:r>
        <w:rPr>
          <w:rFonts w:ascii="Verdana" w:hAnsi="Verdana"/>
          <w:sz w:val="20"/>
          <w:szCs w:val="20"/>
        </w:rPr>
        <w:t>According to The Farnsworth Group report cited above, 75.4% of surveyed consumers said they had experienced very little materials shortages for their projects during the past month: “no materials shortages” at 50.8% and “low materials shortages” at 24.6%.</w:t>
      </w:r>
    </w:p>
    <w:p w14:paraId="5E521801" w14:textId="77777777" w:rsidR="0005013E" w:rsidRDefault="0005013E" w:rsidP="002C1B6E">
      <w:pPr>
        <w:spacing w:after="0" w:line="240" w:lineRule="auto"/>
        <w:contextualSpacing/>
        <w:mirrorIndents/>
        <w:rPr>
          <w:rFonts w:ascii="Verdana" w:hAnsi="Verdana"/>
          <w:sz w:val="20"/>
          <w:szCs w:val="20"/>
        </w:rPr>
      </w:pPr>
    </w:p>
    <w:p w14:paraId="72EE4709" w14:textId="3CD7F238" w:rsidR="0005013E" w:rsidRDefault="005758F8" w:rsidP="002C1B6E">
      <w:pPr>
        <w:spacing w:after="0" w:line="240" w:lineRule="auto"/>
        <w:contextualSpacing/>
        <w:mirrorIndents/>
        <w:rPr>
          <w:rFonts w:ascii="Verdana" w:hAnsi="Verdana"/>
          <w:sz w:val="20"/>
          <w:szCs w:val="20"/>
        </w:rPr>
      </w:pPr>
      <w:r>
        <w:rPr>
          <w:rFonts w:ascii="Verdana" w:hAnsi="Verdana"/>
          <w:sz w:val="20"/>
          <w:szCs w:val="20"/>
        </w:rPr>
        <w:t>“</w:t>
      </w:r>
      <w:proofErr w:type="gramStart"/>
      <w:r>
        <w:rPr>
          <w:rFonts w:ascii="Verdana" w:hAnsi="Verdana"/>
          <w:sz w:val="20"/>
          <w:szCs w:val="20"/>
        </w:rPr>
        <w:t>Lumber,</w:t>
      </w:r>
      <w:proofErr w:type="gramEnd"/>
      <w:r>
        <w:rPr>
          <w:rFonts w:ascii="Verdana" w:hAnsi="Verdana"/>
          <w:sz w:val="20"/>
          <w:szCs w:val="20"/>
        </w:rPr>
        <w:t xml:space="preserve"> treated lumber and plywood” w</w:t>
      </w:r>
      <w:r w:rsidR="00ED18E6">
        <w:rPr>
          <w:rFonts w:ascii="Verdana" w:hAnsi="Verdana"/>
          <w:sz w:val="20"/>
          <w:szCs w:val="20"/>
        </w:rPr>
        <w:t>ere</w:t>
      </w:r>
      <w:r>
        <w:rPr>
          <w:rFonts w:ascii="Verdana" w:hAnsi="Verdana"/>
          <w:sz w:val="20"/>
          <w:szCs w:val="20"/>
        </w:rPr>
        <w:t xml:space="preserve"> the material</w:t>
      </w:r>
      <w:r w:rsidR="00ED18E6">
        <w:rPr>
          <w:rFonts w:ascii="Verdana" w:hAnsi="Verdana"/>
          <w:sz w:val="20"/>
          <w:szCs w:val="20"/>
        </w:rPr>
        <w:t>s</w:t>
      </w:r>
      <w:r>
        <w:rPr>
          <w:rFonts w:ascii="Verdana" w:hAnsi="Verdana"/>
          <w:sz w:val="20"/>
          <w:szCs w:val="20"/>
        </w:rPr>
        <w:t xml:space="preserve"> most consumers had trouble finding during the past month at 30.5%, but the difficulty had decreased almost 20 percentage points from October 2021 when it was cited by 49.3% of consumers.</w:t>
      </w:r>
    </w:p>
    <w:p w14:paraId="07C02C11" w14:textId="726735F4" w:rsidR="00D750B6" w:rsidRDefault="00D750B6" w:rsidP="002C1B6E">
      <w:pPr>
        <w:spacing w:after="0" w:line="240" w:lineRule="auto"/>
        <w:contextualSpacing/>
        <w:mirrorIndents/>
        <w:rPr>
          <w:rFonts w:ascii="Verdana" w:hAnsi="Verdana"/>
          <w:sz w:val="20"/>
          <w:szCs w:val="20"/>
        </w:rPr>
      </w:pPr>
    </w:p>
    <w:p w14:paraId="7C8DD12A" w14:textId="642D9B17" w:rsidR="00D750B6" w:rsidRDefault="00D750B6" w:rsidP="002C1B6E">
      <w:pPr>
        <w:spacing w:after="0" w:line="240" w:lineRule="auto"/>
        <w:contextualSpacing/>
        <w:mirrorIndents/>
        <w:rPr>
          <w:rFonts w:ascii="Verdana" w:hAnsi="Verdana"/>
          <w:sz w:val="20"/>
          <w:szCs w:val="20"/>
        </w:rPr>
      </w:pPr>
      <w:r>
        <w:rPr>
          <w:rFonts w:ascii="Verdana" w:hAnsi="Verdana"/>
          <w:sz w:val="20"/>
          <w:szCs w:val="20"/>
        </w:rPr>
        <w:t>The vast majority (80.4%) said they had purchased their home improvement materials in-store or at a supplier during the last month. A substantial percentage (21.2%) purchase</w:t>
      </w:r>
      <w:r w:rsidR="00E63498">
        <w:rPr>
          <w:rFonts w:ascii="Verdana" w:hAnsi="Verdana"/>
          <w:sz w:val="20"/>
          <w:szCs w:val="20"/>
        </w:rPr>
        <w:t>d</w:t>
      </w:r>
      <w:r>
        <w:rPr>
          <w:rFonts w:ascii="Verdana" w:hAnsi="Verdana"/>
          <w:sz w:val="20"/>
          <w:szCs w:val="20"/>
        </w:rPr>
        <w:t xml:space="preserve"> those materials online and had them delivered to their homes.</w:t>
      </w:r>
    </w:p>
    <w:p w14:paraId="320EBC11" w14:textId="77777777" w:rsidR="0005013E" w:rsidRDefault="0005013E" w:rsidP="002C1B6E">
      <w:pPr>
        <w:spacing w:after="0" w:line="240" w:lineRule="auto"/>
        <w:contextualSpacing/>
        <w:mirrorIndents/>
        <w:rPr>
          <w:rFonts w:ascii="Verdana" w:hAnsi="Verdana"/>
          <w:sz w:val="20"/>
          <w:szCs w:val="20"/>
        </w:rPr>
      </w:pPr>
    </w:p>
    <w:p w14:paraId="7D06C5C3" w14:textId="0CCE3D0B" w:rsidR="00622572" w:rsidRPr="005D1511" w:rsidRDefault="00622572" w:rsidP="00622572">
      <w:pPr>
        <w:spacing w:after="0" w:line="240" w:lineRule="auto"/>
        <w:contextualSpacing/>
        <w:mirrorIndents/>
        <w:jc w:val="center"/>
        <w:rPr>
          <w:b/>
          <w:bCs/>
          <w:sz w:val="20"/>
          <w:szCs w:val="20"/>
        </w:rPr>
      </w:pPr>
      <w:r>
        <w:rPr>
          <w:b/>
          <w:bCs/>
          <w:sz w:val="20"/>
          <w:szCs w:val="20"/>
        </w:rPr>
        <w:t xml:space="preserve">Adults 18+ Who Are Planning Any Home Improvement Project* and </w:t>
      </w:r>
      <w:r w:rsidR="00F4597F">
        <w:rPr>
          <w:b/>
          <w:bCs/>
          <w:sz w:val="20"/>
          <w:szCs w:val="20"/>
        </w:rPr>
        <w:t xml:space="preserve">the </w:t>
      </w:r>
      <w:r>
        <w:rPr>
          <w:b/>
          <w:bCs/>
          <w:sz w:val="20"/>
          <w:szCs w:val="20"/>
        </w:rPr>
        <w:t>Building Supply Chains Where They’ve Shopped</w:t>
      </w:r>
      <w:r w:rsidRPr="00B00624">
        <w:rPr>
          <w:rFonts w:ascii="Verdana" w:eastAsia="Times New Roman" w:hAnsi="Verdana"/>
          <w:sz w:val="20"/>
          <w:szCs w:val="20"/>
        </w:rPr>
        <w:t>†</w:t>
      </w:r>
      <w:r>
        <w:rPr>
          <w:b/>
          <w:bCs/>
          <w:sz w:val="20"/>
          <w:szCs w:val="20"/>
        </w:rPr>
        <w:t>, by Indices, in Selected Markets</w:t>
      </w:r>
      <w:r w:rsidRPr="005D1511">
        <w:rPr>
          <w:b/>
          <w:bCs/>
          <w:sz w:val="20"/>
          <w:szCs w:val="20"/>
        </w:rPr>
        <w:t>, 202</w:t>
      </w:r>
      <w:r>
        <w:rPr>
          <w:b/>
          <w:bCs/>
          <w:sz w:val="20"/>
          <w:szCs w:val="20"/>
        </w:rPr>
        <w:t>1</w:t>
      </w:r>
    </w:p>
    <w:tbl>
      <w:tblPr>
        <w:tblW w:w="943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18"/>
        <w:gridCol w:w="1483"/>
        <w:gridCol w:w="1483"/>
        <w:gridCol w:w="1483"/>
        <w:gridCol w:w="1483"/>
        <w:gridCol w:w="1483"/>
      </w:tblGrid>
      <w:tr w:rsidR="00622572" w:rsidRPr="005D1511" w14:paraId="43B44E6C" w14:textId="77777777" w:rsidTr="00622572">
        <w:trPr>
          <w:jc w:val="center"/>
        </w:trPr>
        <w:tc>
          <w:tcPr>
            <w:tcW w:w="201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7DDB54A" w14:textId="3AFC7ACE" w:rsidR="00622572" w:rsidRPr="004815C1" w:rsidRDefault="00622572"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Building Supply Chains</w:t>
            </w:r>
          </w:p>
        </w:tc>
        <w:tc>
          <w:tcPr>
            <w:tcW w:w="1483"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5F809DA4" w14:textId="3BA82F9A" w:rsidR="00622572" w:rsidRPr="004815C1" w:rsidRDefault="00622572"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West Palm Beach, FL</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42C7A89" w14:textId="58CA424B" w:rsidR="00622572" w:rsidRPr="004815C1" w:rsidRDefault="00622572"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Chicago</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1965D16F" w14:textId="6DA34D29" w:rsidR="00622572" w:rsidRPr="004815C1" w:rsidRDefault="00622572"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Austin</w:t>
            </w:r>
          </w:p>
        </w:tc>
        <w:tc>
          <w:tcPr>
            <w:tcW w:w="1483"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22045DF" w14:textId="77777777" w:rsidR="00622572" w:rsidRPr="004815C1" w:rsidRDefault="00622572"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c>
          <w:tcPr>
            <w:tcW w:w="1483"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5B255ED7" w14:textId="77777777" w:rsidR="00622572" w:rsidRPr="004815C1" w:rsidRDefault="00622572"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sidRPr="004815C1">
              <w:rPr>
                <w:rFonts w:ascii="Verdana" w:eastAsia="Times New Roman" w:hAnsi="Verdana"/>
                <w:sz w:val="20"/>
                <w:szCs w:val="20"/>
              </w:rPr>
              <w:t>Portland, OR</w:t>
            </w:r>
          </w:p>
        </w:tc>
      </w:tr>
      <w:tr w:rsidR="00C12264" w:rsidRPr="005D1511" w14:paraId="3CFBEE8F" w14:textId="77777777" w:rsidTr="00C12264">
        <w:tblPrEx>
          <w:tblBorders>
            <w:top w:val="none" w:sz="0" w:space="0" w:color="auto"/>
          </w:tblBorders>
        </w:tblPrEx>
        <w:trPr>
          <w:jc w:val="center"/>
        </w:trPr>
        <w:tc>
          <w:tcPr>
            <w:tcW w:w="201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773169C9" w14:textId="21AC80BD" w:rsidR="00622572" w:rsidRPr="004815C1" w:rsidRDefault="00622572" w:rsidP="002227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The Home Depot</w:t>
            </w:r>
          </w:p>
        </w:tc>
        <w:tc>
          <w:tcPr>
            <w:tcW w:w="1483" w:type="dxa"/>
            <w:tcBorders>
              <w:top w:val="single" w:sz="18" w:space="0" w:color="C0504D" w:themeColor="accent2"/>
              <w:left w:val="single" w:sz="18" w:space="0" w:color="0070C0"/>
              <w:bottom w:val="single" w:sz="4" w:space="0" w:color="auto"/>
              <w:right w:val="single" w:sz="8" w:space="0" w:color="0070C0"/>
            </w:tcBorders>
            <w:shd w:val="clear" w:color="auto" w:fill="EAF1DD" w:themeFill="accent3" w:themeFillTint="33"/>
            <w:vAlign w:val="center"/>
          </w:tcPr>
          <w:p w14:paraId="3DB43B15" w14:textId="20806095"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127</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464B603B" w14:textId="206E6F63"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133</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54B79BD6" w14:textId="2DEC6540"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135</w:t>
            </w:r>
          </w:p>
        </w:tc>
        <w:tc>
          <w:tcPr>
            <w:tcW w:w="1483" w:type="dxa"/>
            <w:tcBorders>
              <w:top w:val="single" w:sz="18" w:space="0" w:color="C0504D" w:themeColor="accent2"/>
              <w:left w:val="single" w:sz="8" w:space="0" w:color="0070C0"/>
              <w:bottom w:val="single" w:sz="4" w:space="0" w:color="auto"/>
              <w:right w:val="single" w:sz="8" w:space="0" w:color="0070C0"/>
            </w:tcBorders>
            <w:shd w:val="clear" w:color="auto" w:fill="EAF1DD" w:themeFill="accent3" w:themeFillTint="33"/>
            <w:vAlign w:val="center"/>
          </w:tcPr>
          <w:p w14:paraId="22E249DE" w14:textId="42ECB6FE"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129</w:t>
            </w:r>
          </w:p>
        </w:tc>
        <w:tc>
          <w:tcPr>
            <w:tcW w:w="1483"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5E389D6B" w14:textId="3CC816EB" w:rsidR="00622572" w:rsidRPr="004815C1" w:rsidRDefault="00622572" w:rsidP="002227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136</w:t>
            </w:r>
          </w:p>
        </w:tc>
      </w:tr>
      <w:tr w:rsidR="00622572" w:rsidRPr="005D1511" w14:paraId="4443F8E5" w14:textId="77777777" w:rsidTr="00C12264">
        <w:tblPrEx>
          <w:tblBorders>
            <w:top w:val="none" w:sz="0" w:space="0" w:color="auto"/>
          </w:tblBorders>
        </w:tblPrEx>
        <w:trPr>
          <w:jc w:val="center"/>
        </w:trPr>
        <w:tc>
          <w:tcPr>
            <w:tcW w:w="201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7FBB1E0" w14:textId="54F719B7" w:rsidR="00622572" w:rsidRPr="004815C1" w:rsidRDefault="00622572" w:rsidP="002227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Lowe’s</w:t>
            </w:r>
          </w:p>
        </w:tc>
        <w:tc>
          <w:tcPr>
            <w:tcW w:w="1483"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DE3B49D" w14:textId="35CE7A8D"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144</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394EDDD" w14:textId="06578AB0"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145</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375F075" w14:textId="5E9DC74B"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131</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E9682AE" w14:textId="566C3221"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137</w:t>
            </w:r>
          </w:p>
        </w:tc>
        <w:tc>
          <w:tcPr>
            <w:tcW w:w="1483"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6F2046AB" w14:textId="3EDD9321" w:rsidR="00622572" w:rsidRPr="00B00624"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r>
      <w:tr w:rsidR="00622572" w:rsidRPr="005D1511" w14:paraId="631AA77A" w14:textId="77777777" w:rsidTr="00C12264">
        <w:tblPrEx>
          <w:tblBorders>
            <w:top w:val="none" w:sz="0" w:space="0" w:color="auto"/>
          </w:tblBorders>
        </w:tblPrEx>
        <w:trPr>
          <w:jc w:val="center"/>
        </w:trPr>
        <w:tc>
          <w:tcPr>
            <w:tcW w:w="201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00B8E7E" w14:textId="52379F2F" w:rsidR="00622572" w:rsidRPr="004815C1" w:rsidRDefault="00622572" w:rsidP="002227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Ace Hardware</w:t>
            </w:r>
          </w:p>
        </w:tc>
        <w:tc>
          <w:tcPr>
            <w:tcW w:w="1483"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7666397C" w14:textId="7F548E43" w:rsidR="00622572" w:rsidRPr="004815C1" w:rsidRDefault="00622572" w:rsidP="002227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135</w:t>
            </w:r>
          </w:p>
        </w:tc>
        <w:tc>
          <w:tcPr>
            <w:tcW w:w="1483"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AB82F59" w14:textId="51E004A6"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132</w:t>
            </w:r>
          </w:p>
        </w:tc>
        <w:tc>
          <w:tcPr>
            <w:tcW w:w="1483" w:type="dxa"/>
            <w:tcBorders>
              <w:top w:val="single" w:sz="4" w:space="0" w:color="auto"/>
              <w:left w:val="single" w:sz="8" w:space="0" w:color="0070C0"/>
              <w:bottom w:val="single" w:sz="4" w:space="0" w:color="000000"/>
              <w:right w:val="single" w:sz="8" w:space="0" w:color="0070C0"/>
            </w:tcBorders>
            <w:shd w:val="clear" w:color="auto" w:fill="92D050"/>
            <w:vAlign w:val="center"/>
          </w:tcPr>
          <w:p w14:paraId="16FD595A" w14:textId="7D8CBE17"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165</w:t>
            </w:r>
          </w:p>
        </w:tc>
        <w:tc>
          <w:tcPr>
            <w:tcW w:w="1483"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0599A61" w14:textId="74EE4C9D"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145</w:t>
            </w:r>
          </w:p>
        </w:tc>
        <w:tc>
          <w:tcPr>
            <w:tcW w:w="1483"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5884360E" w14:textId="140CB35E"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145</w:t>
            </w:r>
          </w:p>
        </w:tc>
      </w:tr>
      <w:tr w:rsidR="00622572" w:rsidRPr="005D1511" w14:paraId="5AC585DA" w14:textId="77777777" w:rsidTr="00C12264">
        <w:tblPrEx>
          <w:tblBorders>
            <w:top w:val="none" w:sz="0" w:space="0" w:color="auto"/>
          </w:tblBorders>
        </w:tblPrEx>
        <w:trPr>
          <w:jc w:val="center"/>
        </w:trPr>
        <w:tc>
          <w:tcPr>
            <w:tcW w:w="201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1097DED8" w14:textId="04608A8F" w:rsidR="00622572" w:rsidRPr="004815C1" w:rsidRDefault="00622572" w:rsidP="0022272D">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True Value</w:t>
            </w:r>
          </w:p>
        </w:tc>
        <w:tc>
          <w:tcPr>
            <w:tcW w:w="1483" w:type="dxa"/>
            <w:tcBorders>
              <w:top w:val="single" w:sz="4" w:space="0" w:color="000000"/>
              <w:left w:val="single" w:sz="18" w:space="0" w:color="0070C0"/>
              <w:bottom w:val="single" w:sz="12" w:space="0" w:color="auto"/>
              <w:right w:val="single" w:sz="8" w:space="0" w:color="0070C0"/>
            </w:tcBorders>
            <w:shd w:val="clear" w:color="auto" w:fill="92D050"/>
            <w:vAlign w:val="center"/>
          </w:tcPr>
          <w:p w14:paraId="2D4CD10C" w14:textId="635F8296"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161</w:t>
            </w:r>
          </w:p>
        </w:tc>
        <w:tc>
          <w:tcPr>
            <w:tcW w:w="1483"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76FC8542" w14:textId="185389F5"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149</w:t>
            </w:r>
          </w:p>
        </w:tc>
        <w:tc>
          <w:tcPr>
            <w:tcW w:w="1483"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50913541" w14:textId="26911709" w:rsidR="00622572" w:rsidRPr="00B00624"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152</w:t>
            </w:r>
          </w:p>
        </w:tc>
        <w:tc>
          <w:tcPr>
            <w:tcW w:w="1483" w:type="dxa"/>
            <w:tcBorders>
              <w:top w:val="single" w:sz="4" w:space="0" w:color="000000"/>
              <w:left w:val="single" w:sz="8" w:space="0" w:color="0070C0"/>
              <w:bottom w:val="single" w:sz="12" w:space="0" w:color="auto"/>
              <w:right w:val="single" w:sz="8" w:space="0" w:color="0070C0"/>
            </w:tcBorders>
            <w:shd w:val="clear" w:color="auto" w:fill="92D050"/>
            <w:vAlign w:val="center"/>
          </w:tcPr>
          <w:p w14:paraId="6DB4D740" w14:textId="7195A7B7"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164</w:t>
            </w:r>
          </w:p>
        </w:tc>
        <w:tc>
          <w:tcPr>
            <w:tcW w:w="1483" w:type="dxa"/>
            <w:tcBorders>
              <w:top w:val="single" w:sz="4" w:space="0" w:color="000000"/>
              <w:left w:val="single" w:sz="8" w:space="0" w:color="0070C0"/>
              <w:bottom w:val="single" w:sz="12" w:space="0" w:color="auto"/>
              <w:right w:val="single" w:sz="12" w:space="0" w:color="000000"/>
            </w:tcBorders>
            <w:shd w:val="clear" w:color="auto" w:fill="00B050"/>
            <w:vAlign w:val="center"/>
          </w:tcPr>
          <w:p w14:paraId="4DB2ADE2" w14:textId="6D56A199" w:rsidR="00622572" w:rsidRPr="004815C1" w:rsidRDefault="00622572"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184</w:t>
            </w:r>
          </w:p>
        </w:tc>
      </w:tr>
    </w:tbl>
    <w:p w14:paraId="284A161B" w14:textId="40D90104" w:rsidR="0005013E" w:rsidRDefault="00622572" w:rsidP="002C1B6E">
      <w:pPr>
        <w:spacing w:after="0" w:line="240" w:lineRule="auto"/>
        <w:contextualSpacing/>
        <w:mirrorIndents/>
        <w:rPr>
          <w:rFonts w:ascii="Verdana" w:hAnsi="Verdana"/>
          <w:sz w:val="20"/>
          <w:szCs w:val="20"/>
        </w:rPr>
      </w:pPr>
      <w:r w:rsidRPr="00573142">
        <w:rPr>
          <w:sz w:val="16"/>
          <w:szCs w:val="16"/>
        </w:rPr>
        <w:t xml:space="preserve">Based on The Media Audit’s 2021 surveys  </w:t>
      </w:r>
      <w:r w:rsidRPr="00573142">
        <w:rPr>
          <w:sz w:val="16"/>
          <w:szCs w:val="16"/>
        </w:rPr>
        <w:tab/>
        <w:t xml:space="preserve">*during the </w:t>
      </w:r>
      <w:r>
        <w:rPr>
          <w:sz w:val="16"/>
          <w:szCs w:val="16"/>
        </w:rPr>
        <w:t>next 12 months</w:t>
      </w:r>
      <w:r>
        <w:rPr>
          <w:sz w:val="16"/>
          <w:szCs w:val="16"/>
        </w:rPr>
        <w:tab/>
      </w:r>
      <w:r w:rsidRPr="00573142">
        <w:rPr>
          <w:rFonts w:ascii="Verdana" w:eastAsia="Times New Roman" w:hAnsi="Verdana"/>
          <w:sz w:val="16"/>
          <w:szCs w:val="16"/>
        </w:rPr>
        <w:t>†</w:t>
      </w:r>
      <w:r>
        <w:rPr>
          <w:rFonts w:ascii="Verdana" w:eastAsia="Times New Roman" w:hAnsi="Verdana"/>
          <w:sz w:val="16"/>
          <w:szCs w:val="16"/>
        </w:rPr>
        <w:t>during the past 4 weeks</w:t>
      </w:r>
    </w:p>
    <w:p w14:paraId="4BD83193" w14:textId="77777777" w:rsidR="00622572" w:rsidRDefault="00622572" w:rsidP="002C1B6E">
      <w:pPr>
        <w:spacing w:after="0" w:line="240" w:lineRule="auto"/>
        <w:contextualSpacing/>
        <w:mirrorIndents/>
        <w:rPr>
          <w:rFonts w:ascii="Verdana" w:hAnsi="Verdana"/>
          <w:sz w:val="20"/>
          <w:szCs w:val="20"/>
        </w:rPr>
      </w:pPr>
    </w:p>
    <w:p w14:paraId="5A2AA82E" w14:textId="77777777" w:rsidR="00622572" w:rsidRDefault="00622572" w:rsidP="002C1B6E">
      <w:pPr>
        <w:spacing w:after="0" w:line="240" w:lineRule="auto"/>
        <w:contextualSpacing/>
        <w:mirrorIndents/>
        <w:rPr>
          <w:rFonts w:ascii="Verdana" w:hAnsi="Verdana"/>
          <w:sz w:val="20"/>
          <w:szCs w:val="20"/>
        </w:rPr>
      </w:pPr>
    </w:p>
    <w:p w14:paraId="0277D058" w14:textId="386DC131" w:rsidR="00622572" w:rsidRDefault="00622572" w:rsidP="002C1B6E">
      <w:pPr>
        <w:spacing w:after="0" w:line="240" w:lineRule="auto"/>
        <w:contextualSpacing/>
        <w:mirrorIndents/>
        <w:rPr>
          <w:rFonts w:ascii="Verdana" w:hAnsi="Verdana"/>
          <w:sz w:val="20"/>
          <w:szCs w:val="20"/>
        </w:rPr>
      </w:pPr>
    </w:p>
    <w:p w14:paraId="65993B3B" w14:textId="77777777" w:rsidR="00B80ECC" w:rsidRDefault="00B80ECC" w:rsidP="002C1B6E">
      <w:pPr>
        <w:spacing w:after="0" w:line="240" w:lineRule="auto"/>
        <w:contextualSpacing/>
        <w:mirrorIndents/>
        <w:rPr>
          <w:rFonts w:ascii="Verdana" w:hAnsi="Verdana"/>
          <w:sz w:val="20"/>
          <w:szCs w:val="20"/>
        </w:rPr>
      </w:pPr>
    </w:p>
    <w:p w14:paraId="1C591C8C" w14:textId="3182D024" w:rsidR="002C1B6E" w:rsidRPr="00B80ECC" w:rsidRDefault="002C1B6E" w:rsidP="00B80ECC">
      <w:pPr>
        <w:spacing w:after="0" w:line="240" w:lineRule="auto"/>
        <w:contextualSpacing/>
        <w:mirrorIndents/>
        <w:jc w:val="center"/>
        <w:rPr>
          <w:rFonts w:ascii="Verdana" w:hAnsi="Verdana"/>
          <w:b/>
          <w:bCs/>
          <w:color w:val="0070C0"/>
          <w:sz w:val="20"/>
          <w:szCs w:val="20"/>
        </w:rPr>
      </w:pPr>
      <w:r w:rsidRPr="00B80ECC">
        <w:rPr>
          <w:rFonts w:ascii="Verdana" w:hAnsi="Verdana"/>
          <w:b/>
          <w:bCs/>
          <w:color w:val="0070C0"/>
          <w:sz w:val="20"/>
          <w:szCs w:val="20"/>
        </w:rPr>
        <w:lastRenderedPageBreak/>
        <w:t>Home Improvement Professionals’ Challenges</w:t>
      </w:r>
    </w:p>
    <w:p w14:paraId="21A8EC65" w14:textId="42823CBF" w:rsidR="002C1B6E" w:rsidRDefault="002C1B6E" w:rsidP="002C1B6E">
      <w:pPr>
        <w:spacing w:after="0" w:line="240" w:lineRule="auto"/>
        <w:contextualSpacing/>
        <w:mirrorIndents/>
        <w:rPr>
          <w:rFonts w:ascii="Verdana" w:hAnsi="Verdana"/>
          <w:sz w:val="20"/>
          <w:szCs w:val="20"/>
        </w:rPr>
      </w:pPr>
    </w:p>
    <w:p w14:paraId="19613DF6" w14:textId="01562D8A" w:rsidR="00B80ECC" w:rsidRDefault="00B80ECC" w:rsidP="002C1B6E">
      <w:pPr>
        <w:spacing w:after="0" w:line="240" w:lineRule="auto"/>
        <w:contextualSpacing/>
        <w:mirrorIndents/>
        <w:rPr>
          <w:rFonts w:ascii="Verdana" w:hAnsi="Verdana"/>
          <w:sz w:val="20"/>
          <w:szCs w:val="20"/>
        </w:rPr>
      </w:pPr>
      <w:r>
        <w:rPr>
          <w:rFonts w:ascii="Verdana" w:hAnsi="Verdana"/>
          <w:sz w:val="20"/>
          <w:szCs w:val="20"/>
        </w:rPr>
        <w:t>The Farnsworth Group’s PRO Home Improvement Monthly Tracker for January 2022 reported almost half (48.7%) of contractors said their work had been delayed or stopped during the past month.</w:t>
      </w:r>
    </w:p>
    <w:p w14:paraId="12E79A06" w14:textId="5A0C8210" w:rsidR="00B80ECC" w:rsidRDefault="00B80ECC" w:rsidP="002C1B6E">
      <w:pPr>
        <w:spacing w:after="0" w:line="240" w:lineRule="auto"/>
        <w:contextualSpacing/>
        <w:mirrorIndents/>
        <w:rPr>
          <w:rFonts w:ascii="Verdana" w:hAnsi="Verdana"/>
          <w:sz w:val="20"/>
          <w:szCs w:val="20"/>
        </w:rPr>
      </w:pPr>
    </w:p>
    <w:p w14:paraId="2CE68E42" w14:textId="4DC44E17" w:rsidR="00B80ECC" w:rsidRDefault="00B80ECC" w:rsidP="002C1B6E">
      <w:pPr>
        <w:spacing w:after="0" w:line="240" w:lineRule="auto"/>
        <w:contextualSpacing/>
        <w:mirrorIndents/>
        <w:rPr>
          <w:rFonts w:ascii="Verdana" w:hAnsi="Verdana"/>
          <w:sz w:val="20"/>
          <w:szCs w:val="20"/>
        </w:rPr>
      </w:pPr>
      <w:r>
        <w:rPr>
          <w:rFonts w:ascii="Verdana" w:hAnsi="Verdana"/>
          <w:sz w:val="20"/>
          <w:szCs w:val="20"/>
        </w:rPr>
        <w:t>The top five reasons were “material availability” at 48.9%, “homeowners’ concerns with having workers in their homes” at 43.3%, “material prices</w:t>
      </w:r>
      <w:r w:rsidR="00BC22E2">
        <w:rPr>
          <w:rFonts w:ascii="Verdana" w:hAnsi="Verdana"/>
          <w:sz w:val="20"/>
          <w:szCs w:val="20"/>
        </w:rPr>
        <w:t>”</w:t>
      </w:r>
      <w:r>
        <w:rPr>
          <w:rFonts w:ascii="Verdana" w:hAnsi="Verdana"/>
          <w:sz w:val="20"/>
          <w:szCs w:val="20"/>
        </w:rPr>
        <w:t xml:space="preserve"> and “COVID concerns for workers” both at 25.7% and “lack of labor/workers” at 18.1%.</w:t>
      </w:r>
    </w:p>
    <w:p w14:paraId="3AD71BEE" w14:textId="69573B9F" w:rsidR="00B80ECC" w:rsidRDefault="00B80ECC" w:rsidP="002C1B6E">
      <w:pPr>
        <w:spacing w:after="0" w:line="240" w:lineRule="auto"/>
        <w:contextualSpacing/>
        <w:mirrorIndents/>
        <w:rPr>
          <w:rFonts w:ascii="Verdana" w:hAnsi="Verdana"/>
          <w:sz w:val="20"/>
          <w:szCs w:val="20"/>
        </w:rPr>
      </w:pPr>
    </w:p>
    <w:p w14:paraId="52972B83" w14:textId="0ED886A6" w:rsidR="00B80ECC" w:rsidRDefault="00E801DD" w:rsidP="002C1B6E">
      <w:pPr>
        <w:spacing w:after="0" w:line="240" w:lineRule="auto"/>
        <w:contextualSpacing/>
        <w:mirrorIndents/>
        <w:rPr>
          <w:rFonts w:ascii="Verdana" w:hAnsi="Verdana"/>
          <w:sz w:val="20"/>
          <w:szCs w:val="20"/>
        </w:rPr>
      </w:pPr>
      <w:r>
        <w:rPr>
          <w:rFonts w:ascii="Verdana" w:hAnsi="Verdana"/>
          <w:sz w:val="20"/>
          <w:szCs w:val="20"/>
        </w:rPr>
        <w:t>The top five trades home improvement contractors had trouble finding were “painters” at 27.2%, “electricians” at 26.4%, “plumbers” at 24.9%, “carpenters” at 22.4% and “builders” at 16.9%.</w:t>
      </w:r>
    </w:p>
    <w:p w14:paraId="7DC65EE9" w14:textId="3E33FABE" w:rsidR="00E801DD" w:rsidRDefault="00E801DD" w:rsidP="002C1B6E">
      <w:pPr>
        <w:spacing w:after="0" w:line="240" w:lineRule="auto"/>
        <w:contextualSpacing/>
        <w:mirrorIndents/>
        <w:rPr>
          <w:rFonts w:ascii="Verdana" w:hAnsi="Verdana"/>
          <w:sz w:val="20"/>
          <w:szCs w:val="20"/>
        </w:rPr>
      </w:pPr>
    </w:p>
    <w:p w14:paraId="2D9F1869" w14:textId="77777777" w:rsidR="00D14BE8" w:rsidRDefault="00D14BE8" w:rsidP="00D14BE8">
      <w:pPr>
        <w:pStyle w:val="Header"/>
        <w:contextualSpacing/>
        <w:jc w:val="center"/>
        <w:rPr>
          <w:rFonts w:ascii="Verdana" w:hAnsi="Verdana"/>
          <w:b/>
          <w:sz w:val="20"/>
          <w:szCs w:val="20"/>
        </w:rPr>
      </w:pPr>
      <w:r>
        <w:rPr>
          <w:rFonts w:ascii="Verdana" w:hAnsi="Verdana"/>
          <w:b/>
          <w:sz w:val="20"/>
          <w:szCs w:val="20"/>
        </w:rPr>
        <w:t xml:space="preserve">Top 10 Products Home Improvement Contractors </w:t>
      </w:r>
    </w:p>
    <w:p w14:paraId="796A0EE4" w14:textId="01B59198" w:rsidR="00D14BE8" w:rsidRPr="00BE4963" w:rsidRDefault="00D14BE8" w:rsidP="00D14BE8">
      <w:pPr>
        <w:pStyle w:val="Header"/>
        <w:contextualSpacing/>
        <w:jc w:val="center"/>
        <w:rPr>
          <w:rFonts w:ascii="Verdana" w:hAnsi="Verdana"/>
          <w:b/>
          <w:sz w:val="20"/>
          <w:szCs w:val="20"/>
        </w:rPr>
      </w:pPr>
      <w:r>
        <w:rPr>
          <w:rFonts w:ascii="Verdana" w:hAnsi="Verdana"/>
          <w:b/>
          <w:sz w:val="20"/>
          <w:szCs w:val="20"/>
        </w:rPr>
        <w:t>Have Had Trouble Finding*, January 2022</w:t>
      </w:r>
    </w:p>
    <w:tbl>
      <w:tblPr>
        <w:tblW w:w="11495" w:type="dxa"/>
        <w:jc w:val="center"/>
        <w:tblBorders>
          <w:left w:val="single" w:sz="8" w:space="0" w:color="000000"/>
          <w:right w:val="single" w:sz="8" w:space="0" w:color="000000"/>
        </w:tblBorders>
        <w:tblLayout w:type="fixed"/>
        <w:tblLook w:val="0000" w:firstRow="0" w:lastRow="0" w:firstColumn="0" w:lastColumn="0" w:noHBand="0" w:noVBand="0"/>
      </w:tblPr>
      <w:tblGrid>
        <w:gridCol w:w="4483"/>
        <w:gridCol w:w="1267"/>
        <w:gridCol w:w="4478"/>
        <w:gridCol w:w="1267"/>
      </w:tblGrid>
      <w:tr w:rsidR="00D14BE8" w:rsidRPr="00CC1ECE" w14:paraId="030EF7EC" w14:textId="77777777" w:rsidTr="00D14BE8">
        <w:trPr>
          <w:jc w:val="center"/>
        </w:trPr>
        <w:tc>
          <w:tcPr>
            <w:tcW w:w="4483" w:type="dxa"/>
            <w:tcBorders>
              <w:top w:val="single" w:sz="12" w:space="0" w:color="000000"/>
              <w:left w:val="single" w:sz="12" w:space="0" w:color="000000"/>
              <w:bottom w:val="single" w:sz="18" w:space="0" w:color="C0504D" w:themeColor="accent2"/>
              <w:right w:val="single" w:sz="8" w:space="0" w:color="0070C0"/>
            </w:tcBorders>
            <w:vAlign w:val="center"/>
          </w:tcPr>
          <w:p w14:paraId="74CA4200" w14:textId="6FC52F99" w:rsidR="00D14BE8" w:rsidRPr="00CC1ECE" w:rsidRDefault="00D14BE8"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Product</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0E52FFE6" w14:textId="77777777" w:rsidR="00D14BE8" w:rsidRPr="00CC1ECE" w:rsidRDefault="00D14BE8"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4478" w:type="dxa"/>
            <w:tcBorders>
              <w:top w:val="single" w:sz="12" w:space="0" w:color="000000"/>
              <w:left w:val="single" w:sz="18" w:space="0" w:color="0070C0"/>
              <w:bottom w:val="single" w:sz="18" w:space="0" w:color="C0504D" w:themeColor="accent2"/>
              <w:right w:val="single" w:sz="8" w:space="0" w:color="0070C0"/>
            </w:tcBorders>
            <w:vAlign w:val="center"/>
          </w:tcPr>
          <w:p w14:paraId="212FE4D0" w14:textId="06E644E4" w:rsidR="00D14BE8" w:rsidRDefault="00D14BE8"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Product</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4569B343" w14:textId="77777777" w:rsidR="00D14BE8" w:rsidRDefault="00D14BE8"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160F12" w:rsidRPr="00CC1ECE" w14:paraId="007EE120" w14:textId="77777777" w:rsidTr="00160F12">
        <w:trPr>
          <w:trHeight w:val="243"/>
          <w:jc w:val="center"/>
        </w:trPr>
        <w:tc>
          <w:tcPr>
            <w:tcW w:w="4483" w:type="dxa"/>
            <w:tcBorders>
              <w:top w:val="single" w:sz="18" w:space="0" w:color="C0504D" w:themeColor="accent2"/>
              <w:left w:val="single" w:sz="12" w:space="0" w:color="000000"/>
              <w:bottom w:val="single" w:sz="4" w:space="0" w:color="auto"/>
              <w:right w:val="single" w:sz="8" w:space="0" w:color="0070C0"/>
            </w:tcBorders>
            <w:shd w:val="clear" w:color="auto" w:fill="auto"/>
            <w:vAlign w:val="center"/>
          </w:tcPr>
          <w:p w14:paraId="7049BF65" w14:textId="1D63BE3E" w:rsidR="00D14BE8" w:rsidRPr="00CC1ECE" w:rsidRDefault="00D14B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#1: </w:t>
            </w:r>
            <w:r>
              <w:rPr>
                <w:rFonts w:ascii="Verdana" w:hAnsi="Verdana"/>
                <w:sz w:val="20"/>
                <w:szCs w:val="20"/>
              </w:rPr>
              <w:t>Lumber, treated lumber and plywood</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FF0000"/>
            <w:vAlign w:val="center"/>
          </w:tcPr>
          <w:p w14:paraId="58407B68" w14:textId="610D2B3A" w:rsidR="00D14BE8" w:rsidRPr="00CC1ECE" w:rsidRDefault="00D14BE8"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44.2%</w:t>
            </w:r>
          </w:p>
        </w:tc>
        <w:tc>
          <w:tcPr>
            <w:tcW w:w="4478"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3CCB1CF9" w14:textId="5A3AD89D" w:rsidR="00D14BE8" w:rsidRPr="00CC1ECE" w:rsidRDefault="00D14B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Flooring</w:t>
            </w:r>
          </w:p>
        </w:tc>
        <w:tc>
          <w:tcPr>
            <w:tcW w:w="1267" w:type="dxa"/>
            <w:tcBorders>
              <w:top w:val="single" w:sz="18" w:space="0" w:color="C0504D" w:themeColor="accent2"/>
              <w:left w:val="single" w:sz="8" w:space="0" w:color="0070C0"/>
              <w:bottom w:val="single" w:sz="4" w:space="0" w:color="auto"/>
              <w:right w:val="single" w:sz="12" w:space="0" w:color="auto"/>
            </w:tcBorders>
            <w:shd w:val="clear" w:color="auto" w:fill="E5B8B7" w:themeFill="accent2" w:themeFillTint="66"/>
            <w:vAlign w:val="center"/>
          </w:tcPr>
          <w:p w14:paraId="57234E47" w14:textId="5F6F69EB" w:rsidR="00D14BE8" w:rsidRPr="00CC1ECE" w:rsidRDefault="00D14BE8"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20.1%</w:t>
            </w:r>
          </w:p>
        </w:tc>
      </w:tr>
      <w:tr w:rsidR="00160F12" w:rsidRPr="00CC1ECE" w14:paraId="776DD34A" w14:textId="77777777" w:rsidTr="00160F12">
        <w:trPr>
          <w:trHeight w:val="243"/>
          <w:jc w:val="center"/>
        </w:trPr>
        <w:tc>
          <w:tcPr>
            <w:tcW w:w="4483" w:type="dxa"/>
            <w:tcBorders>
              <w:top w:val="single" w:sz="4" w:space="0" w:color="auto"/>
              <w:left w:val="single" w:sz="12" w:space="0" w:color="000000"/>
              <w:bottom w:val="single" w:sz="4" w:space="0" w:color="000000"/>
              <w:right w:val="single" w:sz="8" w:space="0" w:color="0070C0"/>
            </w:tcBorders>
            <w:shd w:val="clear" w:color="auto" w:fill="auto"/>
            <w:vAlign w:val="center"/>
          </w:tcPr>
          <w:p w14:paraId="1E8F283F" w14:textId="1F8AD62C" w:rsidR="00D14BE8" w:rsidRDefault="00D14B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Building materials (roofing, etc.)</w:t>
            </w:r>
          </w:p>
        </w:tc>
        <w:tc>
          <w:tcPr>
            <w:tcW w:w="1267" w:type="dxa"/>
            <w:tcBorders>
              <w:top w:val="single" w:sz="4" w:space="0" w:color="auto"/>
              <w:left w:val="single" w:sz="8" w:space="0" w:color="0070C0"/>
              <w:bottom w:val="single" w:sz="4" w:space="0" w:color="000000"/>
              <w:right w:val="single" w:sz="18" w:space="0" w:color="0070C0"/>
            </w:tcBorders>
            <w:shd w:val="clear" w:color="auto" w:fill="D99594" w:themeFill="accent2" w:themeFillTint="99"/>
            <w:vAlign w:val="center"/>
          </w:tcPr>
          <w:p w14:paraId="7507C563" w14:textId="79B68445" w:rsidR="00D14BE8" w:rsidRDefault="00D14BE8"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33.7%</w:t>
            </w:r>
          </w:p>
        </w:tc>
        <w:tc>
          <w:tcPr>
            <w:tcW w:w="4478" w:type="dxa"/>
            <w:tcBorders>
              <w:top w:val="single" w:sz="4" w:space="0" w:color="auto"/>
              <w:left w:val="single" w:sz="18" w:space="0" w:color="0070C0"/>
              <w:bottom w:val="single" w:sz="4" w:space="0" w:color="000000"/>
              <w:right w:val="single" w:sz="8" w:space="0" w:color="0070C0"/>
            </w:tcBorders>
            <w:shd w:val="clear" w:color="auto" w:fill="auto"/>
            <w:vAlign w:val="center"/>
          </w:tcPr>
          <w:p w14:paraId="462C5DC3" w14:textId="3AFE6218" w:rsidR="00D14BE8" w:rsidRDefault="00D14B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Paint and paint supplies</w:t>
            </w:r>
          </w:p>
        </w:tc>
        <w:tc>
          <w:tcPr>
            <w:tcW w:w="1267" w:type="dxa"/>
            <w:tcBorders>
              <w:top w:val="single" w:sz="4" w:space="0" w:color="auto"/>
              <w:left w:val="single" w:sz="8" w:space="0" w:color="0070C0"/>
              <w:bottom w:val="single" w:sz="4" w:space="0" w:color="000000"/>
              <w:right w:val="single" w:sz="12" w:space="0" w:color="auto"/>
            </w:tcBorders>
            <w:shd w:val="clear" w:color="auto" w:fill="E5B8B7" w:themeFill="accent2" w:themeFillTint="66"/>
            <w:vAlign w:val="center"/>
          </w:tcPr>
          <w:p w14:paraId="2F15EE90" w14:textId="1899596C" w:rsidR="00D14BE8" w:rsidRDefault="00D14BE8"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18.3%</w:t>
            </w:r>
          </w:p>
        </w:tc>
      </w:tr>
      <w:tr w:rsidR="00D14BE8" w:rsidRPr="00CC1ECE" w14:paraId="7C92536F" w14:textId="77777777" w:rsidTr="00160F12">
        <w:trPr>
          <w:trHeight w:val="243"/>
          <w:jc w:val="center"/>
        </w:trPr>
        <w:tc>
          <w:tcPr>
            <w:tcW w:w="4483" w:type="dxa"/>
            <w:tcBorders>
              <w:top w:val="single" w:sz="4" w:space="0" w:color="auto"/>
              <w:left w:val="single" w:sz="12" w:space="0" w:color="000000"/>
              <w:bottom w:val="single" w:sz="4" w:space="0" w:color="000000"/>
              <w:right w:val="single" w:sz="8" w:space="0" w:color="0070C0"/>
            </w:tcBorders>
            <w:shd w:val="clear" w:color="auto" w:fill="auto"/>
            <w:vAlign w:val="center"/>
          </w:tcPr>
          <w:p w14:paraId="4B4FBAF0" w14:textId="18A71581" w:rsidR="00D14BE8" w:rsidRDefault="00D14B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Electrical supplies</w:t>
            </w:r>
          </w:p>
        </w:tc>
        <w:tc>
          <w:tcPr>
            <w:tcW w:w="1267"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4CC3692C" w14:textId="34EA395B" w:rsidR="00D14BE8" w:rsidRDefault="00D14BE8"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22.4%</w:t>
            </w:r>
          </w:p>
        </w:tc>
        <w:tc>
          <w:tcPr>
            <w:tcW w:w="4478" w:type="dxa"/>
            <w:tcBorders>
              <w:top w:val="single" w:sz="4" w:space="0" w:color="auto"/>
              <w:left w:val="single" w:sz="18" w:space="0" w:color="0070C0"/>
              <w:bottom w:val="single" w:sz="4" w:space="0" w:color="000000"/>
              <w:right w:val="single" w:sz="8" w:space="0" w:color="0070C0"/>
            </w:tcBorders>
            <w:shd w:val="clear" w:color="auto" w:fill="auto"/>
            <w:vAlign w:val="center"/>
          </w:tcPr>
          <w:p w14:paraId="7FA68A9B" w14:textId="618680FD" w:rsidR="00D14BE8" w:rsidRDefault="00D14B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Kitchen and bath remodeling</w:t>
            </w:r>
          </w:p>
        </w:tc>
        <w:tc>
          <w:tcPr>
            <w:tcW w:w="1267" w:type="dxa"/>
            <w:tcBorders>
              <w:top w:val="single" w:sz="4" w:space="0" w:color="auto"/>
              <w:left w:val="single" w:sz="8" w:space="0" w:color="0070C0"/>
              <w:bottom w:val="single" w:sz="4" w:space="0" w:color="000000"/>
              <w:right w:val="single" w:sz="12" w:space="0" w:color="auto"/>
            </w:tcBorders>
            <w:shd w:val="clear" w:color="auto" w:fill="E5B8B7" w:themeFill="accent2" w:themeFillTint="66"/>
            <w:vAlign w:val="center"/>
          </w:tcPr>
          <w:p w14:paraId="33206368" w14:textId="29445818" w:rsidR="00D14BE8" w:rsidRDefault="00D14BE8"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18.0%</w:t>
            </w:r>
          </w:p>
        </w:tc>
      </w:tr>
      <w:tr w:rsidR="00D14BE8" w:rsidRPr="00CC1ECE" w14:paraId="73A9728F" w14:textId="77777777" w:rsidTr="00160F12">
        <w:trPr>
          <w:trHeight w:val="243"/>
          <w:jc w:val="center"/>
        </w:trPr>
        <w:tc>
          <w:tcPr>
            <w:tcW w:w="4483" w:type="dxa"/>
            <w:tcBorders>
              <w:top w:val="single" w:sz="4" w:space="0" w:color="auto"/>
              <w:left w:val="single" w:sz="12" w:space="0" w:color="000000"/>
              <w:bottom w:val="single" w:sz="4" w:space="0" w:color="000000"/>
              <w:right w:val="single" w:sz="8" w:space="0" w:color="0070C0"/>
            </w:tcBorders>
            <w:shd w:val="clear" w:color="auto" w:fill="auto"/>
            <w:vAlign w:val="center"/>
          </w:tcPr>
          <w:p w14:paraId="1497D48B" w14:textId="48D76B42" w:rsidR="00D14BE8" w:rsidRDefault="00D14B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Windows and doors</w:t>
            </w:r>
          </w:p>
        </w:tc>
        <w:tc>
          <w:tcPr>
            <w:tcW w:w="1267"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1FC19EDB" w14:textId="055B61FC" w:rsidR="00D14BE8" w:rsidRDefault="00D14BE8"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21.3%</w:t>
            </w:r>
          </w:p>
        </w:tc>
        <w:tc>
          <w:tcPr>
            <w:tcW w:w="4478" w:type="dxa"/>
            <w:tcBorders>
              <w:top w:val="single" w:sz="4" w:space="0" w:color="auto"/>
              <w:left w:val="single" w:sz="18" w:space="0" w:color="0070C0"/>
              <w:bottom w:val="single" w:sz="4" w:space="0" w:color="000000"/>
              <w:right w:val="single" w:sz="8" w:space="0" w:color="0070C0"/>
            </w:tcBorders>
            <w:shd w:val="clear" w:color="auto" w:fill="auto"/>
            <w:vAlign w:val="center"/>
          </w:tcPr>
          <w:p w14:paraId="61F80089" w14:textId="094E9501" w:rsidR="00D14BE8" w:rsidRDefault="00D14B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Major appliances</w:t>
            </w:r>
          </w:p>
        </w:tc>
        <w:tc>
          <w:tcPr>
            <w:tcW w:w="1267" w:type="dxa"/>
            <w:tcBorders>
              <w:top w:val="single" w:sz="4" w:space="0" w:color="auto"/>
              <w:left w:val="single" w:sz="8" w:space="0" w:color="0070C0"/>
              <w:bottom w:val="single" w:sz="4" w:space="0" w:color="000000"/>
              <w:right w:val="single" w:sz="12" w:space="0" w:color="auto"/>
            </w:tcBorders>
            <w:shd w:val="clear" w:color="auto" w:fill="F2DBDB" w:themeFill="accent2" w:themeFillTint="33"/>
            <w:vAlign w:val="center"/>
          </w:tcPr>
          <w:p w14:paraId="023984D4" w14:textId="6A7AE335" w:rsidR="00D14BE8" w:rsidRDefault="00D14BE8"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14.1%</w:t>
            </w:r>
          </w:p>
        </w:tc>
      </w:tr>
      <w:tr w:rsidR="00D14BE8" w:rsidRPr="00CC1ECE" w14:paraId="75654752" w14:textId="77777777" w:rsidTr="00160F12">
        <w:trPr>
          <w:trHeight w:val="54"/>
          <w:jc w:val="center"/>
        </w:trPr>
        <w:tc>
          <w:tcPr>
            <w:tcW w:w="4483"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469CC4F9" w14:textId="072784FB" w:rsidR="00D14BE8" w:rsidRPr="00CC1ECE" w:rsidRDefault="00D14B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Plumbing supplies</w:t>
            </w:r>
          </w:p>
        </w:tc>
        <w:tc>
          <w:tcPr>
            <w:tcW w:w="1267" w:type="dxa"/>
            <w:tcBorders>
              <w:top w:val="single" w:sz="4" w:space="0" w:color="000000"/>
              <w:left w:val="single" w:sz="8" w:space="0" w:color="0070C0"/>
              <w:bottom w:val="single" w:sz="12" w:space="0" w:color="000000"/>
              <w:right w:val="single" w:sz="18" w:space="0" w:color="0070C0"/>
            </w:tcBorders>
            <w:shd w:val="clear" w:color="auto" w:fill="E5B8B7" w:themeFill="accent2" w:themeFillTint="66"/>
            <w:vAlign w:val="center"/>
          </w:tcPr>
          <w:p w14:paraId="073D59F4" w14:textId="3AF8B6DE" w:rsidR="00D14BE8" w:rsidRPr="00CC1ECE" w:rsidRDefault="00D14BE8"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20.2%</w:t>
            </w:r>
          </w:p>
        </w:tc>
        <w:tc>
          <w:tcPr>
            <w:tcW w:w="4478"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57B0A2C8" w14:textId="32B9D695" w:rsidR="00D14BE8" w:rsidRPr="00CC1ECE" w:rsidRDefault="00D14BE8"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Lighting and accessories</w:t>
            </w:r>
          </w:p>
        </w:tc>
        <w:tc>
          <w:tcPr>
            <w:tcW w:w="1267" w:type="dxa"/>
            <w:tcBorders>
              <w:top w:val="single" w:sz="4" w:space="0" w:color="000000"/>
              <w:left w:val="single" w:sz="8" w:space="0" w:color="0070C0"/>
              <w:bottom w:val="single" w:sz="12" w:space="0" w:color="000000"/>
              <w:right w:val="single" w:sz="12" w:space="0" w:color="auto"/>
            </w:tcBorders>
            <w:shd w:val="clear" w:color="auto" w:fill="F2DBDB" w:themeFill="accent2" w:themeFillTint="33"/>
            <w:vAlign w:val="center"/>
          </w:tcPr>
          <w:p w14:paraId="2E61B4E3" w14:textId="45CB82AB" w:rsidR="00D14BE8" w:rsidRPr="00CC1ECE" w:rsidRDefault="00D14BE8"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9.9%</w:t>
            </w:r>
          </w:p>
        </w:tc>
      </w:tr>
    </w:tbl>
    <w:p w14:paraId="6B272CA7" w14:textId="36D3A253" w:rsidR="00E801DD" w:rsidRDefault="00D14BE8" w:rsidP="00D14BE8">
      <w:pPr>
        <w:spacing w:after="0" w:line="240" w:lineRule="auto"/>
        <w:ind w:hanging="1080"/>
        <w:contextualSpacing/>
        <w:mirrorIndents/>
        <w:rPr>
          <w:rFonts w:ascii="Verdana" w:hAnsi="Verdana"/>
          <w:sz w:val="20"/>
          <w:szCs w:val="20"/>
        </w:rPr>
      </w:pPr>
      <w:r>
        <w:rPr>
          <w:rFonts w:ascii="Verdana" w:hAnsi="Verdana"/>
          <w:sz w:val="16"/>
          <w:szCs w:val="16"/>
        </w:rPr>
        <w:t>The Farnsworth Group</w:t>
      </w:r>
      <w:r w:rsidRPr="00CC1ECE">
        <w:rPr>
          <w:rFonts w:ascii="Verdana" w:hAnsi="Verdana"/>
          <w:sz w:val="16"/>
          <w:szCs w:val="16"/>
        </w:rPr>
        <w:t xml:space="preserve">, </w:t>
      </w:r>
      <w:r>
        <w:rPr>
          <w:rFonts w:ascii="Verdana" w:hAnsi="Verdana"/>
          <w:sz w:val="16"/>
          <w:szCs w:val="16"/>
        </w:rPr>
        <w:t>January 2022</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*during the past month</w:t>
      </w:r>
    </w:p>
    <w:p w14:paraId="7C45AC2B" w14:textId="17EAF0C0" w:rsidR="00E801DD" w:rsidRDefault="00E801DD" w:rsidP="002C1B6E">
      <w:pPr>
        <w:spacing w:after="0" w:line="240" w:lineRule="auto"/>
        <w:contextualSpacing/>
        <w:mirrorIndents/>
        <w:rPr>
          <w:rFonts w:ascii="Verdana" w:hAnsi="Verdana"/>
          <w:sz w:val="20"/>
          <w:szCs w:val="20"/>
        </w:rPr>
      </w:pPr>
    </w:p>
    <w:p w14:paraId="6881A7BF" w14:textId="29D3E4A7" w:rsidR="002C1B6E" w:rsidRPr="00387766" w:rsidRDefault="00387766" w:rsidP="00387766">
      <w:pPr>
        <w:spacing w:after="0" w:line="240" w:lineRule="auto"/>
        <w:contextualSpacing/>
        <w:mirrorIndents/>
        <w:jc w:val="center"/>
        <w:rPr>
          <w:rFonts w:ascii="Verdana" w:hAnsi="Verdana"/>
          <w:b/>
          <w:bCs/>
          <w:color w:val="0070C0"/>
          <w:sz w:val="20"/>
          <w:szCs w:val="20"/>
        </w:rPr>
      </w:pPr>
      <w:r>
        <w:rPr>
          <w:rFonts w:ascii="Verdana" w:hAnsi="Verdana"/>
          <w:b/>
          <w:bCs/>
          <w:color w:val="0070C0"/>
          <w:sz w:val="20"/>
          <w:szCs w:val="20"/>
        </w:rPr>
        <w:t xml:space="preserve">Adults’ </w:t>
      </w:r>
      <w:r w:rsidR="002C1B6E" w:rsidRPr="00387766">
        <w:rPr>
          <w:rFonts w:ascii="Verdana" w:hAnsi="Verdana"/>
          <w:b/>
          <w:bCs/>
          <w:color w:val="0070C0"/>
          <w:sz w:val="20"/>
          <w:szCs w:val="20"/>
        </w:rPr>
        <w:t>Home Improvement Plans</w:t>
      </w:r>
    </w:p>
    <w:p w14:paraId="286AC9F6" w14:textId="271CA8CD" w:rsidR="00F94CE8" w:rsidRDefault="00F94CE8" w:rsidP="002C1B6E">
      <w:pPr>
        <w:pStyle w:val="NoSpacing"/>
        <w:contextualSpacing/>
        <w:mirrorIndents/>
        <w:rPr>
          <w:rFonts w:ascii="Verdana" w:hAnsi="Verdana"/>
          <w:sz w:val="20"/>
          <w:szCs w:val="20"/>
        </w:rPr>
      </w:pPr>
    </w:p>
    <w:p w14:paraId="11848436" w14:textId="1C03B895" w:rsidR="00744C87" w:rsidRDefault="00744C87" w:rsidP="002C1B6E">
      <w:pPr>
        <w:pStyle w:val="NoSpacing"/>
        <w:contextualSpacing/>
        <w:mirrorIndents/>
        <w:rPr>
          <w:rFonts w:ascii="Verdana" w:hAnsi="Verdana"/>
          <w:sz w:val="20"/>
          <w:szCs w:val="20"/>
        </w:rPr>
      </w:pPr>
      <w:r>
        <w:rPr>
          <w:rFonts w:ascii="Verdana" w:hAnsi="Verdana"/>
          <w:sz w:val="20"/>
          <w:szCs w:val="20"/>
        </w:rPr>
        <w:t>Analysis of data from the same five representative 2021 consumer/market surveys conducted by The Media Audit and cited on page 2 indicates almost half of adults 18</w:t>
      </w:r>
      <w:r w:rsidR="00586085">
        <w:rPr>
          <w:rFonts w:ascii="Verdana" w:hAnsi="Verdana"/>
          <w:sz w:val="20"/>
          <w:szCs w:val="20"/>
        </w:rPr>
        <w:t>+</w:t>
      </w:r>
      <w:r>
        <w:rPr>
          <w:rFonts w:ascii="Verdana" w:hAnsi="Verdana"/>
          <w:sz w:val="20"/>
          <w:szCs w:val="20"/>
        </w:rPr>
        <w:t xml:space="preserve"> plan any home improvement project during the next 12 months at an average of 46.8%.</w:t>
      </w:r>
    </w:p>
    <w:p w14:paraId="34C97655" w14:textId="2FCD7000" w:rsidR="006E7278" w:rsidRDefault="006E7278" w:rsidP="002C1B6E">
      <w:pPr>
        <w:pStyle w:val="NoSpacing"/>
        <w:contextualSpacing/>
        <w:mirrorIndents/>
        <w:rPr>
          <w:rFonts w:ascii="Verdana" w:hAnsi="Verdana"/>
          <w:sz w:val="20"/>
          <w:szCs w:val="20"/>
        </w:rPr>
      </w:pPr>
    </w:p>
    <w:p w14:paraId="774E70A9" w14:textId="3E33E3F6" w:rsidR="006E7278" w:rsidRDefault="006E7278" w:rsidP="002C1B6E">
      <w:pPr>
        <w:pStyle w:val="NoSpacing"/>
        <w:contextualSpacing/>
        <w:mirrorIndents/>
        <w:rPr>
          <w:rFonts w:ascii="Verdana" w:hAnsi="Verdana"/>
          <w:sz w:val="20"/>
          <w:szCs w:val="20"/>
        </w:rPr>
      </w:pPr>
      <w:r>
        <w:rPr>
          <w:rFonts w:ascii="Verdana" w:hAnsi="Verdana"/>
          <w:sz w:val="20"/>
          <w:szCs w:val="20"/>
        </w:rPr>
        <w:t xml:space="preserve">The Media Audit surveys, </w:t>
      </w:r>
      <w:r w:rsidR="00BC22E2">
        <w:rPr>
          <w:rFonts w:ascii="Verdana" w:hAnsi="Verdana"/>
          <w:sz w:val="20"/>
          <w:szCs w:val="20"/>
        </w:rPr>
        <w:t>similar to</w:t>
      </w:r>
      <w:r>
        <w:rPr>
          <w:rFonts w:ascii="Verdana" w:hAnsi="Verdana"/>
          <w:sz w:val="20"/>
          <w:szCs w:val="20"/>
        </w:rPr>
        <w:t xml:space="preserve"> many other home improvement industry sources, identify Millennials as the primary target audience, with an average index of 109, followed by Gen Xers at 103, Silent Generation at 100, Baby Boomers at 96 and Gen Zers at 84.</w:t>
      </w:r>
    </w:p>
    <w:p w14:paraId="50B61BDD" w14:textId="7557D2A9" w:rsidR="006E7278" w:rsidRDefault="006E7278" w:rsidP="002C1B6E">
      <w:pPr>
        <w:pStyle w:val="NoSpacing"/>
        <w:contextualSpacing/>
        <w:mirrorIndents/>
        <w:rPr>
          <w:rFonts w:ascii="Verdana" w:hAnsi="Verdana"/>
          <w:sz w:val="20"/>
          <w:szCs w:val="20"/>
        </w:rPr>
      </w:pPr>
    </w:p>
    <w:p w14:paraId="45399461" w14:textId="77B18319" w:rsidR="006E7278" w:rsidRPr="002C1B6E" w:rsidRDefault="006E7278" w:rsidP="002C1B6E">
      <w:pPr>
        <w:pStyle w:val="NoSpacing"/>
        <w:contextualSpacing/>
        <w:mirrorIndents/>
        <w:rPr>
          <w:rFonts w:ascii="Verdana" w:hAnsi="Verdana"/>
          <w:sz w:val="20"/>
          <w:szCs w:val="20"/>
        </w:rPr>
      </w:pPr>
      <w:r>
        <w:rPr>
          <w:rFonts w:ascii="Verdana" w:hAnsi="Verdana"/>
          <w:sz w:val="20"/>
          <w:szCs w:val="20"/>
        </w:rPr>
        <w:t>Adults who identify as LGBT in these five markets</w:t>
      </w:r>
      <w:r w:rsidR="005A620B">
        <w:rPr>
          <w:rFonts w:ascii="Verdana" w:hAnsi="Verdana"/>
          <w:sz w:val="20"/>
          <w:szCs w:val="20"/>
        </w:rPr>
        <w:t xml:space="preserve"> are a particularly good target audience, with an average index of 105 and those with the largest incomes significantly over-index on average: $100,000–$149,999 at 150, $150,000–$199,999 at 168 and $200,000+ at 132.</w:t>
      </w:r>
    </w:p>
    <w:p w14:paraId="23D2BAA2" w14:textId="77777777" w:rsidR="00F94CE8" w:rsidRPr="002C1B6E" w:rsidRDefault="00F94CE8" w:rsidP="002C1B6E">
      <w:pPr>
        <w:pStyle w:val="NoSpacing"/>
        <w:contextualSpacing/>
        <w:mirrorIndents/>
        <w:rPr>
          <w:rFonts w:ascii="Verdana" w:hAnsi="Verdana"/>
          <w:sz w:val="20"/>
          <w:szCs w:val="20"/>
        </w:rPr>
      </w:pPr>
    </w:p>
    <w:p w14:paraId="35D2D8A2" w14:textId="77777777" w:rsidR="00916916" w:rsidRDefault="00916916" w:rsidP="00F4597F">
      <w:pPr>
        <w:spacing w:after="0" w:line="240" w:lineRule="auto"/>
        <w:contextualSpacing/>
        <w:mirrorIndents/>
        <w:jc w:val="center"/>
        <w:rPr>
          <w:b/>
          <w:bCs/>
          <w:sz w:val="20"/>
          <w:szCs w:val="20"/>
        </w:rPr>
      </w:pPr>
      <w:r>
        <w:rPr>
          <w:b/>
          <w:bCs/>
          <w:sz w:val="20"/>
          <w:szCs w:val="20"/>
        </w:rPr>
        <w:t xml:space="preserve">Affluent </w:t>
      </w:r>
      <w:r w:rsidR="00F4597F">
        <w:rPr>
          <w:b/>
          <w:bCs/>
          <w:sz w:val="20"/>
          <w:szCs w:val="20"/>
        </w:rPr>
        <w:t xml:space="preserve">Adults 18+ Who Are Planning Any Home Improvement </w:t>
      </w:r>
    </w:p>
    <w:p w14:paraId="698C4DA1" w14:textId="4DC5BC3A" w:rsidR="00F4597F" w:rsidRPr="005D1511" w:rsidRDefault="00F4597F" w:rsidP="00F4597F">
      <w:pPr>
        <w:spacing w:after="0" w:line="240" w:lineRule="auto"/>
        <w:contextualSpacing/>
        <w:mirrorIndents/>
        <w:jc w:val="center"/>
        <w:rPr>
          <w:b/>
          <w:bCs/>
          <w:sz w:val="20"/>
          <w:szCs w:val="20"/>
        </w:rPr>
      </w:pPr>
      <w:r>
        <w:rPr>
          <w:b/>
          <w:bCs/>
          <w:sz w:val="20"/>
          <w:szCs w:val="20"/>
        </w:rPr>
        <w:t>Project*, by Indices, in Selected Markets</w:t>
      </w:r>
      <w:r w:rsidRPr="005D1511">
        <w:rPr>
          <w:b/>
          <w:bCs/>
          <w:sz w:val="20"/>
          <w:szCs w:val="20"/>
        </w:rPr>
        <w:t>, 202</w:t>
      </w:r>
      <w:r>
        <w:rPr>
          <w:b/>
          <w:bCs/>
          <w:sz w:val="20"/>
          <w:szCs w:val="20"/>
        </w:rPr>
        <w:t>1</w:t>
      </w:r>
    </w:p>
    <w:tbl>
      <w:tblPr>
        <w:tblW w:w="1166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463"/>
        <w:gridCol w:w="1440"/>
        <w:gridCol w:w="1440"/>
        <w:gridCol w:w="1440"/>
        <w:gridCol w:w="1440"/>
        <w:gridCol w:w="1440"/>
      </w:tblGrid>
      <w:tr w:rsidR="00F4597F" w:rsidRPr="005D1511" w14:paraId="37E56868" w14:textId="77777777" w:rsidTr="002110B5">
        <w:trPr>
          <w:jc w:val="center"/>
        </w:trPr>
        <w:tc>
          <w:tcPr>
            <w:tcW w:w="446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468B0157" w14:textId="42505741" w:rsidR="00F4597F" w:rsidRPr="002110B5" w:rsidRDefault="00916916"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18"/>
                <w:szCs w:val="18"/>
              </w:rPr>
            </w:pPr>
            <w:r w:rsidRPr="002110B5">
              <w:rPr>
                <w:rFonts w:ascii="Verdana" w:eastAsia="Times New Roman" w:hAnsi="Verdana"/>
                <w:sz w:val="18"/>
                <w:szCs w:val="18"/>
              </w:rPr>
              <w:t>Affluent Adults</w:t>
            </w:r>
          </w:p>
        </w:tc>
        <w:tc>
          <w:tcPr>
            <w:tcW w:w="1440"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5DBF3701" w14:textId="77777777" w:rsidR="00F4597F" w:rsidRPr="002110B5" w:rsidRDefault="00F4597F"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18"/>
                <w:szCs w:val="18"/>
              </w:rPr>
            </w:pPr>
            <w:r w:rsidRPr="002110B5">
              <w:rPr>
                <w:rFonts w:ascii="Verdana" w:eastAsia="Times New Roman" w:hAnsi="Verdana"/>
                <w:sz w:val="18"/>
                <w:szCs w:val="18"/>
              </w:rPr>
              <w:t>West Palm Beach, FL</w:t>
            </w:r>
          </w:p>
        </w:tc>
        <w:tc>
          <w:tcPr>
            <w:tcW w:w="1440"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BADF762" w14:textId="77777777" w:rsidR="00F4597F" w:rsidRPr="002110B5" w:rsidRDefault="00F4597F"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18"/>
                <w:szCs w:val="18"/>
              </w:rPr>
            </w:pPr>
            <w:r w:rsidRPr="002110B5">
              <w:rPr>
                <w:rFonts w:ascii="Verdana" w:eastAsia="Times New Roman" w:hAnsi="Verdana"/>
                <w:sz w:val="18"/>
                <w:szCs w:val="18"/>
              </w:rPr>
              <w:t>Chicago</w:t>
            </w:r>
          </w:p>
        </w:tc>
        <w:tc>
          <w:tcPr>
            <w:tcW w:w="1440"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BF83229" w14:textId="77777777" w:rsidR="00F4597F" w:rsidRPr="002110B5" w:rsidRDefault="00F4597F"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18"/>
                <w:szCs w:val="18"/>
              </w:rPr>
            </w:pPr>
            <w:r w:rsidRPr="002110B5">
              <w:rPr>
                <w:rFonts w:ascii="Verdana" w:eastAsia="Times New Roman" w:hAnsi="Verdana"/>
                <w:sz w:val="18"/>
                <w:szCs w:val="18"/>
              </w:rPr>
              <w:t>Austin</w:t>
            </w:r>
          </w:p>
        </w:tc>
        <w:tc>
          <w:tcPr>
            <w:tcW w:w="1440"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BA91447" w14:textId="77777777" w:rsidR="00F4597F" w:rsidRPr="002110B5" w:rsidRDefault="00F4597F"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18"/>
                <w:szCs w:val="18"/>
              </w:rPr>
            </w:pPr>
            <w:r w:rsidRPr="002110B5">
              <w:rPr>
                <w:rFonts w:ascii="Verdana" w:eastAsia="Times New Roman" w:hAnsi="Verdana"/>
                <w:sz w:val="18"/>
                <w:szCs w:val="18"/>
              </w:rPr>
              <w:t>Monterey-Salinas, CA</w:t>
            </w:r>
          </w:p>
        </w:tc>
        <w:tc>
          <w:tcPr>
            <w:tcW w:w="1440"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507BC946" w14:textId="77777777" w:rsidR="00F4597F" w:rsidRPr="002110B5" w:rsidRDefault="00F4597F" w:rsidP="0022272D">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18"/>
                <w:szCs w:val="18"/>
              </w:rPr>
            </w:pPr>
            <w:r w:rsidRPr="002110B5">
              <w:rPr>
                <w:rFonts w:ascii="Verdana" w:eastAsia="Times New Roman" w:hAnsi="Verdana"/>
                <w:sz w:val="18"/>
                <w:szCs w:val="18"/>
              </w:rPr>
              <w:t>Portland, OR</w:t>
            </w:r>
          </w:p>
        </w:tc>
      </w:tr>
      <w:tr w:rsidR="00442862" w:rsidRPr="005D1511" w14:paraId="49D322C2" w14:textId="77777777" w:rsidTr="00442862">
        <w:tblPrEx>
          <w:tblBorders>
            <w:top w:val="none" w:sz="0" w:space="0" w:color="auto"/>
          </w:tblBorders>
        </w:tblPrEx>
        <w:trPr>
          <w:jc w:val="center"/>
        </w:trPr>
        <w:tc>
          <w:tcPr>
            <w:tcW w:w="446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76E33FC9" w14:textId="154B505A" w:rsidR="00F4597F" w:rsidRPr="002110B5" w:rsidRDefault="00916916" w:rsidP="0022272D">
            <w:pPr>
              <w:widowControl w:val="0"/>
              <w:tabs>
                <w:tab w:val="left" w:pos="220"/>
                <w:tab w:val="left" w:pos="720"/>
              </w:tabs>
              <w:autoSpaceDE w:val="0"/>
              <w:autoSpaceDN w:val="0"/>
              <w:spacing w:after="0" w:line="240" w:lineRule="auto"/>
              <w:contextualSpacing/>
              <w:mirrorIndents/>
              <w:rPr>
                <w:rFonts w:ascii="Verdana" w:eastAsia="Times New Roman" w:hAnsi="Verdana"/>
                <w:sz w:val="18"/>
                <w:szCs w:val="18"/>
              </w:rPr>
            </w:pPr>
            <w:r w:rsidRPr="002110B5">
              <w:rPr>
                <w:rFonts w:ascii="Verdana" w:eastAsia="Times New Roman" w:hAnsi="Verdana"/>
                <w:sz w:val="18"/>
                <w:szCs w:val="18"/>
              </w:rPr>
              <w:t>Empty Nester</w:t>
            </w:r>
            <w:r w:rsidR="002110B5">
              <w:rPr>
                <w:rFonts w:ascii="Verdana" w:eastAsia="Times New Roman" w:hAnsi="Verdana"/>
                <w:sz w:val="18"/>
                <w:szCs w:val="18"/>
              </w:rPr>
              <w:t>s</w:t>
            </w:r>
            <w:r w:rsidRPr="002110B5">
              <w:rPr>
                <w:rFonts w:ascii="Verdana" w:eastAsia="Times New Roman" w:hAnsi="Verdana"/>
                <w:sz w:val="18"/>
                <w:szCs w:val="18"/>
              </w:rPr>
              <w:t>: 45+, no kids at home, +50K+</w:t>
            </w:r>
          </w:p>
        </w:tc>
        <w:tc>
          <w:tcPr>
            <w:tcW w:w="1440" w:type="dxa"/>
            <w:tcBorders>
              <w:top w:val="single" w:sz="18" w:space="0" w:color="C0504D" w:themeColor="accent2"/>
              <w:left w:val="single" w:sz="18" w:space="0" w:color="0070C0"/>
              <w:bottom w:val="single" w:sz="4" w:space="0" w:color="auto"/>
              <w:right w:val="single" w:sz="8" w:space="0" w:color="0070C0"/>
            </w:tcBorders>
            <w:shd w:val="clear" w:color="auto" w:fill="F2DBDB" w:themeFill="accent2" w:themeFillTint="33"/>
            <w:vAlign w:val="center"/>
          </w:tcPr>
          <w:p w14:paraId="0712F257" w14:textId="3138A382" w:rsidR="00F4597F"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98</w:t>
            </w:r>
          </w:p>
        </w:tc>
        <w:tc>
          <w:tcPr>
            <w:tcW w:w="1440"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7CE7B1DE" w14:textId="1A7868E2" w:rsidR="00F4597F"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98</w:t>
            </w:r>
          </w:p>
        </w:tc>
        <w:tc>
          <w:tcPr>
            <w:tcW w:w="1440" w:type="dxa"/>
            <w:tcBorders>
              <w:top w:val="single" w:sz="18" w:space="0" w:color="C0504D" w:themeColor="accent2"/>
              <w:left w:val="single" w:sz="8" w:space="0" w:color="0070C0"/>
              <w:bottom w:val="single" w:sz="4" w:space="0" w:color="auto"/>
              <w:right w:val="single" w:sz="8" w:space="0" w:color="0070C0"/>
            </w:tcBorders>
            <w:shd w:val="clear" w:color="auto" w:fill="F2F2F2" w:themeFill="background1" w:themeFillShade="F2"/>
            <w:vAlign w:val="center"/>
          </w:tcPr>
          <w:p w14:paraId="5F9F8FAD" w14:textId="73D2DD3E" w:rsidR="00F4597F"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100</w:t>
            </w:r>
          </w:p>
        </w:tc>
        <w:tc>
          <w:tcPr>
            <w:tcW w:w="1440" w:type="dxa"/>
            <w:tcBorders>
              <w:top w:val="single" w:sz="18" w:space="0" w:color="C0504D" w:themeColor="accent2"/>
              <w:left w:val="single" w:sz="8" w:space="0" w:color="0070C0"/>
              <w:bottom w:val="single" w:sz="4" w:space="0" w:color="auto"/>
              <w:right w:val="single" w:sz="8" w:space="0" w:color="0070C0"/>
            </w:tcBorders>
            <w:shd w:val="clear" w:color="auto" w:fill="D6E3BC" w:themeFill="accent3" w:themeFillTint="66"/>
            <w:vAlign w:val="center"/>
          </w:tcPr>
          <w:p w14:paraId="0757CDC5" w14:textId="415FDC10" w:rsidR="00F4597F"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115</w:t>
            </w:r>
          </w:p>
        </w:tc>
        <w:tc>
          <w:tcPr>
            <w:tcW w:w="1440"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4E7DC3F3" w14:textId="446A0108" w:rsidR="00F4597F" w:rsidRPr="002110B5" w:rsidRDefault="002110B5" w:rsidP="002227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18"/>
                <w:szCs w:val="18"/>
              </w:rPr>
            </w:pPr>
            <w:r>
              <w:rPr>
                <w:rFonts w:ascii="Verdana" w:eastAsia="Times New Roman" w:hAnsi="Verdana"/>
                <w:sz w:val="18"/>
                <w:szCs w:val="18"/>
              </w:rPr>
              <w:t>121</w:t>
            </w:r>
          </w:p>
        </w:tc>
      </w:tr>
      <w:tr w:rsidR="00916916" w:rsidRPr="005D1511" w14:paraId="52DE8F06" w14:textId="77777777" w:rsidTr="00442862">
        <w:tblPrEx>
          <w:tblBorders>
            <w:top w:val="none" w:sz="0" w:space="0" w:color="auto"/>
          </w:tblBorders>
        </w:tblPrEx>
        <w:trPr>
          <w:jc w:val="center"/>
        </w:trPr>
        <w:tc>
          <w:tcPr>
            <w:tcW w:w="44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3E95261" w14:textId="0608802D" w:rsidR="00F4597F" w:rsidRPr="002110B5" w:rsidRDefault="002110B5" w:rsidP="0022272D">
            <w:pPr>
              <w:widowControl w:val="0"/>
              <w:tabs>
                <w:tab w:val="left" w:pos="220"/>
                <w:tab w:val="left" w:pos="720"/>
              </w:tabs>
              <w:autoSpaceDE w:val="0"/>
              <w:autoSpaceDN w:val="0"/>
              <w:spacing w:after="0" w:line="240" w:lineRule="auto"/>
              <w:contextualSpacing/>
              <w:mirrorIndents/>
              <w:rPr>
                <w:rFonts w:ascii="Verdana" w:eastAsia="Times New Roman" w:hAnsi="Verdana"/>
                <w:sz w:val="18"/>
                <w:szCs w:val="18"/>
              </w:rPr>
            </w:pPr>
            <w:r>
              <w:rPr>
                <w:rFonts w:ascii="Verdana" w:eastAsia="Times New Roman" w:hAnsi="Verdana"/>
                <w:sz w:val="18"/>
                <w:szCs w:val="18"/>
              </w:rPr>
              <w:t>Full Nesters: kids at home, $75K+</w:t>
            </w:r>
          </w:p>
        </w:tc>
        <w:tc>
          <w:tcPr>
            <w:tcW w:w="1440"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690A2E46" w14:textId="1D58BF78" w:rsidR="00F4597F"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132</w:t>
            </w:r>
          </w:p>
        </w:tc>
        <w:tc>
          <w:tcPr>
            <w:tcW w:w="1440"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69E27DE" w14:textId="125739C4" w:rsidR="00F4597F"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137</w:t>
            </w:r>
          </w:p>
        </w:tc>
        <w:tc>
          <w:tcPr>
            <w:tcW w:w="1440"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C6C53D4" w14:textId="660537EF" w:rsidR="00F4597F"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128</w:t>
            </w:r>
          </w:p>
        </w:tc>
        <w:tc>
          <w:tcPr>
            <w:tcW w:w="1440"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2D8C03D" w14:textId="4B50E053" w:rsidR="00F4597F"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141</w:t>
            </w:r>
          </w:p>
        </w:tc>
        <w:tc>
          <w:tcPr>
            <w:tcW w:w="1440"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70539DED" w14:textId="797FD6D9" w:rsidR="00F4597F"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144</w:t>
            </w:r>
          </w:p>
        </w:tc>
      </w:tr>
      <w:tr w:rsidR="00916916" w:rsidRPr="005D1511" w14:paraId="25021B70" w14:textId="77777777" w:rsidTr="00442862">
        <w:tblPrEx>
          <w:tblBorders>
            <w:top w:val="none" w:sz="0" w:space="0" w:color="auto"/>
          </w:tblBorders>
        </w:tblPrEx>
        <w:trPr>
          <w:jc w:val="center"/>
        </w:trPr>
        <w:tc>
          <w:tcPr>
            <w:tcW w:w="44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BB2186E" w14:textId="7ED08469" w:rsidR="00916916" w:rsidRPr="002110B5" w:rsidRDefault="002110B5" w:rsidP="0022272D">
            <w:pPr>
              <w:widowControl w:val="0"/>
              <w:tabs>
                <w:tab w:val="left" w:pos="220"/>
                <w:tab w:val="left" w:pos="720"/>
              </w:tabs>
              <w:autoSpaceDE w:val="0"/>
              <w:autoSpaceDN w:val="0"/>
              <w:spacing w:after="0" w:line="240" w:lineRule="auto"/>
              <w:contextualSpacing/>
              <w:mirrorIndents/>
              <w:rPr>
                <w:rFonts w:ascii="Verdana" w:eastAsia="Times New Roman" w:hAnsi="Verdana"/>
                <w:sz w:val="18"/>
                <w:szCs w:val="18"/>
              </w:rPr>
            </w:pPr>
            <w:r>
              <w:rPr>
                <w:rFonts w:ascii="Verdana" w:eastAsia="Times New Roman" w:hAnsi="Verdana"/>
                <w:sz w:val="18"/>
                <w:szCs w:val="18"/>
              </w:rPr>
              <w:t>Baby Boomers: $100K+ income</w:t>
            </w:r>
          </w:p>
        </w:tc>
        <w:tc>
          <w:tcPr>
            <w:tcW w:w="1440"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5A60221B" w14:textId="308BD74C" w:rsidR="00916916"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125</w:t>
            </w:r>
          </w:p>
        </w:tc>
        <w:tc>
          <w:tcPr>
            <w:tcW w:w="1440"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5094019" w14:textId="25D2B7D1" w:rsidR="00916916"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130</w:t>
            </w:r>
          </w:p>
        </w:tc>
        <w:tc>
          <w:tcPr>
            <w:tcW w:w="1440"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EECD433" w14:textId="37749ADD" w:rsidR="00916916"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96</w:t>
            </w:r>
          </w:p>
        </w:tc>
        <w:tc>
          <w:tcPr>
            <w:tcW w:w="1440"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E958F8E" w14:textId="71BF1600" w:rsidR="00916916"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111</w:t>
            </w:r>
          </w:p>
        </w:tc>
        <w:tc>
          <w:tcPr>
            <w:tcW w:w="1440"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6AB10B0F" w14:textId="29C09ED9" w:rsidR="00916916"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153</w:t>
            </w:r>
          </w:p>
        </w:tc>
      </w:tr>
      <w:tr w:rsidR="00916916" w:rsidRPr="005D1511" w14:paraId="03E17123" w14:textId="77777777" w:rsidTr="00442862">
        <w:tblPrEx>
          <w:tblBorders>
            <w:top w:val="none" w:sz="0" w:space="0" w:color="auto"/>
          </w:tblBorders>
        </w:tblPrEx>
        <w:trPr>
          <w:jc w:val="center"/>
        </w:trPr>
        <w:tc>
          <w:tcPr>
            <w:tcW w:w="44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F21B1D2" w14:textId="187D8AC3" w:rsidR="00F4597F" w:rsidRPr="002110B5" w:rsidRDefault="002110B5" w:rsidP="0022272D">
            <w:pPr>
              <w:widowControl w:val="0"/>
              <w:tabs>
                <w:tab w:val="left" w:pos="220"/>
                <w:tab w:val="left" w:pos="720"/>
              </w:tabs>
              <w:autoSpaceDE w:val="0"/>
              <w:autoSpaceDN w:val="0"/>
              <w:spacing w:after="0" w:line="240" w:lineRule="auto"/>
              <w:contextualSpacing/>
              <w:mirrorIndents/>
              <w:rPr>
                <w:rFonts w:ascii="Verdana" w:eastAsia="Times New Roman" w:hAnsi="Verdana"/>
                <w:sz w:val="18"/>
                <w:szCs w:val="18"/>
              </w:rPr>
            </w:pPr>
            <w:r>
              <w:rPr>
                <w:rFonts w:ascii="Verdana" w:eastAsia="Times New Roman" w:hAnsi="Verdana"/>
                <w:sz w:val="18"/>
                <w:szCs w:val="18"/>
              </w:rPr>
              <w:t>Working women: family income $75K+</w:t>
            </w:r>
          </w:p>
        </w:tc>
        <w:tc>
          <w:tcPr>
            <w:tcW w:w="1440"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0AAF9A90" w14:textId="2C26FA0A" w:rsidR="00F4597F" w:rsidRPr="002110B5" w:rsidRDefault="002110B5" w:rsidP="002227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18"/>
                <w:szCs w:val="18"/>
              </w:rPr>
            </w:pPr>
            <w:r>
              <w:rPr>
                <w:rFonts w:ascii="Verdana" w:eastAsia="Times New Roman" w:hAnsi="Verdana"/>
                <w:sz w:val="18"/>
                <w:szCs w:val="18"/>
              </w:rPr>
              <w:t>120</w:t>
            </w:r>
          </w:p>
        </w:tc>
        <w:tc>
          <w:tcPr>
            <w:tcW w:w="1440"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DC92E8D" w14:textId="10975E44" w:rsidR="00F4597F"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116</w:t>
            </w:r>
          </w:p>
        </w:tc>
        <w:tc>
          <w:tcPr>
            <w:tcW w:w="1440"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A0B9F73" w14:textId="3A02E676" w:rsidR="00F4597F"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121</w:t>
            </w:r>
          </w:p>
        </w:tc>
        <w:tc>
          <w:tcPr>
            <w:tcW w:w="1440"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AF102E1" w14:textId="26C0DD56" w:rsidR="00F4597F"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112</w:t>
            </w:r>
          </w:p>
        </w:tc>
        <w:tc>
          <w:tcPr>
            <w:tcW w:w="1440"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7B082E34" w14:textId="4A0EE609" w:rsidR="00F4597F"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134</w:t>
            </w:r>
          </w:p>
        </w:tc>
      </w:tr>
      <w:tr w:rsidR="002110B5" w:rsidRPr="005D1511" w14:paraId="510CA690" w14:textId="77777777" w:rsidTr="00442862">
        <w:tblPrEx>
          <w:tblBorders>
            <w:top w:val="none" w:sz="0" w:space="0" w:color="auto"/>
          </w:tblBorders>
        </w:tblPrEx>
        <w:trPr>
          <w:jc w:val="center"/>
        </w:trPr>
        <w:tc>
          <w:tcPr>
            <w:tcW w:w="44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6F2DD32" w14:textId="5660D046" w:rsidR="002110B5" w:rsidRDefault="002110B5" w:rsidP="0022272D">
            <w:pPr>
              <w:widowControl w:val="0"/>
              <w:tabs>
                <w:tab w:val="left" w:pos="220"/>
                <w:tab w:val="left" w:pos="720"/>
              </w:tabs>
              <w:autoSpaceDE w:val="0"/>
              <w:autoSpaceDN w:val="0"/>
              <w:spacing w:after="0" w:line="240" w:lineRule="auto"/>
              <w:contextualSpacing/>
              <w:mirrorIndents/>
              <w:rPr>
                <w:rFonts w:ascii="Verdana" w:eastAsia="Times New Roman" w:hAnsi="Verdana"/>
                <w:sz w:val="18"/>
                <w:szCs w:val="18"/>
              </w:rPr>
            </w:pPr>
            <w:r>
              <w:rPr>
                <w:rFonts w:ascii="Verdana" w:eastAsia="Times New Roman" w:hAnsi="Verdana"/>
                <w:sz w:val="18"/>
                <w:szCs w:val="18"/>
              </w:rPr>
              <w:t>Blue-collar worker: family income $75K+</w:t>
            </w:r>
          </w:p>
        </w:tc>
        <w:tc>
          <w:tcPr>
            <w:tcW w:w="1440" w:type="dxa"/>
            <w:tcBorders>
              <w:top w:val="single" w:sz="4" w:space="0" w:color="auto"/>
              <w:left w:val="single" w:sz="18" w:space="0" w:color="0070C0"/>
              <w:bottom w:val="single" w:sz="4" w:space="0" w:color="000000"/>
              <w:right w:val="single" w:sz="8" w:space="0" w:color="0070C0"/>
            </w:tcBorders>
            <w:shd w:val="clear" w:color="auto" w:fill="00B050"/>
            <w:vAlign w:val="center"/>
          </w:tcPr>
          <w:p w14:paraId="7E1C7B3C" w14:textId="56C5DB1F" w:rsidR="002110B5" w:rsidRDefault="002110B5" w:rsidP="0022272D">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18"/>
                <w:szCs w:val="18"/>
              </w:rPr>
            </w:pPr>
            <w:r>
              <w:rPr>
                <w:rFonts w:ascii="Verdana" w:eastAsia="Times New Roman" w:hAnsi="Verdana"/>
                <w:sz w:val="18"/>
                <w:szCs w:val="18"/>
              </w:rPr>
              <w:t>195</w:t>
            </w:r>
          </w:p>
        </w:tc>
        <w:tc>
          <w:tcPr>
            <w:tcW w:w="1440"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5B0B638" w14:textId="3DBB2F86" w:rsidR="002110B5"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112</w:t>
            </w:r>
          </w:p>
        </w:tc>
        <w:tc>
          <w:tcPr>
            <w:tcW w:w="1440"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74B3AEB" w14:textId="47B9F545" w:rsidR="002110B5"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113</w:t>
            </w:r>
          </w:p>
        </w:tc>
        <w:tc>
          <w:tcPr>
            <w:tcW w:w="1440" w:type="dxa"/>
            <w:tcBorders>
              <w:top w:val="single" w:sz="4" w:space="0" w:color="auto"/>
              <w:left w:val="single" w:sz="8" w:space="0" w:color="0070C0"/>
              <w:bottom w:val="single" w:sz="4" w:space="0" w:color="000000"/>
              <w:right w:val="single" w:sz="8" w:space="0" w:color="0070C0"/>
            </w:tcBorders>
            <w:shd w:val="clear" w:color="auto" w:fill="auto"/>
            <w:vAlign w:val="center"/>
          </w:tcPr>
          <w:p w14:paraId="6C20022A" w14:textId="399F0668" w:rsidR="002110B5"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sidRPr="002110B5">
              <w:rPr>
                <w:rFonts w:ascii="Verdana" w:eastAsia="Times New Roman" w:hAnsi="Verdana"/>
                <w:sz w:val="18"/>
                <w:szCs w:val="18"/>
              </w:rPr>
              <w:t>†</w:t>
            </w:r>
          </w:p>
        </w:tc>
        <w:tc>
          <w:tcPr>
            <w:tcW w:w="1440"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22FFF953" w14:textId="290D0CA4" w:rsid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126</w:t>
            </w:r>
          </w:p>
        </w:tc>
      </w:tr>
      <w:tr w:rsidR="00916916" w:rsidRPr="005D1511" w14:paraId="35A95AAC" w14:textId="77777777" w:rsidTr="00442862">
        <w:tblPrEx>
          <w:tblBorders>
            <w:top w:val="none" w:sz="0" w:space="0" w:color="auto"/>
          </w:tblBorders>
        </w:tblPrEx>
        <w:trPr>
          <w:jc w:val="center"/>
        </w:trPr>
        <w:tc>
          <w:tcPr>
            <w:tcW w:w="446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7ABE0315" w14:textId="567B52B9" w:rsidR="00F4597F" w:rsidRPr="002110B5" w:rsidRDefault="002110B5" w:rsidP="0022272D">
            <w:pPr>
              <w:widowControl w:val="0"/>
              <w:tabs>
                <w:tab w:val="left" w:pos="220"/>
                <w:tab w:val="left" w:pos="720"/>
              </w:tabs>
              <w:autoSpaceDE w:val="0"/>
              <w:autoSpaceDN w:val="0"/>
              <w:spacing w:after="0" w:line="240" w:lineRule="auto"/>
              <w:contextualSpacing/>
              <w:mirrorIndents/>
              <w:rPr>
                <w:rFonts w:ascii="Verdana" w:eastAsia="Times New Roman" w:hAnsi="Verdana"/>
                <w:sz w:val="18"/>
                <w:szCs w:val="18"/>
              </w:rPr>
            </w:pPr>
            <w:r>
              <w:rPr>
                <w:rFonts w:ascii="Verdana" w:eastAsia="Times New Roman" w:hAnsi="Verdana"/>
                <w:sz w:val="18"/>
                <w:szCs w:val="18"/>
              </w:rPr>
              <w:t>White-collar worker: family income $100K+</w:t>
            </w:r>
          </w:p>
        </w:tc>
        <w:tc>
          <w:tcPr>
            <w:tcW w:w="1440" w:type="dxa"/>
            <w:tcBorders>
              <w:top w:val="single" w:sz="4" w:space="0" w:color="000000"/>
              <w:left w:val="single" w:sz="18" w:space="0" w:color="0070C0"/>
              <w:bottom w:val="single" w:sz="12" w:space="0" w:color="auto"/>
              <w:right w:val="single" w:sz="8" w:space="0" w:color="0070C0"/>
            </w:tcBorders>
            <w:shd w:val="clear" w:color="auto" w:fill="C2D69B" w:themeFill="accent3" w:themeFillTint="99"/>
            <w:vAlign w:val="center"/>
          </w:tcPr>
          <w:p w14:paraId="668945BF" w14:textId="5640FBEC" w:rsidR="00F4597F"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132</w:t>
            </w:r>
          </w:p>
        </w:tc>
        <w:tc>
          <w:tcPr>
            <w:tcW w:w="1440"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3B4599D0" w14:textId="1B843AEA" w:rsidR="00F4597F"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138</w:t>
            </w:r>
          </w:p>
        </w:tc>
        <w:tc>
          <w:tcPr>
            <w:tcW w:w="1440"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782A89D7" w14:textId="57FCC779" w:rsidR="00F4597F" w:rsidRPr="002110B5" w:rsidRDefault="002E02C0"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136</w:t>
            </w:r>
          </w:p>
        </w:tc>
        <w:tc>
          <w:tcPr>
            <w:tcW w:w="1440"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12F6EFAD" w14:textId="5B2B2608" w:rsidR="009C7130" w:rsidRPr="009C7130" w:rsidRDefault="009C7130" w:rsidP="009C7130">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147</w:t>
            </w:r>
          </w:p>
        </w:tc>
        <w:tc>
          <w:tcPr>
            <w:tcW w:w="1440" w:type="dxa"/>
            <w:tcBorders>
              <w:top w:val="single" w:sz="4" w:space="0" w:color="000000"/>
              <w:left w:val="single" w:sz="8" w:space="0" w:color="0070C0"/>
              <w:bottom w:val="single" w:sz="12" w:space="0" w:color="auto"/>
              <w:right w:val="single" w:sz="12" w:space="0" w:color="000000"/>
            </w:tcBorders>
            <w:shd w:val="clear" w:color="auto" w:fill="92D050"/>
            <w:vAlign w:val="center"/>
          </w:tcPr>
          <w:p w14:paraId="265568FC" w14:textId="4A58CD6E" w:rsidR="00F4597F" w:rsidRPr="002110B5" w:rsidRDefault="002110B5" w:rsidP="0022272D">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18"/>
                <w:szCs w:val="18"/>
              </w:rPr>
            </w:pPr>
            <w:r>
              <w:rPr>
                <w:rFonts w:ascii="Verdana" w:eastAsia="Times New Roman" w:hAnsi="Verdana"/>
                <w:sz w:val="18"/>
                <w:szCs w:val="18"/>
              </w:rPr>
              <w:t>155</w:t>
            </w:r>
          </w:p>
        </w:tc>
      </w:tr>
    </w:tbl>
    <w:p w14:paraId="664EB1A4" w14:textId="277D987D" w:rsidR="00F94CE8" w:rsidRPr="002C1B6E" w:rsidRDefault="00F4597F" w:rsidP="00442862">
      <w:pPr>
        <w:pStyle w:val="NoSpacing"/>
        <w:ind w:hanging="1080"/>
        <w:contextualSpacing/>
        <w:mirrorIndents/>
        <w:rPr>
          <w:rFonts w:ascii="Verdana" w:hAnsi="Verdana"/>
          <w:sz w:val="20"/>
          <w:szCs w:val="20"/>
        </w:rPr>
      </w:pPr>
      <w:r w:rsidRPr="00573142">
        <w:rPr>
          <w:sz w:val="16"/>
          <w:szCs w:val="16"/>
        </w:rPr>
        <w:t xml:space="preserve">Based on The Media Audit’s 2021 surveys  </w:t>
      </w:r>
      <w:r w:rsidRPr="00573142">
        <w:rPr>
          <w:sz w:val="16"/>
          <w:szCs w:val="16"/>
        </w:rPr>
        <w:tab/>
      </w:r>
      <w:r w:rsidR="00442862">
        <w:rPr>
          <w:sz w:val="16"/>
          <w:szCs w:val="16"/>
        </w:rPr>
        <w:tab/>
      </w:r>
      <w:r w:rsidR="00442862">
        <w:rPr>
          <w:sz w:val="16"/>
          <w:szCs w:val="16"/>
        </w:rPr>
        <w:tab/>
      </w:r>
      <w:r w:rsidRPr="00573142">
        <w:rPr>
          <w:sz w:val="16"/>
          <w:szCs w:val="16"/>
        </w:rPr>
        <w:t xml:space="preserve">*during the </w:t>
      </w:r>
      <w:r>
        <w:rPr>
          <w:sz w:val="16"/>
          <w:szCs w:val="16"/>
        </w:rPr>
        <w:t>next 12 months</w:t>
      </w:r>
      <w:r w:rsidR="002110B5">
        <w:rPr>
          <w:sz w:val="16"/>
          <w:szCs w:val="16"/>
        </w:rPr>
        <w:tab/>
      </w:r>
      <w:r w:rsidR="002110B5" w:rsidRPr="00573142">
        <w:rPr>
          <w:rFonts w:ascii="Verdana" w:eastAsia="Times New Roman" w:hAnsi="Verdana"/>
          <w:sz w:val="16"/>
          <w:szCs w:val="16"/>
        </w:rPr>
        <w:t>†</w:t>
      </w:r>
      <w:r w:rsidR="002110B5">
        <w:rPr>
          <w:rFonts w:ascii="Verdana" w:eastAsia="Times New Roman" w:hAnsi="Verdana"/>
          <w:sz w:val="16"/>
          <w:szCs w:val="16"/>
        </w:rPr>
        <w:t>insufficient data</w:t>
      </w:r>
    </w:p>
    <w:p w14:paraId="7401C3C8" w14:textId="77777777" w:rsidR="00F94CE8" w:rsidRPr="002C1B6E" w:rsidRDefault="00F94CE8" w:rsidP="002C1B6E">
      <w:pPr>
        <w:pStyle w:val="NoSpacing"/>
        <w:contextualSpacing/>
        <w:mirrorIndents/>
        <w:rPr>
          <w:rFonts w:ascii="Verdana" w:hAnsi="Verdana"/>
          <w:sz w:val="20"/>
          <w:szCs w:val="20"/>
        </w:rPr>
      </w:pPr>
    </w:p>
    <w:p w14:paraId="05B35E5D" w14:textId="3047A502" w:rsidR="00F94CE8" w:rsidRPr="005B34FE" w:rsidRDefault="00FB418C" w:rsidP="005B34FE">
      <w:pPr>
        <w:spacing w:after="0" w:line="240" w:lineRule="auto"/>
        <w:contextualSpacing/>
        <w:mirrorIndents/>
        <w:jc w:val="center"/>
        <w:rPr>
          <w:rFonts w:ascii="Verdana" w:hAnsi="Verdana"/>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1E41768B" w:rsidR="00F94CE8" w:rsidRDefault="00FC18B4" w:rsidP="00F94CE8">
      <w:pPr>
        <w:pStyle w:val="NoSpacing"/>
        <w:contextualSpacing/>
        <w:rPr>
          <w:rFonts w:ascii="Verdana" w:hAnsi="Verdana"/>
          <w:sz w:val="20"/>
          <w:szCs w:val="20"/>
        </w:rPr>
      </w:pPr>
      <w:r>
        <w:rPr>
          <w:rFonts w:ascii="Verdana" w:hAnsi="Verdana"/>
          <w:sz w:val="20"/>
          <w:szCs w:val="20"/>
        </w:rPr>
        <w:t xml:space="preserve">DIFM (“Do It For Me”) home-improvement consumers are often those who start a DIY project and </w:t>
      </w:r>
      <w:r w:rsidR="002D7DBE">
        <w:rPr>
          <w:rFonts w:ascii="Verdana" w:hAnsi="Verdana"/>
          <w:sz w:val="20"/>
          <w:szCs w:val="20"/>
        </w:rPr>
        <w:t>are</w:t>
      </w:r>
      <w:r>
        <w:rPr>
          <w:rFonts w:ascii="Verdana" w:hAnsi="Verdana"/>
          <w:sz w:val="20"/>
          <w:szCs w:val="20"/>
        </w:rPr>
        <w:t xml:space="preserve"> unable to complete</w:t>
      </w:r>
      <w:r w:rsidR="00586085">
        <w:rPr>
          <w:rFonts w:ascii="Verdana" w:hAnsi="Verdana"/>
          <w:sz w:val="20"/>
          <w:szCs w:val="20"/>
        </w:rPr>
        <w:t xml:space="preserve"> it</w:t>
      </w:r>
      <w:r>
        <w:rPr>
          <w:rFonts w:ascii="Verdana" w:hAnsi="Verdana"/>
          <w:sz w:val="20"/>
          <w:szCs w:val="20"/>
        </w:rPr>
        <w:t xml:space="preserve"> for various reasons. According to HIRI, 85% of the consumers surveyed are attracted to DIY projects, but 66% of DIY projects are completed.</w:t>
      </w:r>
    </w:p>
    <w:p w14:paraId="421B2A08" w14:textId="27285B09" w:rsidR="00FC18B4" w:rsidRDefault="00FC18B4" w:rsidP="00F94CE8">
      <w:pPr>
        <w:pStyle w:val="NoSpacing"/>
        <w:contextualSpacing/>
        <w:rPr>
          <w:rFonts w:ascii="Verdana" w:hAnsi="Verdana"/>
          <w:sz w:val="20"/>
          <w:szCs w:val="20"/>
        </w:rPr>
      </w:pPr>
    </w:p>
    <w:p w14:paraId="523931D9" w14:textId="5181E40F" w:rsidR="00FC18B4" w:rsidRDefault="00FC18B4" w:rsidP="00F94CE8">
      <w:pPr>
        <w:pStyle w:val="NoSpacing"/>
        <w:contextualSpacing/>
        <w:rPr>
          <w:sz w:val="20"/>
          <w:szCs w:val="20"/>
        </w:rPr>
      </w:pPr>
      <w:r>
        <w:rPr>
          <w:rFonts w:ascii="Verdana" w:hAnsi="Verdana"/>
          <w:sz w:val="20"/>
          <w:szCs w:val="20"/>
        </w:rPr>
        <w:t xml:space="preserve">According to The Farnsworth Group’s DIFM Home Improvement Monthly Tracker for January 2022, almost half of surveyed consumers said it was a good time to hire a contractor: “very good time” at 14.8% and “somewhat good time” at 31.1%. Approximately two-thirds said </w:t>
      </w:r>
      <w:r w:rsidR="00E63498">
        <w:rPr>
          <w:rFonts w:ascii="Verdana" w:hAnsi="Verdana"/>
          <w:sz w:val="20"/>
          <w:szCs w:val="20"/>
        </w:rPr>
        <w:t>they hadn’t faced many</w:t>
      </w:r>
      <w:r w:rsidR="00586085">
        <w:rPr>
          <w:rFonts w:ascii="Verdana" w:hAnsi="Verdana"/>
          <w:sz w:val="20"/>
          <w:szCs w:val="20"/>
        </w:rPr>
        <w:t>,</w:t>
      </w:r>
      <w:r w:rsidR="00E63498">
        <w:rPr>
          <w:rFonts w:ascii="Verdana" w:hAnsi="Verdana"/>
          <w:sz w:val="20"/>
          <w:szCs w:val="20"/>
        </w:rPr>
        <w:t xml:space="preserve"> if any</w:t>
      </w:r>
      <w:r w:rsidR="00586085">
        <w:rPr>
          <w:rFonts w:ascii="Verdana" w:hAnsi="Verdana"/>
          <w:sz w:val="20"/>
          <w:szCs w:val="20"/>
        </w:rPr>
        <w:t>,</w:t>
      </w:r>
      <w:r w:rsidR="00E63498">
        <w:rPr>
          <w:rFonts w:ascii="Verdana" w:hAnsi="Verdana"/>
          <w:sz w:val="20"/>
          <w:szCs w:val="20"/>
        </w:rPr>
        <w:t xml:space="preserve"> challenges to finding a contractor: “no challenges” at 33.6% and “low challenges” at 33.6%.</w:t>
      </w:r>
    </w:p>
    <w:p w14:paraId="72A9D893" w14:textId="77777777" w:rsidR="00F94CE8" w:rsidRDefault="00F94CE8" w:rsidP="00F94CE8">
      <w:pPr>
        <w:pStyle w:val="NoSpacing"/>
        <w:contextualSpacing/>
        <w:rPr>
          <w:sz w:val="20"/>
          <w:szCs w:val="20"/>
        </w:rPr>
      </w:pPr>
    </w:p>
    <w:p w14:paraId="78E679E8" w14:textId="4301800E" w:rsidR="00F94CE8" w:rsidRDefault="00E63498" w:rsidP="00F94CE8">
      <w:pPr>
        <w:pStyle w:val="NoSpacing"/>
        <w:contextualSpacing/>
        <w:rPr>
          <w:rFonts w:ascii="Verdana" w:hAnsi="Verdana"/>
          <w:sz w:val="20"/>
          <w:szCs w:val="20"/>
        </w:rPr>
      </w:pPr>
      <w:r>
        <w:rPr>
          <w:sz w:val="20"/>
          <w:szCs w:val="20"/>
        </w:rPr>
        <w:t>Where DIFM</w:t>
      </w:r>
      <w:r w:rsidRPr="00E63498">
        <w:rPr>
          <w:rFonts w:ascii="Verdana" w:hAnsi="Verdana"/>
          <w:sz w:val="20"/>
          <w:szCs w:val="20"/>
        </w:rPr>
        <w:t xml:space="preserve"> </w:t>
      </w:r>
      <w:r>
        <w:rPr>
          <w:rFonts w:ascii="Verdana" w:hAnsi="Verdana"/>
          <w:sz w:val="20"/>
          <w:szCs w:val="20"/>
        </w:rPr>
        <w:t>home-improvement consumers purchase their project materials during the past month differs significantly from DIY consumers.</w:t>
      </w:r>
    </w:p>
    <w:p w14:paraId="6FCE2632" w14:textId="529C3729" w:rsidR="00E63498" w:rsidRDefault="00E63498" w:rsidP="00F94CE8">
      <w:pPr>
        <w:pStyle w:val="NoSpacing"/>
        <w:contextualSpacing/>
        <w:rPr>
          <w:rFonts w:ascii="Verdana" w:hAnsi="Verdana"/>
          <w:sz w:val="20"/>
          <w:szCs w:val="20"/>
        </w:rPr>
      </w:pPr>
    </w:p>
    <w:p w14:paraId="7F38D99E" w14:textId="3CF6D3F1" w:rsidR="00E63498" w:rsidRPr="00E63498" w:rsidRDefault="00E63498" w:rsidP="00E63498">
      <w:pPr>
        <w:pStyle w:val="NoSpacing"/>
        <w:numPr>
          <w:ilvl w:val="0"/>
          <w:numId w:val="2"/>
        </w:numPr>
        <w:contextualSpacing/>
        <w:rPr>
          <w:sz w:val="20"/>
          <w:szCs w:val="20"/>
        </w:rPr>
      </w:pPr>
      <w:r>
        <w:rPr>
          <w:sz w:val="20"/>
          <w:szCs w:val="20"/>
        </w:rPr>
        <w:t xml:space="preserve">On page 2, </w:t>
      </w:r>
      <w:r w:rsidRPr="00E63498">
        <w:rPr>
          <w:rFonts w:ascii="Verdana" w:hAnsi="Verdana"/>
          <w:sz w:val="20"/>
          <w:szCs w:val="20"/>
        </w:rPr>
        <w:t>80.4% said they had purchased their home improvement materials in-store or at a supplier during the last month</w:t>
      </w:r>
      <w:r>
        <w:rPr>
          <w:rFonts w:ascii="Verdana" w:hAnsi="Verdana"/>
          <w:sz w:val="20"/>
          <w:szCs w:val="20"/>
        </w:rPr>
        <w:t xml:space="preserve"> and</w:t>
      </w:r>
      <w:r w:rsidRPr="00E63498">
        <w:rPr>
          <w:rFonts w:ascii="Verdana" w:hAnsi="Verdana"/>
          <w:sz w:val="20"/>
          <w:szCs w:val="20"/>
        </w:rPr>
        <w:t xml:space="preserve"> 21.2%</w:t>
      </w:r>
      <w:r>
        <w:rPr>
          <w:rFonts w:ascii="Verdana" w:hAnsi="Verdana"/>
          <w:sz w:val="20"/>
          <w:szCs w:val="20"/>
        </w:rPr>
        <w:t xml:space="preserve"> </w:t>
      </w:r>
      <w:r w:rsidRPr="00E63498">
        <w:rPr>
          <w:rFonts w:ascii="Verdana" w:hAnsi="Verdana"/>
          <w:sz w:val="20"/>
          <w:szCs w:val="20"/>
        </w:rPr>
        <w:t>purchase</w:t>
      </w:r>
      <w:r>
        <w:rPr>
          <w:rFonts w:ascii="Verdana" w:hAnsi="Verdana"/>
          <w:sz w:val="20"/>
          <w:szCs w:val="20"/>
        </w:rPr>
        <w:t>d</w:t>
      </w:r>
      <w:r w:rsidRPr="00E63498">
        <w:rPr>
          <w:rFonts w:ascii="Verdana" w:hAnsi="Verdana"/>
          <w:sz w:val="20"/>
          <w:szCs w:val="20"/>
        </w:rPr>
        <w:t xml:space="preserve"> those materials online and had them delivered to their homes.</w:t>
      </w:r>
    </w:p>
    <w:p w14:paraId="3CDFB8E2" w14:textId="77777777" w:rsidR="00F94CE8" w:rsidRDefault="00F94CE8" w:rsidP="00F94CE8">
      <w:pPr>
        <w:pStyle w:val="NoSpacing"/>
        <w:contextualSpacing/>
        <w:rPr>
          <w:sz w:val="20"/>
          <w:szCs w:val="20"/>
        </w:rPr>
      </w:pPr>
    </w:p>
    <w:p w14:paraId="6DC49CD3" w14:textId="4A759F55" w:rsidR="00F94CE8" w:rsidRDefault="00E63498" w:rsidP="00E63498">
      <w:pPr>
        <w:pStyle w:val="NoSpacing"/>
        <w:numPr>
          <w:ilvl w:val="0"/>
          <w:numId w:val="2"/>
        </w:numPr>
        <w:contextualSpacing/>
        <w:rPr>
          <w:sz w:val="20"/>
          <w:szCs w:val="20"/>
        </w:rPr>
      </w:pPr>
      <w:r>
        <w:rPr>
          <w:sz w:val="20"/>
          <w:szCs w:val="20"/>
        </w:rPr>
        <w:t>Among DIFM consumers, however, 67.2% had purchased in-store or at a supplier while 32.4% purchased them online for home delivery.</w:t>
      </w:r>
    </w:p>
    <w:p w14:paraId="2AC14BFB" w14:textId="77777777" w:rsidR="00F94CE8" w:rsidRDefault="00F94CE8" w:rsidP="00F94CE8">
      <w:pPr>
        <w:pStyle w:val="NoSpacing"/>
        <w:contextualSpacing/>
        <w:rPr>
          <w:sz w:val="20"/>
          <w:szCs w:val="20"/>
        </w:rPr>
      </w:pPr>
    </w:p>
    <w:p w14:paraId="6989B4B1" w14:textId="77777777" w:rsidR="002652D9" w:rsidRDefault="002652D9" w:rsidP="002652D9">
      <w:pPr>
        <w:pStyle w:val="Header"/>
        <w:contextualSpacing/>
        <w:jc w:val="center"/>
        <w:rPr>
          <w:rFonts w:ascii="Verdana" w:hAnsi="Verdana"/>
          <w:b/>
          <w:sz w:val="20"/>
          <w:szCs w:val="20"/>
        </w:rPr>
      </w:pPr>
      <w:r>
        <w:rPr>
          <w:rFonts w:ascii="Verdana" w:hAnsi="Verdana"/>
          <w:b/>
          <w:sz w:val="20"/>
          <w:szCs w:val="20"/>
        </w:rPr>
        <w:t xml:space="preserve">Top 10 Projects DIFM Home-Improvement </w:t>
      </w:r>
    </w:p>
    <w:p w14:paraId="633FB9B0" w14:textId="3585D002" w:rsidR="002652D9" w:rsidRPr="00BE4963" w:rsidRDefault="002652D9" w:rsidP="002652D9">
      <w:pPr>
        <w:pStyle w:val="Header"/>
        <w:contextualSpacing/>
        <w:jc w:val="center"/>
        <w:rPr>
          <w:rFonts w:ascii="Verdana" w:hAnsi="Verdana"/>
          <w:b/>
          <w:sz w:val="20"/>
          <w:szCs w:val="20"/>
        </w:rPr>
      </w:pPr>
      <w:r>
        <w:rPr>
          <w:rFonts w:ascii="Verdana" w:hAnsi="Verdana"/>
          <w:b/>
          <w:sz w:val="20"/>
          <w:szCs w:val="20"/>
        </w:rPr>
        <w:t>Consumers Are Planning to Start*, January 2022</w:t>
      </w:r>
    </w:p>
    <w:tbl>
      <w:tblPr>
        <w:tblW w:w="9497" w:type="dxa"/>
        <w:jc w:val="center"/>
        <w:tblBorders>
          <w:left w:val="single" w:sz="8" w:space="0" w:color="000000"/>
          <w:right w:val="single" w:sz="8" w:space="0" w:color="000000"/>
        </w:tblBorders>
        <w:tblLayout w:type="fixed"/>
        <w:tblLook w:val="0000" w:firstRow="0" w:lastRow="0" w:firstColumn="0" w:lastColumn="0" w:noHBand="0" w:noVBand="0"/>
      </w:tblPr>
      <w:tblGrid>
        <w:gridCol w:w="3478"/>
        <w:gridCol w:w="1267"/>
        <w:gridCol w:w="3485"/>
        <w:gridCol w:w="1267"/>
      </w:tblGrid>
      <w:tr w:rsidR="002652D9" w:rsidRPr="00CC1ECE" w14:paraId="034E943C" w14:textId="77777777" w:rsidTr="0022272D">
        <w:trPr>
          <w:jc w:val="center"/>
        </w:trPr>
        <w:tc>
          <w:tcPr>
            <w:tcW w:w="3478" w:type="dxa"/>
            <w:tcBorders>
              <w:top w:val="single" w:sz="12" w:space="0" w:color="000000"/>
              <w:left w:val="single" w:sz="12" w:space="0" w:color="000000"/>
              <w:bottom w:val="single" w:sz="18" w:space="0" w:color="C0504D" w:themeColor="accent2"/>
              <w:right w:val="single" w:sz="8" w:space="0" w:color="0070C0"/>
            </w:tcBorders>
            <w:vAlign w:val="center"/>
          </w:tcPr>
          <w:p w14:paraId="1EC37F6A" w14:textId="77777777" w:rsidR="002652D9" w:rsidRPr="00CC1ECE" w:rsidRDefault="002652D9"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Project</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4CFBBD41" w14:textId="77777777" w:rsidR="002652D9" w:rsidRPr="00CC1ECE" w:rsidRDefault="002652D9"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3485" w:type="dxa"/>
            <w:tcBorders>
              <w:top w:val="single" w:sz="12" w:space="0" w:color="000000"/>
              <w:left w:val="single" w:sz="18" w:space="0" w:color="0070C0"/>
              <w:bottom w:val="single" w:sz="18" w:space="0" w:color="C0504D" w:themeColor="accent2"/>
              <w:right w:val="single" w:sz="8" w:space="0" w:color="0070C0"/>
            </w:tcBorders>
            <w:vAlign w:val="center"/>
          </w:tcPr>
          <w:p w14:paraId="709845D8" w14:textId="77777777" w:rsidR="002652D9" w:rsidRDefault="002652D9"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Project</w:t>
            </w:r>
          </w:p>
        </w:tc>
        <w:tc>
          <w:tcPr>
            <w:tcW w:w="1267" w:type="dxa"/>
            <w:tcBorders>
              <w:top w:val="single" w:sz="12" w:space="0" w:color="000000"/>
              <w:left w:val="single" w:sz="8" w:space="0" w:color="0070C0"/>
              <w:bottom w:val="single" w:sz="18" w:space="0" w:color="C0504D" w:themeColor="accent2"/>
              <w:right w:val="single" w:sz="12" w:space="0" w:color="auto"/>
            </w:tcBorders>
            <w:vAlign w:val="center"/>
          </w:tcPr>
          <w:p w14:paraId="1CBC6A81" w14:textId="77777777" w:rsidR="002652D9" w:rsidRDefault="002652D9"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2652D9" w:rsidRPr="00CC1ECE" w14:paraId="4BF767A2" w14:textId="77777777" w:rsidTr="000A45F3">
        <w:trPr>
          <w:trHeight w:val="243"/>
          <w:jc w:val="center"/>
        </w:trPr>
        <w:tc>
          <w:tcPr>
            <w:tcW w:w="3478" w:type="dxa"/>
            <w:tcBorders>
              <w:top w:val="single" w:sz="18" w:space="0" w:color="C0504D" w:themeColor="accent2"/>
              <w:left w:val="single" w:sz="12" w:space="0" w:color="000000"/>
              <w:bottom w:val="single" w:sz="4" w:space="0" w:color="auto"/>
              <w:right w:val="single" w:sz="8" w:space="0" w:color="0070C0"/>
            </w:tcBorders>
            <w:shd w:val="clear" w:color="auto" w:fill="auto"/>
            <w:vAlign w:val="center"/>
          </w:tcPr>
          <w:p w14:paraId="78996C34" w14:textId="77777777" w:rsidR="002652D9" w:rsidRPr="00CC1ECE" w:rsidRDefault="002652D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Painting a room</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30D8FFC1" w14:textId="2CA01D14" w:rsidR="002652D9" w:rsidRPr="00CC1ECE" w:rsidRDefault="002652D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40.1%</w:t>
            </w:r>
          </w:p>
        </w:tc>
        <w:tc>
          <w:tcPr>
            <w:tcW w:w="3485"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0FD85912" w14:textId="77777777" w:rsidR="002652D9" w:rsidRPr="00CC1ECE" w:rsidRDefault="002652D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Landscaping, planting, etc.</w:t>
            </w:r>
          </w:p>
        </w:tc>
        <w:tc>
          <w:tcPr>
            <w:tcW w:w="1267" w:type="dxa"/>
            <w:tcBorders>
              <w:top w:val="single" w:sz="18" w:space="0" w:color="C0504D" w:themeColor="accent2"/>
              <w:left w:val="single" w:sz="8" w:space="0" w:color="0070C0"/>
              <w:bottom w:val="single" w:sz="4" w:space="0" w:color="auto"/>
              <w:right w:val="single" w:sz="12" w:space="0" w:color="auto"/>
            </w:tcBorders>
            <w:shd w:val="clear" w:color="auto" w:fill="D6E3BC" w:themeFill="accent3" w:themeFillTint="66"/>
            <w:vAlign w:val="center"/>
          </w:tcPr>
          <w:p w14:paraId="79DDC5BA" w14:textId="06C6C50B" w:rsidR="002652D9" w:rsidRPr="00CC1ECE" w:rsidRDefault="002652D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19.1%</w:t>
            </w:r>
          </w:p>
        </w:tc>
      </w:tr>
      <w:tr w:rsidR="000A45F3" w:rsidRPr="00CC1ECE" w14:paraId="5AB9B917" w14:textId="77777777" w:rsidTr="000A45F3">
        <w:trPr>
          <w:trHeight w:val="243"/>
          <w:jc w:val="center"/>
        </w:trPr>
        <w:tc>
          <w:tcPr>
            <w:tcW w:w="3478" w:type="dxa"/>
            <w:tcBorders>
              <w:top w:val="single" w:sz="4" w:space="0" w:color="auto"/>
              <w:left w:val="single" w:sz="12" w:space="0" w:color="000000"/>
              <w:bottom w:val="single" w:sz="4" w:space="0" w:color="000000"/>
              <w:right w:val="single" w:sz="8" w:space="0" w:color="0070C0"/>
            </w:tcBorders>
            <w:shd w:val="clear" w:color="auto" w:fill="auto"/>
            <w:vAlign w:val="center"/>
          </w:tcPr>
          <w:p w14:paraId="6D4F7D74" w14:textId="77777777" w:rsidR="002652D9" w:rsidRDefault="002652D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General home maintenance</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1D8CAF8C" w14:textId="00317861" w:rsidR="002652D9" w:rsidRDefault="002652D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33.3%</w:t>
            </w:r>
          </w:p>
        </w:tc>
        <w:tc>
          <w:tcPr>
            <w:tcW w:w="3485" w:type="dxa"/>
            <w:tcBorders>
              <w:top w:val="single" w:sz="4" w:space="0" w:color="auto"/>
              <w:left w:val="single" w:sz="18" w:space="0" w:color="0070C0"/>
              <w:bottom w:val="single" w:sz="4" w:space="0" w:color="000000"/>
              <w:right w:val="single" w:sz="8" w:space="0" w:color="0070C0"/>
            </w:tcBorders>
            <w:shd w:val="clear" w:color="auto" w:fill="auto"/>
            <w:vAlign w:val="center"/>
          </w:tcPr>
          <w:p w14:paraId="3937509F" w14:textId="5D694C59" w:rsidR="002652D9" w:rsidRDefault="002652D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Cabinets</w:t>
            </w:r>
          </w:p>
        </w:tc>
        <w:tc>
          <w:tcPr>
            <w:tcW w:w="1267"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1A1CB789" w14:textId="028389FE" w:rsidR="002652D9" w:rsidRDefault="002652D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16.7%</w:t>
            </w:r>
          </w:p>
        </w:tc>
      </w:tr>
      <w:tr w:rsidR="000A45F3" w:rsidRPr="00CC1ECE" w14:paraId="5A1FDFC6" w14:textId="77777777" w:rsidTr="000A45F3">
        <w:trPr>
          <w:trHeight w:val="243"/>
          <w:jc w:val="center"/>
        </w:trPr>
        <w:tc>
          <w:tcPr>
            <w:tcW w:w="3478" w:type="dxa"/>
            <w:tcBorders>
              <w:top w:val="single" w:sz="4" w:space="0" w:color="auto"/>
              <w:left w:val="single" w:sz="12" w:space="0" w:color="000000"/>
              <w:bottom w:val="single" w:sz="4" w:space="0" w:color="000000"/>
              <w:right w:val="single" w:sz="8" w:space="0" w:color="0070C0"/>
            </w:tcBorders>
            <w:shd w:val="clear" w:color="auto" w:fill="auto"/>
            <w:vAlign w:val="center"/>
          </w:tcPr>
          <w:p w14:paraId="21FE9BA5" w14:textId="77777777" w:rsidR="002652D9" w:rsidRDefault="002652D9" w:rsidP="002652D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Painting or staining items</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3FA5DF2F" w14:textId="4F2E267E" w:rsidR="002652D9" w:rsidRDefault="002652D9" w:rsidP="002652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22.2%</w:t>
            </w:r>
          </w:p>
        </w:tc>
        <w:tc>
          <w:tcPr>
            <w:tcW w:w="3485" w:type="dxa"/>
            <w:tcBorders>
              <w:top w:val="single" w:sz="4" w:space="0" w:color="auto"/>
              <w:left w:val="single" w:sz="18" w:space="0" w:color="0070C0"/>
              <w:bottom w:val="single" w:sz="4" w:space="0" w:color="000000"/>
              <w:right w:val="single" w:sz="8" w:space="0" w:color="0070C0"/>
            </w:tcBorders>
            <w:shd w:val="clear" w:color="auto" w:fill="auto"/>
            <w:vAlign w:val="center"/>
          </w:tcPr>
          <w:p w14:paraId="596FEA89" w14:textId="2C4A52E0" w:rsidR="002652D9" w:rsidRDefault="002652D9" w:rsidP="002652D9">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Lawn maintenance, mowing</w:t>
            </w:r>
          </w:p>
        </w:tc>
        <w:tc>
          <w:tcPr>
            <w:tcW w:w="1267"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35856927" w14:textId="2E5CD752" w:rsidR="002652D9" w:rsidRDefault="002652D9" w:rsidP="002652D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16.0%</w:t>
            </w:r>
          </w:p>
        </w:tc>
      </w:tr>
      <w:tr w:rsidR="000A45F3" w:rsidRPr="00CC1ECE" w14:paraId="6AD6EDC7" w14:textId="77777777" w:rsidTr="000A45F3">
        <w:trPr>
          <w:trHeight w:val="243"/>
          <w:jc w:val="center"/>
        </w:trPr>
        <w:tc>
          <w:tcPr>
            <w:tcW w:w="3478" w:type="dxa"/>
            <w:tcBorders>
              <w:top w:val="single" w:sz="4" w:space="0" w:color="auto"/>
              <w:left w:val="single" w:sz="12" w:space="0" w:color="000000"/>
              <w:bottom w:val="single" w:sz="4" w:space="0" w:color="000000"/>
              <w:right w:val="single" w:sz="8" w:space="0" w:color="0070C0"/>
            </w:tcBorders>
            <w:shd w:val="clear" w:color="auto" w:fill="auto"/>
            <w:vAlign w:val="center"/>
          </w:tcPr>
          <w:p w14:paraId="13D88A45" w14:textId="58D6315A" w:rsidR="002652D9" w:rsidRDefault="002652D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Interior lighting</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753D3CA6" w14:textId="732FC725" w:rsidR="002652D9" w:rsidRDefault="002652D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21.6%</w:t>
            </w:r>
          </w:p>
        </w:tc>
        <w:tc>
          <w:tcPr>
            <w:tcW w:w="3485" w:type="dxa"/>
            <w:tcBorders>
              <w:top w:val="single" w:sz="4" w:space="0" w:color="auto"/>
              <w:left w:val="single" w:sz="18" w:space="0" w:color="0070C0"/>
              <w:bottom w:val="single" w:sz="4" w:space="0" w:color="000000"/>
              <w:right w:val="single" w:sz="8" w:space="0" w:color="0070C0"/>
            </w:tcBorders>
            <w:shd w:val="clear" w:color="auto" w:fill="auto"/>
            <w:vAlign w:val="center"/>
          </w:tcPr>
          <w:p w14:paraId="494CA65D" w14:textId="7686CC44" w:rsidR="002652D9" w:rsidRDefault="002652D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Electrical</w:t>
            </w:r>
          </w:p>
        </w:tc>
        <w:tc>
          <w:tcPr>
            <w:tcW w:w="1267"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1C971395" w14:textId="5FDAB100" w:rsidR="002652D9" w:rsidRDefault="002652D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14.2%</w:t>
            </w:r>
          </w:p>
        </w:tc>
      </w:tr>
      <w:tr w:rsidR="000A45F3" w:rsidRPr="00CC1ECE" w14:paraId="0CD21EBC" w14:textId="77777777" w:rsidTr="000A45F3">
        <w:trPr>
          <w:trHeight w:val="54"/>
          <w:jc w:val="center"/>
        </w:trPr>
        <w:tc>
          <w:tcPr>
            <w:tcW w:w="3478"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526CE367" w14:textId="2C303DFC" w:rsidR="002652D9" w:rsidRPr="00CC1ECE" w:rsidRDefault="002652D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Flooring</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365CC6DA" w14:textId="6006944B" w:rsidR="002652D9" w:rsidRPr="00CC1ECE" w:rsidRDefault="002652D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20.4%</w:t>
            </w:r>
          </w:p>
        </w:tc>
        <w:tc>
          <w:tcPr>
            <w:tcW w:w="3485"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20456A45" w14:textId="70601BDD" w:rsidR="002652D9" w:rsidRPr="00CC1ECE" w:rsidRDefault="002652D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Decking for patio</w:t>
            </w:r>
          </w:p>
        </w:tc>
        <w:tc>
          <w:tcPr>
            <w:tcW w:w="1267"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220AA113" w14:textId="3DED920B" w:rsidR="002652D9" w:rsidRPr="00CC1ECE" w:rsidRDefault="002652D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13.6%</w:t>
            </w:r>
          </w:p>
        </w:tc>
      </w:tr>
    </w:tbl>
    <w:p w14:paraId="73F1DB0D" w14:textId="77777777" w:rsidR="002652D9" w:rsidRPr="0068494F" w:rsidRDefault="002652D9" w:rsidP="002652D9">
      <w:pPr>
        <w:pStyle w:val="NoSpacing"/>
        <w:ind w:hanging="90"/>
        <w:contextualSpacing/>
        <w:mirrorIndents/>
        <w:rPr>
          <w:rFonts w:ascii="Verdana" w:hAnsi="Verdana"/>
          <w:sz w:val="20"/>
          <w:szCs w:val="20"/>
        </w:rPr>
      </w:pPr>
      <w:r>
        <w:rPr>
          <w:rFonts w:ascii="Verdana" w:hAnsi="Verdana"/>
          <w:sz w:val="16"/>
          <w:szCs w:val="16"/>
        </w:rPr>
        <w:t>The Farnsworth Group</w:t>
      </w:r>
      <w:r w:rsidRPr="00CC1ECE">
        <w:rPr>
          <w:rFonts w:ascii="Verdana" w:hAnsi="Verdana"/>
          <w:sz w:val="16"/>
          <w:szCs w:val="16"/>
        </w:rPr>
        <w:t xml:space="preserve">, </w:t>
      </w:r>
      <w:r>
        <w:rPr>
          <w:rFonts w:ascii="Verdana" w:hAnsi="Verdana"/>
          <w:sz w:val="16"/>
          <w:szCs w:val="16"/>
        </w:rPr>
        <w:t>January 2022</w:t>
      </w:r>
      <w:r>
        <w:rPr>
          <w:rFonts w:ascii="Verdana" w:hAnsi="Verdana"/>
          <w:sz w:val="16"/>
          <w:szCs w:val="16"/>
        </w:rPr>
        <w:tab/>
      </w:r>
      <w:r>
        <w:rPr>
          <w:rFonts w:ascii="Verdana" w:hAnsi="Verdana"/>
          <w:sz w:val="16"/>
          <w:szCs w:val="16"/>
        </w:rPr>
        <w:tab/>
      </w:r>
      <w:r>
        <w:rPr>
          <w:rFonts w:ascii="Verdana" w:hAnsi="Verdana"/>
          <w:sz w:val="16"/>
          <w:szCs w:val="16"/>
        </w:rPr>
        <w:tab/>
        <w:t>*during the next few weeks</w:t>
      </w:r>
    </w:p>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32F550B4" w14:textId="77777777" w:rsidR="00F94CE8" w:rsidRDefault="00F94CE8" w:rsidP="00F94CE8">
      <w:pPr>
        <w:pStyle w:val="NoSpacing"/>
        <w:contextualSpacing/>
        <w:rPr>
          <w:sz w:val="20"/>
          <w:szCs w:val="20"/>
        </w:rPr>
      </w:pPr>
    </w:p>
    <w:p w14:paraId="0825C76F" w14:textId="77777777" w:rsidR="00F94CE8" w:rsidRDefault="00F94CE8" w:rsidP="00F94CE8">
      <w:pPr>
        <w:pStyle w:val="NoSpacing"/>
        <w:contextualSpacing/>
        <w:rPr>
          <w:sz w:val="20"/>
          <w:szCs w:val="20"/>
        </w:rPr>
      </w:pPr>
    </w:p>
    <w:p w14:paraId="2C60B016" w14:textId="77777777" w:rsidR="00F94CE8" w:rsidRDefault="00F94CE8" w:rsidP="00F94CE8">
      <w:pPr>
        <w:pStyle w:val="NoSpacing"/>
        <w:contextualSpacing/>
        <w:rPr>
          <w:sz w:val="20"/>
          <w:szCs w:val="20"/>
        </w:rPr>
      </w:pPr>
    </w:p>
    <w:p w14:paraId="14500FC4" w14:textId="77777777" w:rsidR="00F94CE8" w:rsidRDefault="00F94CE8" w:rsidP="00F94CE8">
      <w:pPr>
        <w:pStyle w:val="NoSpacing"/>
        <w:contextualSpacing/>
        <w:rPr>
          <w:sz w:val="20"/>
          <w:szCs w:val="20"/>
        </w:rPr>
      </w:pPr>
    </w:p>
    <w:p w14:paraId="5E798886" w14:textId="77777777" w:rsidR="00F94CE8" w:rsidRDefault="00F94CE8" w:rsidP="00F94CE8">
      <w:pPr>
        <w:pStyle w:val="NoSpacing"/>
        <w:contextualSpacing/>
        <w:rPr>
          <w:sz w:val="20"/>
          <w:szCs w:val="20"/>
        </w:rPr>
      </w:pPr>
    </w:p>
    <w:p w14:paraId="777770F7"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75779948" w:rsidR="00F94CE8" w:rsidRPr="000A45F3" w:rsidRDefault="00F94CE8" w:rsidP="00F94CE8">
      <w:pPr>
        <w:spacing w:after="0" w:line="240" w:lineRule="auto"/>
        <w:rPr>
          <w:rFonts w:ascii="Verdana" w:hAnsi="Verdana"/>
          <w:sz w:val="16"/>
          <w:szCs w:val="16"/>
        </w:rPr>
      </w:pPr>
      <w:r w:rsidRPr="000A45F3">
        <w:rPr>
          <w:rFonts w:ascii="Verdana" w:hAnsi="Verdana"/>
          <w:i/>
          <w:sz w:val="16"/>
          <w:szCs w:val="16"/>
        </w:rPr>
        <w:t>Sources:</w:t>
      </w:r>
      <w:r w:rsidRPr="000A45F3">
        <w:rPr>
          <w:rFonts w:ascii="Verdana" w:hAnsi="Verdana"/>
          <w:sz w:val="16"/>
          <w:szCs w:val="16"/>
        </w:rPr>
        <w:t xml:space="preserve"> </w:t>
      </w:r>
      <w:r w:rsidR="000A45F3" w:rsidRPr="000A45F3">
        <w:rPr>
          <w:rFonts w:ascii="Verdana" w:hAnsi="Verdana"/>
          <w:sz w:val="16"/>
          <w:szCs w:val="16"/>
        </w:rPr>
        <w:t>Home Improvement Research Institute</w:t>
      </w:r>
      <w:r w:rsidR="000A45F3" w:rsidRPr="000A45F3">
        <w:rPr>
          <w:sz w:val="16"/>
          <w:szCs w:val="16"/>
        </w:rPr>
        <w:t xml:space="preserve"> </w:t>
      </w:r>
      <w:r w:rsidRPr="000A45F3">
        <w:rPr>
          <w:rFonts w:ascii="Verdana" w:hAnsi="Verdana"/>
          <w:sz w:val="16"/>
          <w:szCs w:val="16"/>
        </w:rPr>
        <w:t xml:space="preserve">Website, </w:t>
      </w:r>
      <w:r w:rsidR="005F19E9" w:rsidRPr="000A45F3">
        <w:rPr>
          <w:rFonts w:ascii="Verdana" w:hAnsi="Verdana"/>
          <w:sz w:val="16"/>
          <w:szCs w:val="16"/>
        </w:rPr>
        <w:t>2</w:t>
      </w:r>
      <w:r w:rsidR="00306D88" w:rsidRPr="000A45F3">
        <w:rPr>
          <w:rFonts w:ascii="Verdana" w:hAnsi="Verdana"/>
          <w:sz w:val="16"/>
          <w:szCs w:val="16"/>
        </w:rPr>
        <w:t>/</w:t>
      </w:r>
      <w:r w:rsidR="00AE6B2A" w:rsidRPr="000A45F3">
        <w:rPr>
          <w:rFonts w:ascii="Verdana" w:hAnsi="Verdana"/>
          <w:sz w:val="16"/>
          <w:szCs w:val="16"/>
        </w:rPr>
        <w:t>2</w:t>
      </w:r>
      <w:r w:rsidR="00C8473A" w:rsidRPr="000A45F3">
        <w:rPr>
          <w:rFonts w:ascii="Verdana" w:hAnsi="Verdana"/>
          <w:sz w:val="16"/>
          <w:szCs w:val="16"/>
        </w:rPr>
        <w:t>2</w:t>
      </w:r>
      <w:r w:rsidRPr="000A45F3">
        <w:rPr>
          <w:rFonts w:ascii="Verdana" w:hAnsi="Verdana"/>
          <w:sz w:val="16"/>
          <w:szCs w:val="16"/>
        </w:rPr>
        <w:t xml:space="preserve">; </w:t>
      </w:r>
      <w:r w:rsidR="000A45F3" w:rsidRPr="000A45F3">
        <w:rPr>
          <w:sz w:val="16"/>
          <w:szCs w:val="16"/>
        </w:rPr>
        <w:t xml:space="preserve">The Joint Center for Housing Studies of Harvard University </w:t>
      </w:r>
      <w:r w:rsidRPr="000A45F3">
        <w:rPr>
          <w:rFonts w:ascii="Verdana" w:hAnsi="Verdana"/>
          <w:sz w:val="16"/>
          <w:szCs w:val="16"/>
        </w:rPr>
        <w:t xml:space="preserve">Website, </w:t>
      </w:r>
      <w:r w:rsidR="005F19E9" w:rsidRPr="000A45F3">
        <w:rPr>
          <w:rFonts w:ascii="Verdana" w:hAnsi="Verdana"/>
          <w:sz w:val="16"/>
          <w:szCs w:val="16"/>
        </w:rPr>
        <w:t>2</w:t>
      </w:r>
      <w:r w:rsidR="004E421A" w:rsidRPr="000A45F3">
        <w:rPr>
          <w:rFonts w:ascii="Verdana" w:hAnsi="Verdana"/>
          <w:sz w:val="16"/>
          <w:szCs w:val="16"/>
        </w:rPr>
        <w:t>/</w:t>
      </w:r>
      <w:r w:rsidR="00AE6B2A" w:rsidRPr="000A45F3">
        <w:rPr>
          <w:rFonts w:ascii="Verdana" w:hAnsi="Verdana"/>
          <w:sz w:val="16"/>
          <w:szCs w:val="16"/>
        </w:rPr>
        <w:t>2</w:t>
      </w:r>
      <w:r w:rsidR="00C8473A" w:rsidRPr="000A45F3">
        <w:rPr>
          <w:rFonts w:ascii="Verdana" w:hAnsi="Verdana"/>
          <w:sz w:val="16"/>
          <w:szCs w:val="16"/>
        </w:rPr>
        <w:t>2</w:t>
      </w:r>
      <w:r w:rsidRPr="000A45F3">
        <w:rPr>
          <w:rFonts w:ascii="Verdana" w:hAnsi="Verdana"/>
          <w:sz w:val="16"/>
          <w:szCs w:val="16"/>
        </w:rPr>
        <w:t xml:space="preserve">; </w:t>
      </w:r>
      <w:r w:rsidR="000A45F3" w:rsidRPr="000A45F3">
        <w:rPr>
          <w:sz w:val="16"/>
          <w:szCs w:val="16"/>
        </w:rPr>
        <w:t xml:space="preserve">The Farnsworth Group </w:t>
      </w:r>
      <w:r w:rsidRPr="000A45F3">
        <w:rPr>
          <w:rFonts w:ascii="Verdana" w:hAnsi="Verdana"/>
          <w:sz w:val="16"/>
          <w:szCs w:val="16"/>
        </w:rPr>
        <w:t>Website</w:t>
      </w:r>
      <w:r w:rsidR="00A00453" w:rsidRPr="000A45F3">
        <w:rPr>
          <w:rFonts w:ascii="Verdana" w:hAnsi="Verdana"/>
          <w:sz w:val="16"/>
          <w:szCs w:val="16"/>
        </w:rPr>
        <w:t xml:space="preserve">, </w:t>
      </w:r>
      <w:r w:rsidR="005F19E9" w:rsidRPr="000A45F3">
        <w:rPr>
          <w:rFonts w:ascii="Verdana" w:hAnsi="Verdana"/>
          <w:sz w:val="16"/>
          <w:szCs w:val="16"/>
        </w:rPr>
        <w:t>2</w:t>
      </w:r>
      <w:r w:rsidR="00306D88" w:rsidRPr="000A45F3">
        <w:rPr>
          <w:rFonts w:ascii="Verdana" w:hAnsi="Verdana"/>
          <w:sz w:val="16"/>
          <w:szCs w:val="16"/>
        </w:rPr>
        <w:t>/</w:t>
      </w:r>
      <w:r w:rsidR="00AE6B2A" w:rsidRPr="000A45F3">
        <w:rPr>
          <w:rFonts w:ascii="Verdana" w:hAnsi="Verdana"/>
          <w:sz w:val="16"/>
          <w:szCs w:val="16"/>
        </w:rPr>
        <w:t>2</w:t>
      </w:r>
      <w:r w:rsidR="00C8473A" w:rsidRPr="000A45F3">
        <w:rPr>
          <w:rFonts w:ascii="Verdana" w:hAnsi="Verdana"/>
          <w:sz w:val="16"/>
          <w:szCs w:val="16"/>
        </w:rPr>
        <w:t>2</w:t>
      </w:r>
      <w:r w:rsidR="000A45F3">
        <w:rPr>
          <w:rFonts w:ascii="Verdana" w:hAnsi="Verdana"/>
          <w:sz w:val="16"/>
          <w:szCs w:val="16"/>
        </w:rPr>
        <w:t>;</w:t>
      </w:r>
      <w:r w:rsidR="000A45F3" w:rsidRPr="000A45F3">
        <w:rPr>
          <w:rFonts w:ascii="Verdana" w:hAnsi="Verdana"/>
          <w:sz w:val="16"/>
          <w:szCs w:val="16"/>
        </w:rPr>
        <w:t xml:space="preserve"> </w:t>
      </w:r>
      <w:r w:rsidR="000A45F3" w:rsidRPr="000A45F3">
        <w:rPr>
          <w:sz w:val="16"/>
          <w:szCs w:val="16"/>
        </w:rPr>
        <w:t>Placer.ai Website</w:t>
      </w:r>
      <w:r w:rsidR="000A45F3">
        <w:rPr>
          <w:sz w:val="16"/>
          <w:szCs w:val="16"/>
        </w:rPr>
        <w:t>, 2/22;</w:t>
      </w:r>
      <w:r w:rsidR="000A45F3" w:rsidRPr="000A45F3">
        <w:rPr>
          <w:sz w:val="16"/>
          <w:szCs w:val="16"/>
        </w:rPr>
        <w:t xml:space="preserve"> US Census Bureau Website</w:t>
      </w:r>
      <w:r w:rsidR="000A45F3">
        <w:rPr>
          <w:sz w:val="16"/>
          <w:szCs w:val="16"/>
        </w:rPr>
        <w:t>, 2/22;</w:t>
      </w:r>
      <w:r w:rsidR="000A45F3" w:rsidRPr="000A45F3">
        <w:rPr>
          <w:sz w:val="16"/>
          <w:szCs w:val="16"/>
        </w:rPr>
        <w:t xml:space="preserve"> The Media Audit Website</w:t>
      </w:r>
      <w:r w:rsidR="000A45F3">
        <w:rPr>
          <w:sz w:val="16"/>
          <w:szCs w:val="16"/>
        </w:rPr>
        <w:t>, 2/22.</w:t>
      </w:r>
    </w:p>
    <w:p w14:paraId="7EF64BA4" w14:textId="77777777" w:rsidR="00F94CE8" w:rsidRPr="00690E6A" w:rsidRDefault="00F94CE8" w:rsidP="00F94CE8">
      <w:pPr>
        <w:spacing w:after="0" w:line="240" w:lineRule="auto"/>
        <w:rPr>
          <w:rFonts w:ascii="Verdana" w:hAnsi="Verdana"/>
          <w:sz w:val="16"/>
        </w:rPr>
      </w:pPr>
    </w:p>
    <w:p w14:paraId="49C0D793" w14:textId="3E059979"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5F19E9">
        <w:rPr>
          <w:rFonts w:ascii="Verdana" w:hAnsi="Verdana"/>
          <w:sz w:val="16"/>
        </w:rPr>
        <w:t>Febr</w:t>
      </w:r>
      <w:r w:rsidR="00C8473A">
        <w:rPr>
          <w:rFonts w:ascii="Verdana" w:hAnsi="Verdana"/>
          <w:sz w:val="16"/>
        </w:rPr>
        <w:t>uary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B9A8" w14:textId="77777777" w:rsidR="00C00F1D" w:rsidRDefault="00C00F1D" w:rsidP="00260DE9">
      <w:pPr>
        <w:spacing w:after="0" w:line="240" w:lineRule="auto"/>
      </w:pPr>
      <w:r>
        <w:separator/>
      </w:r>
    </w:p>
  </w:endnote>
  <w:endnote w:type="continuationSeparator" w:id="0">
    <w:p w14:paraId="21C01978" w14:textId="77777777" w:rsidR="00C00F1D" w:rsidRDefault="00C00F1D"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F618" w14:textId="77777777" w:rsidR="00C00F1D" w:rsidRDefault="00C00F1D" w:rsidP="00260DE9">
      <w:pPr>
        <w:spacing w:after="0" w:line="240" w:lineRule="auto"/>
      </w:pPr>
      <w:r>
        <w:separator/>
      </w:r>
    </w:p>
  </w:footnote>
  <w:footnote w:type="continuationSeparator" w:id="0">
    <w:p w14:paraId="26ABA509" w14:textId="77777777" w:rsidR="00C00F1D" w:rsidRDefault="00C00F1D"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9A5CFD"/>
    <w:multiLevelType w:val="hybridMultilevel"/>
    <w:tmpl w:val="8946B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013E"/>
    <w:rsid w:val="00052024"/>
    <w:rsid w:val="0005633E"/>
    <w:rsid w:val="000577D6"/>
    <w:rsid w:val="0007198D"/>
    <w:rsid w:val="000830D7"/>
    <w:rsid w:val="000A45F3"/>
    <w:rsid w:val="000C4B96"/>
    <w:rsid w:val="000C7821"/>
    <w:rsid w:val="000D2F3A"/>
    <w:rsid w:val="000D766C"/>
    <w:rsid w:val="000D7C07"/>
    <w:rsid w:val="00112A85"/>
    <w:rsid w:val="0012010F"/>
    <w:rsid w:val="001351AD"/>
    <w:rsid w:val="00142DEE"/>
    <w:rsid w:val="001531C2"/>
    <w:rsid w:val="00154344"/>
    <w:rsid w:val="00160474"/>
    <w:rsid w:val="00160F12"/>
    <w:rsid w:val="00161442"/>
    <w:rsid w:val="0016492E"/>
    <w:rsid w:val="00177D0F"/>
    <w:rsid w:val="001A05E7"/>
    <w:rsid w:val="001B64B0"/>
    <w:rsid w:val="001F3DCD"/>
    <w:rsid w:val="001F5DFA"/>
    <w:rsid w:val="002110B5"/>
    <w:rsid w:val="00260DE9"/>
    <w:rsid w:val="002652D9"/>
    <w:rsid w:val="00294474"/>
    <w:rsid w:val="002A2D1B"/>
    <w:rsid w:val="002A4A73"/>
    <w:rsid w:val="002A6286"/>
    <w:rsid w:val="002B0BCF"/>
    <w:rsid w:val="002B3E1A"/>
    <w:rsid w:val="002B428E"/>
    <w:rsid w:val="002C1B6E"/>
    <w:rsid w:val="002D7DBE"/>
    <w:rsid w:val="002E02C0"/>
    <w:rsid w:val="002E1F38"/>
    <w:rsid w:val="00306D88"/>
    <w:rsid w:val="00327C87"/>
    <w:rsid w:val="003441AC"/>
    <w:rsid w:val="003630CD"/>
    <w:rsid w:val="0037095B"/>
    <w:rsid w:val="0038459A"/>
    <w:rsid w:val="00387766"/>
    <w:rsid w:val="003B417B"/>
    <w:rsid w:val="003C15ED"/>
    <w:rsid w:val="003D6958"/>
    <w:rsid w:val="003E2E9B"/>
    <w:rsid w:val="003F0FE1"/>
    <w:rsid w:val="00400606"/>
    <w:rsid w:val="00412473"/>
    <w:rsid w:val="00422A36"/>
    <w:rsid w:val="00424E79"/>
    <w:rsid w:val="00432903"/>
    <w:rsid w:val="00442862"/>
    <w:rsid w:val="0045212B"/>
    <w:rsid w:val="0046193A"/>
    <w:rsid w:val="0048482F"/>
    <w:rsid w:val="00493426"/>
    <w:rsid w:val="00494CA5"/>
    <w:rsid w:val="004D4671"/>
    <w:rsid w:val="004E421A"/>
    <w:rsid w:val="004F7F58"/>
    <w:rsid w:val="0050254D"/>
    <w:rsid w:val="00520014"/>
    <w:rsid w:val="00534DA1"/>
    <w:rsid w:val="0056258A"/>
    <w:rsid w:val="0057012D"/>
    <w:rsid w:val="00571D6A"/>
    <w:rsid w:val="005758F8"/>
    <w:rsid w:val="00586085"/>
    <w:rsid w:val="00592462"/>
    <w:rsid w:val="00596832"/>
    <w:rsid w:val="005A620B"/>
    <w:rsid w:val="005B34FE"/>
    <w:rsid w:val="005C3BA5"/>
    <w:rsid w:val="005D6775"/>
    <w:rsid w:val="005F19E9"/>
    <w:rsid w:val="005F6902"/>
    <w:rsid w:val="00600AC4"/>
    <w:rsid w:val="00600CFD"/>
    <w:rsid w:val="00601F2D"/>
    <w:rsid w:val="00620D7E"/>
    <w:rsid w:val="00622572"/>
    <w:rsid w:val="00635FF3"/>
    <w:rsid w:val="00637CB9"/>
    <w:rsid w:val="006557DC"/>
    <w:rsid w:val="00657B52"/>
    <w:rsid w:val="0067102D"/>
    <w:rsid w:val="00683091"/>
    <w:rsid w:val="0068770F"/>
    <w:rsid w:val="0069436D"/>
    <w:rsid w:val="006B3A10"/>
    <w:rsid w:val="006C01BE"/>
    <w:rsid w:val="006D1053"/>
    <w:rsid w:val="006E6275"/>
    <w:rsid w:val="006E7278"/>
    <w:rsid w:val="00707104"/>
    <w:rsid w:val="007139CE"/>
    <w:rsid w:val="007257B5"/>
    <w:rsid w:val="00741062"/>
    <w:rsid w:val="00744C87"/>
    <w:rsid w:val="007651A4"/>
    <w:rsid w:val="007677D6"/>
    <w:rsid w:val="007862CF"/>
    <w:rsid w:val="00793BD0"/>
    <w:rsid w:val="007B6E29"/>
    <w:rsid w:val="007D3185"/>
    <w:rsid w:val="00820532"/>
    <w:rsid w:val="0082749D"/>
    <w:rsid w:val="00867008"/>
    <w:rsid w:val="00875007"/>
    <w:rsid w:val="00875D0E"/>
    <w:rsid w:val="0088350D"/>
    <w:rsid w:val="0088505B"/>
    <w:rsid w:val="0089324F"/>
    <w:rsid w:val="00916916"/>
    <w:rsid w:val="009229BB"/>
    <w:rsid w:val="00923C8D"/>
    <w:rsid w:val="00931A86"/>
    <w:rsid w:val="009419F0"/>
    <w:rsid w:val="0097289D"/>
    <w:rsid w:val="0097480E"/>
    <w:rsid w:val="00984DF0"/>
    <w:rsid w:val="0099377F"/>
    <w:rsid w:val="009A3728"/>
    <w:rsid w:val="009A3EBE"/>
    <w:rsid w:val="009A4526"/>
    <w:rsid w:val="009A6479"/>
    <w:rsid w:val="009B2276"/>
    <w:rsid w:val="009B37DF"/>
    <w:rsid w:val="009C6A17"/>
    <w:rsid w:val="009C7130"/>
    <w:rsid w:val="009F3C8C"/>
    <w:rsid w:val="00A00453"/>
    <w:rsid w:val="00A031C1"/>
    <w:rsid w:val="00A12BB9"/>
    <w:rsid w:val="00A30B01"/>
    <w:rsid w:val="00A55AAE"/>
    <w:rsid w:val="00A55AB4"/>
    <w:rsid w:val="00A61F9B"/>
    <w:rsid w:val="00A71026"/>
    <w:rsid w:val="00A820F9"/>
    <w:rsid w:val="00AB01D8"/>
    <w:rsid w:val="00AE087E"/>
    <w:rsid w:val="00AE1F72"/>
    <w:rsid w:val="00AE6B2A"/>
    <w:rsid w:val="00AE71B7"/>
    <w:rsid w:val="00B12A59"/>
    <w:rsid w:val="00B3331C"/>
    <w:rsid w:val="00B33B46"/>
    <w:rsid w:val="00B36421"/>
    <w:rsid w:val="00B4203D"/>
    <w:rsid w:val="00B6421F"/>
    <w:rsid w:val="00B80ECC"/>
    <w:rsid w:val="00BC0DB8"/>
    <w:rsid w:val="00BC2144"/>
    <w:rsid w:val="00BC22E2"/>
    <w:rsid w:val="00BD5A1B"/>
    <w:rsid w:val="00BE4BEC"/>
    <w:rsid w:val="00BE6652"/>
    <w:rsid w:val="00C00F1D"/>
    <w:rsid w:val="00C11931"/>
    <w:rsid w:val="00C12264"/>
    <w:rsid w:val="00C147E3"/>
    <w:rsid w:val="00C20878"/>
    <w:rsid w:val="00C21D13"/>
    <w:rsid w:val="00C412D4"/>
    <w:rsid w:val="00C54007"/>
    <w:rsid w:val="00C65128"/>
    <w:rsid w:val="00C77B54"/>
    <w:rsid w:val="00C8473A"/>
    <w:rsid w:val="00CD2032"/>
    <w:rsid w:val="00CE3B31"/>
    <w:rsid w:val="00CE7889"/>
    <w:rsid w:val="00D14BE8"/>
    <w:rsid w:val="00D16971"/>
    <w:rsid w:val="00D17DB0"/>
    <w:rsid w:val="00D22E81"/>
    <w:rsid w:val="00D26223"/>
    <w:rsid w:val="00D37649"/>
    <w:rsid w:val="00D653E8"/>
    <w:rsid w:val="00D750B6"/>
    <w:rsid w:val="00D8342E"/>
    <w:rsid w:val="00D93E11"/>
    <w:rsid w:val="00DA1474"/>
    <w:rsid w:val="00DC4F7C"/>
    <w:rsid w:val="00DD5A41"/>
    <w:rsid w:val="00DE0FDD"/>
    <w:rsid w:val="00DE4745"/>
    <w:rsid w:val="00E13B28"/>
    <w:rsid w:val="00E20F93"/>
    <w:rsid w:val="00E21202"/>
    <w:rsid w:val="00E31C88"/>
    <w:rsid w:val="00E45F8D"/>
    <w:rsid w:val="00E50D04"/>
    <w:rsid w:val="00E63498"/>
    <w:rsid w:val="00E801DD"/>
    <w:rsid w:val="00E80C14"/>
    <w:rsid w:val="00EB1AC1"/>
    <w:rsid w:val="00ED18E6"/>
    <w:rsid w:val="00ED42A4"/>
    <w:rsid w:val="00EE3387"/>
    <w:rsid w:val="00EF6801"/>
    <w:rsid w:val="00EF6AB9"/>
    <w:rsid w:val="00F056FA"/>
    <w:rsid w:val="00F2704A"/>
    <w:rsid w:val="00F4597F"/>
    <w:rsid w:val="00F66EA8"/>
    <w:rsid w:val="00F70E29"/>
    <w:rsid w:val="00F94CE8"/>
    <w:rsid w:val="00FA495C"/>
    <w:rsid w:val="00FB418C"/>
    <w:rsid w:val="00FC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2022-02-06T16:02:00Z</dcterms:created>
  <dcterms:modified xsi:type="dcterms:W3CDTF">2022-02-06T16:02:00Z</dcterms:modified>
</cp:coreProperties>
</file>