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0FF38889" w:rsidR="00F94CE8" w:rsidRPr="005F19E9" w:rsidRDefault="003C1340" w:rsidP="00C11931">
      <w:pPr>
        <w:pStyle w:val="NoSpacing"/>
        <w:contextualSpacing/>
        <w:mirrorIndents/>
        <w:rPr>
          <w:rFonts w:ascii="Verdana" w:hAnsi="Verdana"/>
          <w:b/>
          <w:bCs/>
          <w:color w:val="FF0000"/>
          <w:sz w:val="20"/>
          <w:szCs w:val="20"/>
        </w:rPr>
      </w:pPr>
      <w:r>
        <w:rPr>
          <w:rFonts w:ascii="Verdana" w:hAnsi="Verdana"/>
          <w:b/>
          <w:bCs/>
          <w:color w:val="FF0000"/>
          <w:sz w:val="20"/>
          <w:szCs w:val="20"/>
        </w:rPr>
        <w:t>Bicycle</w:t>
      </w:r>
      <w:r w:rsidR="005F19E9" w:rsidRPr="005F19E9">
        <w:rPr>
          <w:rFonts w:ascii="Verdana" w:hAnsi="Verdana"/>
          <w:b/>
          <w:bCs/>
          <w:color w:val="FF0000"/>
          <w:sz w:val="20"/>
          <w:szCs w:val="20"/>
        </w:rPr>
        <w:t xml:space="preserve"> Market 2022</w:t>
      </w:r>
    </w:p>
    <w:p w14:paraId="11DB62D2" w14:textId="77777777" w:rsidR="00F94CE8" w:rsidRPr="00B2496C" w:rsidRDefault="00F94CE8" w:rsidP="00B2496C">
      <w:pPr>
        <w:pStyle w:val="NoSpacing"/>
        <w:contextualSpacing/>
        <w:mirrorIndents/>
        <w:rPr>
          <w:rFonts w:ascii="Verdana" w:hAnsi="Verdana"/>
          <w:sz w:val="20"/>
          <w:szCs w:val="20"/>
        </w:rPr>
      </w:pPr>
    </w:p>
    <w:p w14:paraId="5391DA4F" w14:textId="77777777" w:rsidR="00B2496C" w:rsidRPr="002854DD" w:rsidRDefault="00B2496C" w:rsidP="002854DD">
      <w:pPr>
        <w:spacing w:after="0" w:line="240" w:lineRule="auto"/>
        <w:contextualSpacing/>
        <w:mirrorIndents/>
        <w:jc w:val="center"/>
        <w:rPr>
          <w:rFonts w:ascii="Verdana" w:hAnsi="Verdana"/>
          <w:b/>
          <w:bCs/>
          <w:color w:val="0070C0"/>
          <w:sz w:val="20"/>
          <w:szCs w:val="20"/>
        </w:rPr>
      </w:pPr>
      <w:r w:rsidRPr="002854DD">
        <w:rPr>
          <w:rFonts w:ascii="Verdana" w:hAnsi="Verdana"/>
          <w:b/>
          <w:bCs/>
          <w:color w:val="0070C0"/>
          <w:sz w:val="20"/>
          <w:szCs w:val="20"/>
        </w:rPr>
        <w:t>Pedaling Forward Despite Challenges</w:t>
      </w:r>
    </w:p>
    <w:p w14:paraId="1D70F75F" w14:textId="21C1DB23" w:rsidR="00B2496C" w:rsidRPr="00B2496C" w:rsidRDefault="00E56FE6" w:rsidP="00B2496C">
      <w:pPr>
        <w:spacing w:after="0" w:line="240" w:lineRule="auto"/>
        <w:contextualSpacing/>
        <w:mirrorIndents/>
        <w:rPr>
          <w:rFonts w:ascii="Verdana" w:hAnsi="Verdana"/>
          <w:sz w:val="20"/>
          <w:szCs w:val="20"/>
        </w:rPr>
      </w:pPr>
      <w:r>
        <w:rPr>
          <w:rFonts w:ascii="Verdana" w:hAnsi="Verdana"/>
          <w:sz w:val="20"/>
          <w:szCs w:val="20"/>
        </w:rPr>
        <w:t xml:space="preserve"> </w:t>
      </w:r>
    </w:p>
    <w:p w14:paraId="6C894725" w14:textId="569D3633" w:rsidR="00E95444" w:rsidRDefault="00E95444" w:rsidP="00B2496C">
      <w:pPr>
        <w:spacing w:after="0" w:line="240" w:lineRule="auto"/>
        <w:contextualSpacing/>
        <w:mirrorIndents/>
        <w:rPr>
          <w:rFonts w:ascii="Verdana" w:hAnsi="Verdana"/>
          <w:sz w:val="20"/>
          <w:szCs w:val="20"/>
        </w:rPr>
      </w:pPr>
      <w:r>
        <w:rPr>
          <w:rFonts w:ascii="Verdana" w:hAnsi="Verdana"/>
          <w:sz w:val="20"/>
          <w:szCs w:val="20"/>
        </w:rPr>
        <w:t xml:space="preserve">The NPD Group reports total 2021 sales for the US cycling industry </w:t>
      </w:r>
      <w:r w:rsidR="00595E53">
        <w:rPr>
          <w:rFonts w:ascii="Verdana" w:hAnsi="Verdana"/>
          <w:sz w:val="20"/>
          <w:szCs w:val="20"/>
        </w:rPr>
        <w:t>were</w:t>
      </w:r>
      <w:r>
        <w:rPr>
          <w:rFonts w:ascii="Verdana" w:hAnsi="Verdana"/>
          <w:sz w:val="20"/>
          <w:szCs w:val="20"/>
        </w:rPr>
        <w:t xml:space="preserve"> $8.3 billion, a 4% YOY decrease; however, US Bureau of Economic Analysis</w:t>
      </w:r>
      <w:r w:rsidR="002215B3">
        <w:rPr>
          <w:rFonts w:ascii="Verdana" w:hAnsi="Verdana"/>
          <w:sz w:val="20"/>
          <w:szCs w:val="20"/>
        </w:rPr>
        <w:t xml:space="preserve"> (BEA)</w:t>
      </w:r>
      <w:r>
        <w:rPr>
          <w:rFonts w:ascii="Verdana" w:hAnsi="Verdana"/>
          <w:sz w:val="20"/>
          <w:szCs w:val="20"/>
        </w:rPr>
        <w:t xml:space="preserve"> data shows an increase of 21.4% to $9.04 billion in its category</w:t>
      </w:r>
      <w:r w:rsidR="00181941">
        <w:rPr>
          <w:rFonts w:ascii="Verdana" w:hAnsi="Verdana"/>
          <w:sz w:val="20"/>
          <w:szCs w:val="20"/>
        </w:rPr>
        <w:t>,</w:t>
      </w:r>
      <w:r>
        <w:rPr>
          <w:rFonts w:ascii="Verdana" w:hAnsi="Verdana"/>
          <w:sz w:val="20"/>
          <w:szCs w:val="20"/>
        </w:rPr>
        <w:t xml:space="preserve"> “bicycles and accessories.” </w:t>
      </w:r>
    </w:p>
    <w:p w14:paraId="39AF812C" w14:textId="77777777" w:rsidR="00E95444" w:rsidRDefault="00E95444" w:rsidP="00B2496C">
      <w:pPr>
        <w:spacing w:after="0" w:line="240" w:lineRule="auto"/>
        <w:contextualSpacing/>
        <w:mirrorIndents/>
        <w:rPr>
          <w:rFonts w:ascii="Verdana" w:hAnsi="Verdana"/>
          <w:sz w:val="20"/>
          <w:szCs w:val="20"/>
        </w:rPr>
      </w:pPr>
    </w:p>
    <w:p w14:paraId="5DBFEE84" w14:textId="6F4DD143" w:rsidR="002854DD" w:rsidRDefault="00E95444" w:rsidP="00B2496C">
      <w:pPr>
        <w:spacing w:after="0" w:line="240" w:lineRule="auto"/>
        <w:contextualSpacing/>
        <w:mirrorIndents/>
        <w:rPr>
          <w:rFonts w:ascii="Verdana" w:hAnsi="Verdana"/>
          <w:sz w:val="20"/>
          <w:szCs w:val="20"/>
        </w:rPr>
      </w:pPr>
      <w:r>
        <w:rPr>
          <w:rFonts w:ascii="Verdana" w:hAnsi="Verdana"/>
          <w:sz w:val="20"/>
          <w:szCs w:val="20"/>
        </w:rPr>
        <w:t>The two sources a</w:t>
      </w:r>
      <w:r w:rsidR="002215B3">
        <w:rPr>
          <w:rFonts w:ascii="Verdana" w:hAnsi="Verdana"/>
          <w:sz w:val="20"/>
          <w:szCs w:val="20"/>
        </w:rPr>
        <w:t xml:space="preserve">lmost agree when comparing 2021’s total sales to 2019’s. The NPD Group states the increase was 45% while the BEA shows a 43.3% 2YOY increase. </w:t>
      </w:r>
      <w:r>
        <w:rPr>
          <w:rFonts w:ascii="Verdana" w:hAnsi="Verdana"/>
          <w:sz w:val="20"/>
          <w:szCs w:val="20"/>
        </w:rPr>
        <w:t>Accessories may be the difference between the two sources</w:t>
      </w:r>
      <w:r w:rsidR="002215B3">
        <w:rPr>
          <w:rFonts w:ascii="Verdana" w:hAnsi="Verdana"/>
          <w:sz w:val="20"/>
          <w:szCs w:val="20"/>
        </w:rPr>
        <w:t>, especially for 2021 compared to 2020</w:t>
      </w:r>
      <w:r>
        <w:rPr>
          <w:rFonts w:ascii="Verdana" w:hAnsi="Verdana"/>
          <w:sz w:val="20"/>
          <w:szCs w:val="20"/>
        </w:rPr>
        <w:t>.</w:t>
      </w:r>
    </w:p>
    <w:p w14:paraId="2E425932" w14:textId="77777777" w:rsidR="002854DD" w:rsidRDefault="002854DD" w:rsidP="00B2496C">
      <w:pPr>
        <w:spacing w:after="0" w:line="240" w:lineRule="auto"/>
        <w:contextualSpacing/>
        <w:mirrorIndents/>
        <w:rPr>
          <w:rFonts w:ascii="Verdana" w:hAnsi="Verdana"/>
          <w:sz w:val="20"/>
          <w:szCs w:val="20"/>
        </w:rPr>
      </w:pPr>
    </w:p>
    <w:p w14:paraId="2931695A" w14:textId="54409806" w:rsidR="002854DD" w:rsidRDefault="002215B3" w:rsidP="00B2496C">
      <w:pPr>
        <w:spacing w:after="0" w:line="240" w:lineRule="auto"/>
        <w:contextualSpacing/>
        <w:mirrorIndents/>
        <w:rPr>
          <w:rFonts w:ascii="Verdana" w:hAnsi="Verdana"/>
          <w:sz w:val="20"/>
          <w:szCs w:val="20"/>
        </w:rPr>
      </w:pPr>
      <w:r>
        <w:rPr>
          <w:rFonts w:ascii="Verdana" w:hAnsi="Verdana"/>
          <w:sz w:val="20"/>
          <w:szCs w:val="20"/>
        </w:rPr>
        <w:t>The cycling industry has also been impacted by the same supply chain and inventory issues of many other industries, especially since many bicycles are imported. The industry must also prepare for an inventory surge as supply increases more than future demand.</w:t>
      </w:r>
    </w:p>
    <w:p w14:paraId="4D14F2D9" w14:textId="37B5526A" w:rsidR="002215B3" w:rsidRDefault="002215B3" w:rsidP="00B2496C">
      <w:pPr>
        <w:spacing w:after="0" w:line="240" w:lineRule="auto"/>
        <w:contextualSpacing/>
        <w:mirrorIndents/>
        <w:rPr>
          <w:rFonts w:ascii="Verdana" w:hAnsi="Verdana"/>
          <w:sz w:val="20"/>
          <w:szCs w:val="20"/>
        </w:rPr>
      </w:pPr>
    </w:p>
    <w:p w14:paraId="76F729B9" w14:textId="52FF42E1" w:rsidR="00566387" w:rsidRDefault="00566387" w:rsidP="00566387">
      <w:pPr>
        <w:pStyle w:val="Header"/>
        <w:contextualSpacing/>
        <w:jc w:val="center"/>
        <w:rPr>
          <w:rFonts w:ascii="Verdana" w:hAnsi="Verdana"/>
          <w:b/>
          <w:sz w:val="20"/>
          <w:szCs w:val="20"/>
        </w:rPr>
      </w:pPr>
      <w:r>
        <w:rPr>
          <w:rFonts w:ascii="Verdana" w:hAnsi="Verdana"/>
          <w:b/>
          <w:sz w:val="20"/>
          <w:szCs w:val="20"/>
        </w:rPr>
        <w:t xml:space="preserve">Comparison of Personal Consumption Spending for “Bicycles and Accessories,” </w:t>
      </w:r>
    </w:p>
    <w:p w14:paraId="03089413" w14:textId="77777777" w:rsidR="00566387" w:rsidRPr="00CC1ECE" w:rsidRDefault="00566387" w:rsidP="00566387">
      <w:pPr>
        <w:pStyle w:val="Header"/>
        <w:contextualSpacing/>
        <w:jc w:val="center"/>
        <w:rPr>
          <w:rFonts w:ascii="Verdana" w:hAnsi="Verdana"/>
          <w:b/>
          <w:sz w:val="20"/>
          <w:szCs w:val="20"/>
        </w:rPr>
      </w:pPr>
      <w:r>
        <w:rPr>
          <w:rFonts w:ascii="Verdana" w:hAnsi="Verdana"/>
          <w:b/>
          <w:sz w:val="20"/>
          <w:szCs w:val="20"/>
        </w:rPr>
        <w:t>by SAAR* (Seasonally Adjusted Annual Rate) 2021 vs. 2020 and 2019</w:t>
      </w:r>
    </w:p>
    <w:tbl>
      <w:tblPr>
        <w:tblW w:w="10884" w:type="dxa"/>
        <w:jc w:val="center"/>
        <w:tblBorders>
          <w:left w:val="single" w:sz="8" w:space="0" w:color="000000"/>
          <w:right w:val="single" w:sz="8" w:space="0" w:color="000000"/>
        </w:tblBorders>
        <w:tblLayout w:type="fixed"/>
        <w:tblLook w:val="0000" w:firstRow="0" w:lastRow="0" w:firstColumn="0" w:lastColumn="0" w:noHBand="0" w:noVBand="0"/>
      </w:tblPr>
      <w:tblGrid>
        <w:gridCol w:w="1470"/>
        <w:gridCol w:w="1325"/>
        <w:gridCol w:w="1320"/>
        <w:gridCol w:w="1325"/>
        <w:gridCol w:w="1469"/>
        <w:gridCol w:w="1325"/>
        <w:gridCol w:w="1325"/>
        <w:gridCol w:w="1325"/>
      </w:tblGrid>
      <w:tr w:rsidR="00566387" w:rsidRPr="00CC1ECE" w14:paraId="2034ADED" w14:textId="77777777" w:rsidTr="00181941">
        <w:trPr>
          <w:jc w:val="center"/>
        </w:trPr>
        <w:tc>
          <w:tcPr>
            <w:tcW w:w="1470" w:type="dxa"/>
            <w:tcBorders>
              <w:top w:val="single" w:sz="12" w:space="0" w:color="000000"/>
              <w:left w:val="single" w:sz="12" w:space="0" w:color="000000"/>
              <w:bottom w:val="single" w:sz="18" w:space="0" w:color="C0504D" w:themeColor="accent2"/>
              <w:right w:val="single" w:sz="12" w:space="0" w:color="0070C0"/>
            </w:tcBorders>
            <w:vAlign w:val="center"/>
          </w:tcPr>
          <w:p w14:paraId="7B2545BC" w14:textId="77777777" w:rsidR="00566387" w:rsidRPr="00CC1ECE"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325" w:type="dxa"/>
            <w:tcBorders>
              <w:top w:val="single" w:sz="12" w:space="0" w:color="000000"/>
              <w:left w:val="single" w:sz="12" w:space="0" w:color="0070C0"/>
              <w:bottom w:val="single" w:sz="18" w:space="0" w:color="C0504D" w:themeColor="accent2"/>
              <w:right w:val="single" w:sz="8" w:space="0" w:color="0070C0"/>
            </w:tcBorders>
            <w:vAlign w:val="center"/>
          </w:tcPr>
          <w:p w14:paraId="5FF13D46" w14:textId="77777777" w:rsidR="00566387" w:rsidRPr="00CC1ECE"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320" w:type="dxa"/>
            <w:tcBorders>
              <w:top w:val="single" w:sz="12" w:space="0" w:color="000000"/>
              <w:left w:val="single" w:sz="8" w:space="0" w:color="0070C0"/>
              <w:bottom w:val="single" w:sz="18" w:space="0" w:color="C0504D" w:themeColor="accent2"/>
              <w:right w:val="single" w:sz="8" w:space="0" w:color="0070C0"/>
            </w:tcBorders>
            <w:vAlign w:val="center"/>
          </w:tcPr>
          <w:p w14:paraId="44C8A0A3" w14:textId="77777777" w:rsidR="00566387"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325" w:type="dxa"/>
            <w:tcBorders>
              <w:top w:val="single" w:sz="12" w:space="0" w:color="000000"/>
              <w:left w:val="single" w:sz="8" w:space="0" w:color="0070C0"/>
              <w:bottom w:val="single" w:sz="18" w:space="0" w:color="C0504D" w:themeColor="accent2"/>
              <w:right w:val="single" w:sz="18" w:space="0" w:color="0070C0"/>
            </w:tcBorders>
            <w:vAlign w:val="center"/>
          </w:tcPr>
          <w:p w14:paraId="5FC770DE" w14:textId="77777777" w:rsidR="00566387" w:rsidRPr="00CC1ECE"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c>
          <w:tcPr>
            <w:tcW w:w="1469" w:type="dxa"/>
            <w:tcBorders>
              <w:top w:val="single" w:sz="12" w:space="0" w:color="000000"/>
              <w:left w:val="single" w:sz="18" w:space="0" w:color="0070C0"/>
              <w:bottom w:val="single" w:sz="18" w:space="0" w:color="C0504D" w:themeColor="accent2"/>
              <w:right w:val="single" w:sz="12" w:space="0" w:color="0070C0"/>
            </w:tcBorders>
            <w:vAlign w:val="center"/>
          </w:tcPr>
          <w:p w14:paraId="0141E4D2" w14:textId="77777777" w:rsidR="00566387" w:rsidRPr="00CC1ECE"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325" w:type="dxa"/>
            <w:tcBorders>
              <w:top w:val="single" w:sz="12" w:space="0" w:color="000000"/>
              <w:left w:val="single" w:sz="12" w:space="0" w:color="0070C0"/>
              <w:bottom w:val="single" w:sz="18" w:space="0" w:color="C0504D" w:themeColor="accent2"/>
              <w:right w:val="single" w:sz="8" w:space="0" w:color="0070C0"/>
            </w:tcBorders>
            <w:vAlign w:val="center"/>
          </w:tcPr>
          <w:p w14:paraId="57F3FC8B" w14:textId="77777777" w:rsidR="00566387" w:rsidRPr="00CC1ECE"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325" w:type="dxa"/>
            <w:tcBorders>
              <w:top w:val="single" w:sz="12" w:space="0" w:color="000000"/>
              <w:left w:val="single" w:sz="8" w:space="0" w:color="0070C0"/>
              <w:bottom w:val="single" w:sz="18" w:space="0" w:color="C0504D" w:themeColor="accent2"/>
              <w:right w:val="single" w:sz="8" w:space="0" w:color="0070C0"/>
            </w:tcBorders>
            <w:vAlign w:val="center"/>
          </w:tcPr>
          <w:p w14:paraId="462C3970" w14:textId="77777777" w:rsidR="00566387"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325" w:type="dxa"/>
            <w:tcBorders>
              <w:top w:val="single" w:sz="12" w:space="0" w:color="000000"/>
              <w:left w:val="single" w:sz="8" w:space="0" w:color="0070C0"/>
              <w:bottom w:val="single" w:sz="18" w:space="0" w:color="C0504D" w:themeColor="accent2"/>
              <w:right w:val="single" w:sz="12" w:space="0" w:color="000000"/>
            </w:tcBorders>
            <w:vAlign w:val="center"/>
          </w:tcPr>
          <w:p w14:paraId="29A453EF" w14:textId="77777777" w:rsidR="00566387" w:rsidRPr="00CC1ECE" w:rsidRDefault="00566387"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r>
      <w:tr w:rsidR="00566387" w:rsidRPr="00CC1ECE" w14:paraId="0FA7A611" w14:textId="77777777" w:rsidTr="000B2CA0">
        <w:trPr>
          <w:trHeight w:val="243"/>
          <w:jc w:val="center"/>
        </w:trPr>
        <w:tc>
          <w:tcPr>
            <w:tcW w:w="1470"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2001161F" w14:textId="77777777" w:rsidR="00566387" w:rsidRPr="00CC1ECE" w:rsidRDefault="00566387"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Q1</w:t>
            </w:r>
          </w:p>
        </w:tc>
        <w:tc>
          <w:tcPr>
            <w:tcW w:w="1325" w:type="dxa"/>
            <w:tcBorders>
              <w:top w:val="single" w:sz="18" w:space="0" w:color="C0504D" w:themeColor="accent2"/>
              <w:left w:val="single" w:sz="12" w:space="0" w:color="0070C0"/>
              <w:bottom w:val="single" w:sz="4" w:space="0" w:color="auto"/>
              <w:right w:val="single" w:sz="8" w:space="0" w:color="0070C0"/>
            </w:tcBorders>
            <w:shd w:val="clear" w:color="auto" w:fill="auto"/>
            <w:vAlign w:val="center"/>
          </w:tcPr>
          <w:p w14:paraId="64BA5F81" w14:textId="54A1D7B0" w:rsidR="00566387" w:rsidRPr="00CC1ECE"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$8.88 B</w:t>
            </w:r>
          </w:p>
        </w:tc>
        <w:tc>
          <w:tcPr>
            <w:tcW w:w="1320"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5CEEB333" w14:textId="0FAF12E4" w:rsidR="00566387"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+38.2%</w:t>
            </w:r>
          </w:p>
        </w:tc>
        <w:tc>
          <w:tcPr>
            <w:tcW w:w="1325"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4C5D957A" w14:textId="45A93E30" w:rsidR="00566387" w:rsidRPr="00CC1ECE"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+45.8%</w:t>
            </w:r>
          </w:p>
        </w:tc>
        <w:tc>
          <w:tcPr>
            <w:tcW w:w="1469"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3D3C3D04" w14:textId="77777777" w:rsidR="00566387" w:rsidRPr="00CC1ECE" w:rsidRDefault="00566387"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Q3</w:t>
            </w:r>
          </w:p>
        </w:tc>
        <w:tc>
          <w:tcPr>
            <w:tcW w:w="1325" w:type="dxa"/>
            <w:tcBorders>
              <w:top w:val="single" w:sz="18" w:space="0" w:color="C0504D" w:themeColor="accent2"/>
              <w:left w:val="single" w:sz="12" w:space="0" w:color="0070C0"/>
              <w:bottom w:val="single" w:sz="4" w:space="0" w:color="000000"/>
              <w:right w:val="single" w:sz="8" w:space="0" w:color="0070C0"/>
            </w:tcBorders>
            <w:shd w:val="clear" w:color="auto" w:fill="auto"/>
            <w:vAlign w:val="center"/>
          </w:tcPr>
          <w:p w14:paraId="4AFD982C" w14:textId="64BB6628" w:rsidR="00566387" w:rsidRPr="00CC1ECE" w:rsidRDefault="00C96374"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$8.91 B</w:t>
            </w:r>
          </w:p>
        </w:tc>
        <w:tc>
          <w:tcPr>
            <w:tcW w:w="1325"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7DC3A207" w14:textId="486BFC92" w:rsidR="00566387"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r w:rsidR="00C96374">
              <w:rPr>
                <w:rFonts w:ascii="Verdana" w:eastAsia="Times New Roman" w:hAnsi="Verdana"/>
                <w:sz w:val="20"/>
                <w:szCs w:val="20"/>
              </w:rPr>
              <w:t>5</w:t>
            </w:r>
            <w:r>
              <w:rPr>
                <w:rFonts w:ascii="Verdana" w:eastAsia="Times New Roman" w:hAnsi="Verdana"/>
                <w:sz w:val="20"/>
                <w:szCs w:val="20"/>
              </w:rPr>
              <w:t>%</w:t>
            </w:r>
          </w:p>
        </w:tc>
        <w:tc>
          <w:tcPr>
            <w:tcW w:w="1325" w:type="dxa"/>
            <w:tcBorders>
              <w:top w:val="single" w:sz="18" w:space="0" w:color="C0504D" w:themeColor="accent2"/>
              <w:left w:val="single" w:sz="8" w:space="0" w:color="0070C0"/>
              <w:bottom w:val="single" w:sz="4" w:space="0" w:color="000000"/>
              <w:right w:val="single" w:sz="12" w:space="0" w:color="000000"/>
            </w:tcBorders>
            <w:shd w:val="clear" w:color="auto" w:fill="92D050"/>
            <w:vAlign w:val="center"/>
          </w:tcPr>
          <w:p w14:paraId="552BE2C6" w14:textId="2916F426" w:rsidR="00566387" w:rsidRPr="00CC1ECE" w:rsidRDefault="00C96374"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+38.8%</w:t>
            </w:r>
          </w:p>
        </w:tc>
      </w:tr>
      <w:tr w:rsidR="00566387" w:rsidRPr="00CC1ECE" w14:paraId="2C2A67E1" w14:textId="77777777" w:rsidTr="000B2CA0">
        <w:trPr>
          <w:trHeight w:val="54"/>
          <w:jc w:val="center"/>
        </w:trPr>
        <w:tc>
          <w:tcPr>
            <w:tcW w:w="1470" w:type="dxa"/>
            <w:tcBorders>
              <w:top w:val="single" w:sz="4" w:space="0" w:color="000000"/>
              <w:left w:val="single" w:sz="12" w:space="0" w:color="000000"/>
              <w:bottom w:val="single" w:sz="4" w:space="0" w:color="000000"/>
              <w:right w:val="single" w:sz="12" w:space="0" w:color="0070C0"/>
            </w:tcBorders>
            <w:shd w:val="clear" w:color="auto" w:fill="auto"/>
            <w:vAlign w:val="center"/>
          </w:tcPr>
          <w:p w14:paraId="2D9A8F60" w14:textId="77777777" w:rsidR="00566387" w:rsidRPr="00CC1ECE" w:rsidRDefault="00566387"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Q2</w:t>
            </w:r>
          </w:p>
        </w:tc>
        <w:tc>
          <w:tcPr>
            <w:tcW w:w="1325"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1D7B2E5E" w14:textId="5784404C" w:rsidR="00566387" w:rsidRPr="00CC1ECE" w:rsidRDefault="00065251"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$9.30 B</w:t>
            </w:r>
          </w:p>
        </w:tc>
        <w:tc>
          <w:tcPr>
            <w:tcW w:w="132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19AE937C" w14:textId="7F2F6D4C" w:rsidR="00566387" w:rsidRDefault="00065251"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+26.3%</w:t>
            </w:r>
          </w:p>
        </w:tc>
        <w:tc>
          <w:tcPr>
            <w:tcW w:w="1325" w:type="dxa"/>
            <w:tcBorders>
              <w:top w:val="single" w:sz="4" w:space="0" w:color="000000"/>
              <w:left w:val="single" w:sz="8" w:space="0" w:color="0070C0"/>
              <w:bottom w:val="single" w:sz="4" w:space="0" w:color="000000"/>
              <w:right w:val="single" w:sz="18" w:space="0" w:color="0070C0"/>
            </w:tcBorders>
            <w:shd w:val="clear" w:color="auto" w:fill="00B050"/>
            <w:vAlign w:val="center"/>
          </w:tcPr>
          <w:p w14:paraId="595CAC86" w14:textId="21FE721A" w:rsidR="00566387" w:rsidRPr="00CC1ECE" w:rsidRDefault="00065251"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w:t>
            </w:r>
            <w:r w:rsidR="00C96374">
              <w:rPr>
                <w:rFonts w:ascii="Verdana" w:eastAsia="Times New Roman" w:hAnsi="Verdana"/>
                <w:sz w:val="20"/>
                <w:szCs w:val="20"/>
              </w:rPr>
              <w:t>9</w:t>
            </w:r>
            <w:r>
              <w:rPr>
                <w:rFonts w:ascii="Verdana" w:eastAsia="Times New Roman" w:hAnsi="Verdana"/>
                <w:sz w:val="20"/>
                <w:szCs w:val="20"/>
              </w:rPr>
              <w:t>%</w:t>
            </w:r>
          </w:p>
        </w:tc>
        <w:tc>
          <w:tcPr>
            <w:tcW w:w="1469"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53537E86" w14:textId="77777777" w:rsidR="00566387" w:rsidRPr="00CC1ECE" w:rsidRDefault="00566387"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Q4</w:t>
            </w:r>
          </w:p>
        </w:tc>
        <w:tc>
          <w:tcPr>
            <w:tcW w:w="1325" w:type="dxa"/>
            <w:tcBorders>
              <w:top w:val="single" w:sz="4" w:space="0" w:color="000000"/>
              <w:left w:val="single" w:sz="12" w:space="0" w:color="0070C0"/>
              <w:bottom w:val="single" w:sz="4" w:space="0" w:color="000000"/>
              <w:right w:val="single" w:sz="8" w:space="0" w:color="0070C0"/>
            </w:tcBorders>
            <w:shd w:val="clear" w:color="auto" w:fill="auto"/>
            <w:vAlign w:val="center"/>
          </w:tcPr>
          <w:p w14:paraId="4529BF75" w14:textId="29E3B1ED" w:rsidR="00566387" w:rsidRPr="00CC1ECE" w:rsidRDefault="00C96374"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$9.06 B</w:t>
            </w:r>
          </w:p>
        </w:tc>
        <w:tc>
          <w:tcPr>
            <w:tcW w:w="1325" w:type="dxa"/>
            <w:tcBorders>
              <w:top w:val="single" w:sz="4" w:space="0" w:color="000000"/>
              <w:left w:val="single" w:sz="8" w:space="0" w:color="0070C0"/>
              <w:bottom w:val="single" w:sz="4" w:space="0" w:color="000000"/>
              <w:right w:val="single" w:sz="8" w:space="0" w:color="0070C0"/>
            </w:tcBorders>
            <w:shd w:val="clear" w:color="auto" w:fill="D6E3BC" w:themeFill="accent3" w:themeFillTint="66"/>
            <w:vAlign w:val="center"/>
          </w:tcPr>
          <w:p w14:paraId="6DA2D11B" w14:textId="52399F26" w:rsidR="00566387" w:rsidRDefault="00C96374"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+14.2%</w:t>
            </w:r>
          </w:p>
        </w:tc>
        <w:tc>
          <w:tcPr>
            <w:tcW w:w="1325"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1A3CDE57" w14:textId="76F61644" w:rsidR="00566387" w:rsidRPr="00CC1ECE" w:rsidRDefault="00C96374"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+42.3%</w:t>
            </w:r>
          </w:p>
        </w:tc>
      </w:tr>
      <w:tr w:rsidR="00566387" w:rsidRPr="00CC1ECE" w14:paraId="1A56EC62" w14:textId="77777777" w:rsidTr="000B2CA0">
        <w:trPr>
          <w:trHeight w:val="54"/>
          <w:jc w:val="center"/>
        </w:trPr>
        <w:tc>
          <w:tcPr>
            <w:tcW w:w="1470"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71DFE605" w14:textId="77777777" w:rsidR="00566387" w:rsidRDefault="00566387"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1H average</w:t>
            </w:r>
          </w:p>
        </w:tc>
        <w:tc>
          <w:tcPr>
            <w:tcW w:w="1325" w:type="dxa"/>
            <w:tcBorders>
              <w:top w:val="single" w:sz="4" w:space="0" w:color="000000"/>
              <w:left w:val="single" w:sz="12" w:space="0" w:color="0070C0"/>
              <w:bottom w:val="single" w:sz="12" w:space="0" w:color="000000"/>
              <w:right w:val="single" w:sz="8" w:space="0" w:color="0070C0"/>
            </w:tcBorders>
            <w:shd w:val="clear" w:color="auto" w:fill="auto"/>
            <w:vAlign w:val="center"/>
          </w:tcPr>
          <w:p w14:paraId="3588525E" w14:textId="6AB64BB7" w:rsidR="00566387" w:rsidRDefault="00065251"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$9.09 B</w:t>
            </w:r>
          </w:p>
        </w:tc>
        <w:tc>
          <w:tcPr>
            <w:tcW w:w="1320"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49CCA010" w14:textId="5AC73856" w:rsidR="00566387"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065251">
              <w:rPr>
                <w:rFonts w:ascii="Verdana" w:eastAsia="Times New Roman" w:hAnsi="Verdana"/>
                <w:sz w:val="20"/>
                <w:szCs w:val="20"/>
              </w:rPr>
              <w:t>31.9</w:t>
            </w:r>
            <w:r>
              <w:rPr>
                <w:rFonts w:ascii="Verdana" w:eastAsia="Times New Roman" w:hAnsi="Verdana"/>
                <w:sz w:val="20"/>
                <w:szCs w:val="20"/>
              </w:rPr>
              <w:t>%</w:t>
            </w:r>
          </w:p>
        </w:tc>
        <w:tc>
          <w:tcPr>
            <w:tcW w:w="1325" w:type="dxa"/>
            <w:tcBorders>
              <w:top w:val="single" w:sz="4" w:space="0" w:color="000000"/>
              <w:left w:val="single" w:sz="8" w:space="0" w:color="0070C0"/>
              <w:bottom w:val="single" w:sz="12" w:space="0" w:color="000000"/>
              <w:right w:val="single" w:sz="18" w:space="0" w:color="0070C0"/>
            </w:tcBorders>
            <w:shd w:val="clear" w:color="auto" w:fill="00B050"/>
            <w:vAlign w:val="center"/>
          </w:tcPr>
          <w:p w14:paraId="4A255D54" w14:textId="69CA2652" w:rsidR="00566387"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w:t>
            </w:r>
            <w:r w:rsidR="00065251">
              <w:rPr>
                <w:rFonts w:ascii="Verdana" w:eastAsia="Times New Roman" w:hAnsi="Verdana"/>
                <w:sz w:val="20"/>
                <w:szCs w:val="20"/>
              </w:rPr>
              <w:t>6</w:t>
            </w:r>
            <w:r>
              <w:rPr>
                <w:rFonts w:ascii="Verdana" w:eastAsia="Times New Roman" w:hAnsi="Verdana"/>
                <w:sz w:val="20"/>
                <w:szCs w:val="20"/>
              </w:rPr>
              <w:t>.4%</w:t>
            </w:r>
          </w:p>
        </w:tc>
        <w:tc>
          <w:tcPr>
            <w:tcW w:w="1469"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167A3F5A" w14:textId="77777777" w:rsidR="00566387" w:rsidRPr="00CC1ECE" w:rsidRDefault="00566387"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2H average</w:t>
            </w:r>
          </w:p>
        </w:tc>
        <w:tc>
          <w:tcPr>
            <w:tcW w:w="1325" w:type="dxa"/>
            <w:tcBorders>
              <w:top w:val="single" w:sz="4" w:space="0" w:color="000000"/>
              <w:left w:val="single" w:sz="12" w:space="0" w:color="0070C0"/>
              <w:bottom w:val="single" w:sz="12" w:space="0" w:color="000000"/>
              <w:right w:val="single" w:sz="8" w:space="0" w:color="0070C0"/>
            </w:tcBorders>
            <w:shd w:val="clear" w:color="auto" w:fill="auto"/>
            <w:vAlign w:val="center"/>
          </w:tcPr>
          <w:p w14:paraId="6ADD1F62" w14:textId="747AD1C9" w:rsidR="00566387" w:rsidRPr="00CC1ECE" w:rsidRDefault="00C96374"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$8.99 B</w:t>
            </w:r>
          </w:p>
        </w:tc>
        <w:tc>
          <w:tcPr>
            <w:tcW w:w="1325" w:type="dxa"/>
            <w:tcBorders>
              <w:top w:val="single" w:sz="4" w:space="0" w:color="000000"/>
              <w:left w:val="single" w:sz="8" w:space="0" w:color="0070C0"/>
              <w:bottom w:val="single" w:sz="12" w:space="0" w:color="000000"/>
              <w:right w:val="single" w:sz="8" w:space="0" w:color="0070C0"/>
            </w:tcBorders>
            <w:shd w:val="clear" w:color="auto" w:fill="D6E3BC" w:themeFill="accent3" w:themeFillTint="66"/>
            <w:vAlign w:val="center"/>
          </w:tcPr>
          <w:p w14:paraId="4009DB94" w14:textId="09E22670" w:rsidR="00566387"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C96374">
              <w:rPr>
                <w:rFonts w:ascii="Verdana" w:eastAsia="Times New Roman" w:hAnsi="Verdana"/>
                <w:sz w:val="20"/>
                <w:szCs w:val="20"/>
              </w:rPr>
              <w:t>2</w:t>
            </w:r>
            <w:r>
              <w:rPr>
                <w:rFonts w:ascii="Verdana" w:eastAsia="Times New Roman" w:hAnsi="Verdana"/>
                <w:sz w:val="20"/>
                <w:szCs w:val="20"/>
              </w:rPr>
              <w:t>.</w:t>
            </w:r>
            <w:r w:rsidR="00C96374">
              <w:rPr>
                <w:rFonts w:ascii="Verdana" w:eastAsia="Times New Roman" w:hAnsi="Verdana"/>
                <w:sz w:val="20"/>
                <w:szCs w:val="20"/>
              </w:rPr>
              <w:t>4</w:t>
            </w:r>
            <w:r>
              <w:rPr>
                <w:rFonts w:ascii="Verdana" w:eastAsia="Times New Roman" w:hAnsi="Verdana"/>
                <w:sz w:val="20"/>
                <w:szCs w:val="20"/>
              </w:rPr>
              <w:t>%</w:t>
            </w:r>
          </w:p>
        </w:tc>
        <w:tc>
          <w:tcPr>
            <w:tcW w:w="1325" w:type="dxa"/>
            <w:tcBorders>
              <w:top w:val="single" w:sz="4" w:space="0" w:color="000000"/>
              <w:left w:val="single" w:sz="8" w:space="0" w:color="0070C0"/>
              <w:bottom w:val="single" w:sz="12" w:space="0" w:color="000000"/>
              <w:right w:val="single" w:sz="12" w:space="0" w:color="000000"/>
            </w:tcBorders>
            <w:shd w:val="clear" w:color="auto" w:fill="00B050"/>
            <w:vAlign w:val="center"/>
          </w:tcPr>
          <w:p w14:paraId="553982AC" w14:textId="615E8329" w:rsidR="00566387" w:rsidRPr="00CC1ECE" w:rsidRDefault="00566387"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0B2CA0">
              <w:rPr>
                <w:rFonts w:ascii="Verdana" w:eastAsia="Times New Roman" w:hAnsi="Verdana"/>
                <w:sz w:val="20"/>
                <w:szCs w:val="20"/>
              </w:rPr>
              <w:t>40</w:t>
            </w:r>
            <w:r>
              <w:rPr>
                <w:rFonts w:ascii="Verdana" w:eastAsia="Times New Roman" w:hAnsi="Verdana"/>
                <w:sz w:val="20"/>
                <w:szCs w:val="20"/>
              </w:rPr>
              <w:t>.</w:t>
            </w:r>
            <w:r w:rsidR="000B2CA0">
              <w:rPr>
                <w:rFonts w:ascii="Verdana" w:eastAsia="Times New Roman" w:hAnsi="Verdana"/>
                <w:sz w:val="20"/>
                <w:szCs w:val="20"/>
              </w:rPr>
              <w:t>2</w:t>
            </w:r>
            <w:r>
              <w:rPr>
                <w:rFonts w:ascii="Verdana" w:eastAsia="Times New Roman" w:hAnsi="Verdana"/>
                <w:sz w:val="20"/>
                <w:szCs w:val="20"/>
              </w:rPr>
              <w:t>%</w:t>
            </w:r>
          </w:p>
        </w:tc>
      </w:tr>
    </w:tbl>
    <w:p w14:paraId="13B734A9" w14:textId="77777777" w:rsidR="00566387" w:rsidRDefault="00566387" w:rsidP="00566387">
      <w:pPr>
        <w:spacing w:after="0" w:line="240" w:lineRule="auto"/>
        <w:ind w:hanging="720"/>
        <w:contextualSpacing/>
        <w:mirrorIndents/>
        <w:rPr>
          <w:rFonts w:ascii="Verdana" w:hAnsi="Verdana"/>
          <w:sz w:val="20"/>
          <w:szCs w:val="20"/>
        </w:rPr>
      </w:pPr>
      <w:r>
        <w:rPr>
          <w:rFonts w:ascii="Verdana" w:hAnsi="Verdana"/>
          <w:sz w:val="16"/>
          <w:szCs w:val="16"/>
        </w:rPr>
        <w:t>Bureau of Economic Analysis</w:t>
      </w:r>
      <w:r w:rsidRPr="00CC1ECE">
        <w:rPr>
          <w:rFonts w:ascii="Verdana" w:hAnsi="Verdana"/>
          <w:sz w:val="16"/>
          <w:szCs w:val="16"/>
        </w:rPr>
        <w:t xml:space="preserve">, </w:t>
      </w:r>
      <w:r>
        <w:rPr>
          <w:rFonts w:ascii="Verdana" w:hAnsi="Verdana"/>
          <w:sz w:val="16"/>
          <w:szCs w:val="16"/>
        </w:rPr>
        <w:t>March 2022</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*not period’s sales total</w:t>
      </w:r>
    </w:p>
    <w:p w14:paraId="01157E81" w14:textId="77777777" w:rsidR="002854DD" w:rsidRDefault="002854DD" w:rsidP="00B2496C">
      <w:pPr>
        <w:spacing w:after="0" w:line="240" w:lineRule="auto"/>
        <w:contextualSpacing/>
        <w:mirrorIndents/>
        <w:rPr>
          <w:rFonts w:ascii="Verdana" w:hAnsi="Verdana"/>
          <w:sz w:val="20"/>
          <w:szCs w:val="20"/>
        </w:rPr>
      </w:pPr>
    </w:p>
    <w:p w14:paraId="11CEB5DB" w14:textId="67A35C36" w:rsidR="00B2496C" w:rsidRPr="00D271C5" w:rsidRDefault="00B2496C" w:rsidP="00D271C5">
      <w:pPr>
        <w:spacing w:after="0" w:line="240" w:lineRule="auto"/>
        <w:contextualSpacing/>
        <w:mirrorIndents/>
        <w:jc w:val="center"/>
        <w:rPr>
          <w:rFonts w:ascii="Verdana" w:hAnsi="Verdana"/>
          <w:b/>
          <w:bCs/>
          <w:color w:val="0070C0"/>
          <w:sz w:val="20"/>
          <w:szCs w:val="20"/>
        </w:rPr>
      </w:pPr>
      <w:r w:rsidRPr="00D271C5">
        <w:rPr>
          <w:rFonts w:ascii="Verdana" w:hAnsi="Verdana"/>
          <w:b/>
          <w:bCs/>
          <w:color w:val="0070C0"/>
          <w:sz w:val="20"/>
          <w:szCs w:val="20"/>
        </w:rPr>
        <w:t>More Market Insights</w:t>
      </w:r>
    </w:p>
    <w:p w14:paraId="42234AD4" w14:textId="77777777" w:rsidR="00B2496C" w:rsidRPr="00B2496C" w:rsidRDefault="00B2496C" w:rsidP="00B2496C">
      <w:pPr>
        <w:spacing w:after="0" w:line="240" w:lineRule="auto"/>
        <w:contextualSpacing/>
        <w:mirrorIndents/>
        <w:rPr>
          <w:rFonts w:ascii="Verdana" w:hAnsi="Verdana"/>
          <w:sz w:val="20"/>
          <w:szCs w:val="20"/>
        </w:rPr>
      </w:pPr>
    </w:p>
    <w:p w14:paraId="56791BDE" w14:textId="70F88B42" w:rsidR="00D271C5" w:rsidRDefault="00D271C5" w:rsidP="00B2496C">
      <w:pPr>
        <w:spacing w:after="0" w:line="240" w:lineRule="auto"/>
        <w:contextualSpacing/>
        <w:mirrorIndents/>
        <w:rPr>
          <w:rFonts w:ascii="Verdana" w:hAnsi="Verdana"/>
          <w:sz w:val="20"/>
          <w:szCs w:val="20"/>
        </w:rPr>
      </w:pPr>
      <w:r>
        <w:rPr>
          <w:rFonts w:ascii="Verdana" w:hAnsi="Verdana"/>
          <w:sz w:val="20"/>
          <w:szCs w:val="20"/>
        </w:rPr>
        <w:t>Electric (e-bike) bicycle sales increased 39% YOY during 2021, while sales for road bikes and the larger product sectors, mountain bikes and children’s bikes, decreased. The lack of inventory of these other products was a primary factor driving the purchase of e-bikes.</w:t>
      </w:r>
    </w:p>
    <w:p w14:paraId="0A0346DC" w14:textId="3AC21E58" w:rsidR="00D271C5" w:rsidRDefault="00D271C5" w:rsidP="00B2496C">
      <w:pPr>
        <w:spacing w:after="0" w:line="240" w:lineRule="auto"/>
        <w:contextualSpacing/>
        <w:mirrorIndents/>
        <w:rPr>
          <w:rFonts w:ascii="Verdana" w:hAnsi="Verdana"/>
          <w:sz w:val="20"/>
          <w:szCs w:val="20"/>
        </w:rPr>
      </w:pPr>
    </w:p>
    <w:p w14:paraId="4412E731" w14:textId="6838AFC9" w:rsidR="00D271C5" w:rsidRDefault="006E1A2D" w:rsidP="00B2496C">
      <w:pPr>
        <w:spacing w:after="0" w:line="240" w:lineRule="auto"/>
        <w:contextualSpacing/>
        <w:mirrorIndents/>
        <w:rPr>
          <w:rFonts w:ascii="Verdana" w:hAnsi="Verdana"/>
          <w:sz w:val="20"/>
          <w:szCs w:val="20"/>
        </w:rPr>
      </w:pPr>
      <w:r>
        <w:rPr>
          <w:rFonts w:ascii="Verdana" w:hAnsi="Verdana"/>
          <w:sz w:val="20"/>
          <w:szCs w:val="20"/>
        </w:rPr>
        <w:t>Surprisingly, bicycle dealers did not suffer from significant permanent closures as many as other retailers. The latest dealer count</w:t>
      </w:r>
      <w:r w:rsidR="00181941">
        <w:rPr>
          <w:rFonts w:ascii="Verdana" w:hAnsi="Verdana"/>
          <w:sz w:val="20"/>
          <w:szCs w:val="20"/>
        </w:rPr>
        <w:t xml:space="preserve"> (March 2022)</w:t>
      </w:r>
      <w:r>
        <w:rPr>
          <w:rFonts w:ascii="Verdana" w:hAnsi="Verdana"/>
          <w:sz w:val="20"/>
          <w:szCs w:val="20"/>
        </w:rPr>
        <w:t xml:space="preserve"> from Georger Data Services revealed the 6,857 US dealers w</w:t>
      </w:r>
      <w:r w:rsidR="00FB6C11">
        <w:rPr>
          <w:rFonts w:ascii="Verdana" w:hAnsi="Verdana"/>
          <w:sz w:val="20"/>
          <w:szCs w:val="20"/>
        </w:rPr>
        <w:t>ere</w:t>
      </w:r>
      <w:r>
        <w:rPr>
          <w:rFonts w:ascii="Verdana" w:hAnsi="Verdana"/>
          <w:sz w:val="20"/>
          <w:szCs w:val="20"/>
        </w:rPr>
        <w:t xml:space="preserve"> only 219 fewer than March 2021 and 56 fewer than March 2020.</w:t>
      </w:r>
    </w:p>
    <w:p w14:paraId="464B46BB" w14:textId="77777777" w:rsidR="00D271C5" w:rsidRDefault="00D271C5" w:rsidP="00B2496C">
      <w:pPr>
        <w:spacing w:after="0" w:line="240" w:lineRule="auto"/>
        <w:contextualSpacing/>
        <w:mirrorIndents/>
        <w:rPr>
          <w:rFonts w:ascii="Verdana" w:hAnsi="Verdana"/>
          <w:sz w:val="20"/>
          <w:szCs w:val="20"/>
        </w:rPr>
      </w:pPr>
    </w:p>
    <w:p w14:paraId="052DD5E7" w14:textId="2EA1D717" w:rsidR="00D271C5" w:rsidRDefault="00527C78" w:rsidP="00B2496C">
      <w:pPr>
        <w:spacing w:after="0" w:line="240" w:lineRule="auto"/>
        <w:contextualSpacing/>
        <w:mirrorIndents/>
        <w:rPr>
          <w:rFonts w:ascii="Verdana" w:hAnsi="Verdana"/>
          <w:sz w:val="20"/>
          <w:szCs w:val="20"/>
        </w:rPr>
      </w:pPr>
      <w:r>
        <w:rPr>
          <w:rFonts w:ascii="Verdana" w:hAnsi="Verdana"/>
          <w:sz w:val="20"/>
          <w:szCs w:val="20"/>
        </w:rPr>
        <w:t>As with many products manufactured globally, the bicycle market’s supply-chain/inventory challenges are a result of most bikes purchased in the US</w:t>
      </w:r>
      <w:r w:rsidR="00021D50">
        <w:rPr>
          <w:rFonts w:ascii="Verdana" w:hAnsi="Verdana"/>
          <w:sz w:val="20"/>
          <w:szCs w:val="20"/>
        </w:rPr>
        <w:t xml:space="preserve"> being</w:t>
      </w:r>
      <w:r>
        <w:rPr>
          <w:rFonts w:ascii="Verdana" w:hAnsi="Verdana"/>
          <w:sz w:val="20"/>
          <w:szCs w:val="20"/>
        </w:rPr>
        <w:t xml:space="preserve"> imported. During 2021, $1.96 billion (custom value) of bikes </w:t>
      </w:r>
      <w:r w:rsidR="00021D50">
        <w:rPr>
          <w:rFonts w:ascii="Verdana" w:hAnsi="Verdana"/>
          <w:sz w:val="20"/>
          <w:szCs w:val="20"/>
        </w:rPr>
        <w:t xml:space="preserve">were </w:t>
      </w:r>
      <w:r>
        <w:rPr>
          <w:rFonts w:ascii="Verdana" w:hAnsi="Verdana"/>
          <w:sz w:val="20"/>
          <w:szCs w:val="20"/>
        </w:rPr>
        <w:t>imported, a 40% increase from 2020.</w:t>
      </w:r>
    </w:p>
    <w:p w14:paraId="7BB99207" w14:textId="19241540" w:rsidR="00527C78" w:rsidRDefault="00527C78" w:rsidP="00B2496C">
      <w:pPr>
        <w:spacing w:after="0" w:line="240" w:lineRule="auto"/>
        <w:contextualSpacing/>
        <w:mirrorIndents/>
        <w:rPr>
          <w:rFonts w:ascii="Verdana" w:hAnsi="Verdana"/>
          <w:sz w:val="20"/>
          <w:szCs w:val="20"/>
        </w:rPr>
      </w:pPr>
    </w:p>
    <w:p w14:paraId="29EADC74" w14:textId="3D4F5F6D" w:rsidR="00D65DF6" w:rsidRPr="007F1120" w:rsidRDefault="00397800" w:rsidP="00D65DF6">
      <w:pPr>
        <w:pStyle w:val="Header"/>
        <w:contextualSpacing/>
        <w:jc w:val="center"/>
        <w:rPr>
          <w:b/>
          <w:sz w:val="20"/>
          <w:szCs w:val="20"/>
        </w:rPr>
      </w:pPr>
      <w:r>
        <w:rPr>
          <w:b/>
          <w:sz w:val="20"/>
          <w:szCs w:val="20"/>
        </w:rPr>
        <w:t>The Top 5 Bicycle-Friendly States and the Numbers of Their Bicycle-Friendly Communities, Businesses and Universities</w:t>
      </w:r>
      <w:r w:rsidR="00D65DF6" w:rsidRPr="007F1120">
        <w:rPr>
          <w:rFonts w:ascii="Verdana" w:hAnsi="Verdana"/>
          <w:b/>
          <w:sz w:val="20"/>
          <w:szCs w:val="20"/>
        </w:rPr>
        <w:t>,</w:t>
      </w:r>
      <w:r w:rsidR="00D65DF6" w:rsidRPr="007F1120">
        <w:rPr>
          <w:b/>
          <w:sz w:val="20"/>
          <w:szCs w:val="20"/>
        </w:rPr>
        <w:t xml:space="preserve"> </w:t>
      </w:r>
      <w:r>
        <w:rPr>
          <w:b/>
          <w:sz w:val="20"/>
          <w:szCs w:val="20"/>
        </w:rPr>
        <w:t>February 2021</w:t>
      </w:r>
      <w:r w:rsidR="00D65DF6">
        <w:rPr>
          <w:rFonts w:ascii="Verdana" w:hAnsi="Verdana"/>
          <w:b/>
          <w:noProof/>
          <w:sz w:val="20"/>
          <w:szCs w:val="20"/>
        </w:rPr>
        <w:t>–</w:t>
      </w:r>
      <w:r>
        <w:rPr>
          <w:rFonts w:ascii="Verdana" w:hAnsi="Verdana"/>
          <w:b/>
          <w:noProof/>
          <w:sz w:val="20"/>
          <w:szCs w:val="20"/>
        </w:rPr>
        <w:t>January 2022</w:t>
      </w:r>
    </w:p>
    <w:tbl>
      <w:tblPr>
        <w:tblW w:w="7019" w:type="dxa"/>
        <w:jc w:val="center"/>
        <w:tblBorders>
          <w:left w:val="single" w:sz="8" w:space="0" w:color="000000"/>
          <w:right w:val="single" w:sz="8" w:space="0" w:color="000000"/>
        </w:tblBorders>
        <w:tblLayout w:type="fixed"/>
        <w:tblLook w:val="0000" w:firstRow="0" w:lastRow="0" w:firstColumn="0" w:lastColumn="0" w:noHBand="0" w:noVBand="0"/>
      </w:tblPr>
      <w:tblGrid>
        <w:gridCol w:w="2145"/>
        <w:gridCol w:w="1620"/>
        <w:gridCol w:w="1627"/>
        <w:gridCol w:w="1627"/>
      </w:tblGrid>
      <w:tr w:rsidR="00397800" w:rsidRPr="007F1120" w14:paraId="47A6CD44" w14:textId="77777777" w:rsidTr="00181941">
        <w:trPr>
          <w:jc w:val="center"/>
        </w:trPr>
        <w:tc>
          <w:tcPr>
            <w:tcW w:w="214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321810E7" w14:textId="71DED347" w:rsidR="00397800" w:rsidRPr="007F1120" w:rsidRDefault="00397800"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State</w:t>
            </w:r>
          </w:p>
        </w:tc>
        <w:tc>
          <w:tcPr>
            <w:tcW w:w="1620"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604D41B0" w14:textId="1F8840C5" w:rsidR="00397800" w:rsidRPr="007F1120" w:rsidRDefault="00397800"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Communities</w:t>
            </w:r>
          </w:p>
        </w:tc>
        <w:tc>
          <w:tcPr>
            <w:tcW w:w="1627" w:type="dxa"/>
            <w:tcBorders>
              <w:top w:val="single" w:sz="12" w:space="0" w:color="000000"/>
              <w:left w:val="single" w:sz="8" w:space="0" w:color="0070C0"/>
              <w:bottom w:val="single" w:sz="18" w:space="0" w:color="C0504D" w:themeColor="accent2"/>
              <w:right w:val="single" w:sz="8" w:space="0" w:color="0070C0"/>
            </w:tcBorders>
            <w:vAlign w:val="center"/>
          </w:tcPr>
          <w:p w14:paraId="6FF29D0C" w14:textId="3A8592E5" w:rsidR="00397800" w:rsidRDefault="00397800"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Businesses</w:t>
            </w:r>
          </w:p>
        </w:tc>
        <w:tc>
          <w:tcPr>
            <w:tcW w:w="1627"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497FD1F7" w14:textId="4BFDEE67" w:rsidR="00397800" w:rsidRPr="007F1120" w:rsidRDefault="00397800"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Universities</w:t>
            </w:r>
          </w:p>
        </w:tc>
      </w:tr>
      <w:tr w:rsidR="00397800" w:rsidRPr="007F1120" w14:paraId="14787637" w14:textId="77777777" w:rsidTr="00181941">
        <w:trPr>
          <w:trHeight w:val="243"/>
          <w:jc w:val="center"/>
        </w:trPr>
        <w:tc>
          <w:tcPr>
            <w:tcW w:w="214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651D900E" w14:textId="79B51E14" w:rsidR="00397800" w:rsidRPr="007F1120" w:rsidRDefault="00397800"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Washington</w:t>
            </w:r>
          </w:p>
        </w:tc>
        <w:tc>
          <w:tcPr>
            <w:tcW w:w="1620" w:type="dxa"/>
            <w:tcBorders>
              <w:top w:val="single" w:sz="18" w:space="0" w:color="C0504D" w:themeColor="accent2"/>
              <w:left w:val="single" w:sz="18" w:space="0" w:color="0070C0"/>
              <w:bottom w:val="single" w:sz="4" w:space="0" w:color="auto"/>
              <w:right w:val="single" w:sz="8" w:space="0" w:color="0070C0"/>
            </w:tcBorders>
            <w:shd w:val="clear" w:color="auto" w:fill="D6E3BC" w:themeFill="accent3" w:themeFillTint="66"/>
            <w:vAlign w:val="center"/>
          </w:tcPr>
          <w:p w14:paraId="3A2C4792" w14:textId="788799E3"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w:t>
            </w:r>
          </w:p>
        </w:tc>
        <w:tc>
          <w:tcPr>
            <w:tcW w:w="1627"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74DEB72D" w14:textId="58E641F8"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w:t>
            </w:r>
          </w:p>
        </w:tc>
        <w:tc>
          <w:tcPr>
            <w:tcW w:w="1627" w:type="dxa"/>
            <w:tcBorders>
              <w:top w:val="single" w:sz="18" w:space="0" w:color="C0504D" w:themeColor="accent2"/>
              <w:left w:val="single" w:sz="8" w:space="0" w:color="0070C0"/>
              <w:bottom w:val="single" w:sz="4" w:space="0" w:color="auto"/>
              <w:right w:val="single" w:sz="12" w:space="0" w:color="auto"/>
            </w:tcBorders>
            <w:shd w:val="clear" w:color="auto" w:fill="EAF1DD" w:themeFill="accent3" w:themeFillTint="33"/>
            <w:vAlign w:val="center"/>
          </w:tcPr>
          <w:p w14:paraId="1F261ECE" w14:textId="147DBFBB"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r>
      <w:tr w:rsidR="00397800" w:rsidRPr="007F1120" w14:paraId="78208360" w14:textId="77777777" w:rsidTr="00181941">
        <w:trPr>
          <w:trHeight w:val="243"/>
          <w:jc w:val="center"/>
        </w:trPr>
        <w:tc>
          <w:tcPr>
            <w:tcW w:w="214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DDCA97D" w14:textId="05ED5A06" w:rsidR="00397800" w:rsidRPr="007F1120" w:rsidRDefault="00397800"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Oregon</w:t>
            </w:r>
          </w:p>
        </w:tc>
        <w:tc>
          <w:tcPr>
            <w:tcW w:w="1620"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155F0F4F" w14:textId="7B07CFCE"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1627"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D328467" w14:textId="4B3AD94F"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62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560E27FA" w14:textId="2BAF96EC"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r>
      <w:tr w:rsidR="00397800" w:rsidRPr="007F1120" w14:paraId="423F932D" w14:textId="77777777" w:rsidTr="00181941">
        <w:trPr>
          <w:trHeight w:val="243"/>
          <w:jc w:val="center"/>
        </w:trPr>
        <w:tc>
          <w:tcPr>
            <w:tcW w:w="214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25CE6C0" w14:textId="1B0B9F12" w:rsidR="00397800" w:rsidRPr="007F1120" w:rsidRDefault="00397800"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Minnesota</w:t>
            </w:r>
          </w:p>
        </w:tc>
        <w:tc>
          <w:tcPr>
            <w:tcW w:w="1620"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10D0462" w14:textId="2E8DBF1D"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1627" w:type="dxa"/>
            <w:tcBorders>
              <w:top w:val="single" w:sz="4" w:space="0" w:color="auto"/>
              <w:left w:val="single" w:sz="8" w:space="0" w:color="0070C0"/>
              <w:bottom w:val="single" w:sz="4" w:space="0" w:color="000000"/>
              <w:right w:val="single" w:sz="8" w:space="0" w:color="0070C0"/>
            </w:tcBorders>
            <w:shd w:val="clear" w:color="auto" w:fill="92D050"/>
            <w:vAlign w:val="center"/>
          </w:tcPr>
          <w:p w14:paraId="7F375390" w14:textId="01173FD1"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108</w:t>
            </w:r>
          </w:p>
        </w:tc>
        <w:tc>
          <w:tcPr>
            <w:tcW w:w="162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088DC808" w14:textId="73F7EB3F"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w:t>
            </w:r>
          </w:p>
        </w:tc>
      </w:tr>
      <w:tr w:rsidR="00397800" w:rsidRPr="007F1120" w14:paraId="1DD199B4" w14:textId="77777777" w:rsidTr="00181941">
        <w:trPr>
          <w:trHeight w:val="243"/>
          <w:jc w:val="center"/>
        </w:trPr>
        <w:tc>
          <w:tcPr>
            <w:tcW w:w="214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BFE0F00" w14:textId="7586F364" w:rsidR="00397800" w:rsidRPr="007F1120" w:rsidRDefault="00397800"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California</w:t>
            </w:r>
          </w:p>
        </w:tc>
        <w:tc>
          <w:tcPr>
            <w:tcW w:w="1620" w:type="dxa"/>
            <w:tcBorders>
              <w:top w:val="single" w:sz="4" w:space="0" w:color="auto"/>
              <w:left w:val="single" w:sz="18" w:space="0" w:color="0070C0"/>
              <w:bottom w:val="single" w:sz="4" w:space="0" w:color="000000"/>
              <w:right w:val="single" w:sz="8" w:space="0" w:color="0070C0"/>
            </w:tcBorders>
            <w:shd w:val="clear" w:color="auto" w:fill="00B050"/>
            <w:vAlign w:val="center"/>
          </w:tcPr>
          <w:p w14:paraId="7C922AD1" w14:textId="2BD3C96D"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c>
          <w:tcPr>
            <w:tcW w:w="1627" w:type="dxa"/>
            <w:tcBorders>
              <w:top w:val="single" w:sz="4" w:space="0" w:color="auto"/>
              <w:left w:val="single" w:sz="8" w:space="0" w:color="0070C0"/>
              <w:bottom w:val="single" w:sz="4" w:space="0" w:color="000000"/>
              <w:right w:val="single" w:sz="8" w:space="0" w:color="0070C0"/>
            </w:tcBorders>
            <w:shd w:val="clear" w:color="auto" w:fill="00B050"/>
            <w:vAlign w:val="center"/>
          </w:tcPr>
          <w:p w14:paraId="1DF6D253" w14:textId="382E1543"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124</w:t>
            </w:r>
          </w:p>
        </w:tc>
        <w:tc>
          <w:tcPr>
            <w:tcW w:w="1627" w:type="dxa"/>
            <w:tcBorders>
              <w:top w:val="single" w:sz="4" w:space="0" w:color="auto"/>
              <w:left w:val="single" w:sz="8" w:space="0" w:color="0070C0"/>
              <w:bottom w:val="single" w:sz="4" w:space="0" w:color="000000"/>
              <w:right w:val="single" w:sz="12" w:space="0" w:color="auto"/>
            </w:tcBorders>
            <w:shd w:val="clear" w:color="auto" w:fill="00B050"/>
            <w:vAlign w:val="center"/>
          </w:tcPr>
          <w:p w14:paraId="20EF77BF" w14:textId="23E0BEE0"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r>
      <w:tr w:rsidR="00397800" w:rsidRPr="007F1120" w14:paraId="1F2FEB1B" w14:textId="77777777" w:rsidTr="00181941">
        <w:trPr>
          <w:trHeight w:val="243"/>
          <w:jc w:val="center"/>
        </w:trPr>
        <w:tc>
          <w:tcPr>
            <w:tcW w:w="214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0D025487" w14:textId="1E9BACF7" w:rsidR="00397800" w:rsidRPr="007F1120" w:rsidRDefault="00397800"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Massachusetts</w:t>
            </w:r>
          </w:p>
        </w:tc>
        <w:tc>
          <w:tcPr>
            <w:tcW w:w="1620" w:type="dxa"/>
            <w:tcBorders>
              <w:top w:val="single" w:sz="4" w:space="0" w:color="000000"/>
              <w:left w:val="single" w:sz="18" w:space="0" w:color="0070C0"/>
              <w:bottom w:val="single" w:sz="12" w:space="0" w:color="000000"/>
              <w:right w:val="single" w:sz="8" w:space="0" w:color="0070C0"/>
            </w:tcBorders>
            <w:shd w:val="clear" w:color="auto" w:fill="D6E3BC" w:themeFill="accent3" w:themeFillTint="66"/>
            <w:vAlign w:val="center"/>
          </w:tcPr>
          <w:p w14:paraId="2D71731F" w14:textId="4CB29A10"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1627"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41E1F76D" w14:textId="2E1BEF27"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35</w:t>
            </w:r>
          </w:p>
        </w:tc>
        <w:tc>
          <w:tcPr>
            <w:tcW w:w="162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14DDE1E6" w14:textId="00B27D38" w:rsidR="00397800" w:rsidRPr="007F1120" w:rsidRDefault="00397800" w:rsidP="00181941">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w:t>
            </w:r>
          </w:p>
        </w:tc>
      </w:tr>
    </w:tbl>
    <w:p w14:paraId="0C5B2747" w14:textId="798C5CD2" w:rsidR="00D65DF6" w:rsidRPr="007F1120" w:rsidRDefault="00397800" w:rsidP="00397800">
      <w:pPr>
        <w:pStyle w:val="NoSpacing"/>
        <w:tabs>
          <w:tab w:val="left" w:pos="1170"/>
        </w:tabs>
        <w:contextualSpacing/>
        <w:mirrorIndents/>
        <w:rPr>
          <w:sz w:val="16"/>
          <w:szCs w:val="16"/>
        </w:rPr>
      </w:pPr>
      <w:r>
        <w:rPr>
          <w:sz w:val="16"/>
          <w:szCs w:val="16"/>
        </w:rPr>
        <w:tab/>
        <w:t>The League of American Bicyclists’ Bicycle Friendly America Program</w:t>
      </w:r>
      <w:r w:rsidR="00D65DF6" w:rsidRPr="007F1120">
        <w:rPr>
          <w:sz w:val="16"/>
          <w:szCs w:val="16"/>
        </w:rPr>
        <w:t xml:space="preserve">, </w:t>
      </w:r>
      <w:r>
        <w:rPr>
          <w:sz w:val="16"/>
          <w:szCs w:val="16"/>
        </w:rPr>
        <w:t>March 2022</w:t>
      </w:r>
    </w:p>
    <w:p w14:paraId="184FF1B9" w14:textId="4DF905E5" w:rsidR="00527C78" w:rsidRDefault="00527C78" w:rsidP="00B2496C">
      <w:pPr>
        <w:spacing w:after="0" w:line="240" w:lineRule="auto"/>
        <w:contextualSpacing/>
        <w:mirrorIndents/>
        <w:rPr>
          <w:rFonts w:ascii="Verdana" w:hAnsi="Verdana"/>
          <w:sz w:val="20"/>
          <w:szCs w:val="20"/>
        </w:rPr>
      </w:pPr>
    </w:p>
    <w:p w14:paraId="5EFA90AA" w14:textId="50E53BA4" w:rsidR="00B2496C" w:rsidRPr="00397800" w:rsidRDefault="00B2496C" w:rsidP="00397800">
      <w:pPr>
        <w:spacing w:after="0" w:line="240" w:lineRule="auto"/>
        <w:contextualSpacing/>
        <w:mirrorIndents/>
        <w:jc w:val="center"/>
        <w:rPr>
          <w:rFonts w:ascii="Verdana" w:hAnsi="Verdana"/>
          <w:b/>
          <w:bCs/>
          <w:color w:val="0070C0"/>
          <w:sz w:val="20"/>
          <w:szCs w:val="20"/>
        </w:rPr>
      </w:pPr>
      <w:r w:rsidRPr="00397800">
        <w:rPr>
          <w:rFonts w:ascii="Verdana" w:hAnsi="Verdana"/>
          <w:b/>
          <w:bCs/>
          <w:color w:val="0070C0"/>
          <w:sz w:val="20"/>
          <w:szCs w:val="20"/>
        </w:rPr>
        <w:lastRenderedPageBreak/>
        <w:t>Enthusiastic Participation</w:t>
      </w:r>
    </w:p>
    <w:p w14:paraId="4D8CA7F1" w14:textId="18D1ED7C" w:rsidR="00B2496C" w:rsidRDefault="00B2496C" w:rsidP="00B2496C">
      <w:pPr>
        <w:spacing w:after="0" w:line="240" w:lineRule="auto"/>
        <w:contextualSpacing/>
        <w:mirrorIndents/>
        <w:rPr>
          <w:rFonts w:ascii="Verdana" w:hAnsi="Verdana"/>
          <w:sz w:val="20"/>
          <w:szCs w:val="20"/>
        </w:rPr>
      </w:pPr>
    </w:p>
    <w:p w14:paraId="48907800" w14:textId="2D6E33F7" w:rsidR="00397800" w:rsidRDefault="00B63327" w:rsidP="00B2496C">
      <w:pPr>
        <w:spacing w:after="0" w:line="240" w:lineRule="auto"/>
        <w:contextualSpacing/>
        <w:mirrorIndents/>
        <w:rPr>
          <w:rFonts w:ascii="Verdana" w:hAnsi="Verdana"/>
          <w:sz w:val="20"/>
          <w:szCs w:val="20"/>
        </w:rPr>
      </w:pPr>
      <w:r>
        <w:rPr>
          <w:rFonts w:ascii="Verdana" w:hAnsi="Verdana"/>
          <w:sz w:val="20"/>
          <w:szCs w:val="20"/>
        </w:rPr>
        <w:t>Although the data in the latest (2021) Outdoor Participation Trends Report from the Outdoor Foundation is from 2020, it reveals how much cycling became</w:t>
      </w:r>
      <w:r w:rsidR="007A7CA1">
        <w:rPr>
          <w:rFonts w:ascii="Verdana" w:hAnsi="Verdana"/>
          <w:sz w:val="20"/>
          <w:szCs w:val="20"/>
        </w:rPr>
        <w:t xml:space="preserve"> (and remains)</w:t>
      </w:r>
      <w:r>
        <w:rPr>
          <w:rFonts w:ascii="Verdana" w:hAnsi="Verdana"/>
          <w:sz w:val="20"/>
          <w:szCs w:val="20"/>
        </w:rPr>
        <w:t xml:space="preserve"> a popular outdoor activity as a respite from pandemic lockdowns.</w:t>
      </w:r>
    </w:p>
    <w:p w14:paraId="02AF244A" w14:textId="5F4AAAD5" w:rsidR="00397800" w:rsidRDefault="00397800" w:rsidP="00B2496C">
      <w:pPr>
        <w:spacing w:after="0" w:line="240" w:lineRule="auto"/>
        <w:contextualSpacing/>
        <w:mirrorIndents/>
        <w:rPr>
          <w:rFonts w:ascii="Verdana" w:hAnsi="Verdana"/>
          <w:sz w:val="20"/>
          <w:szCs w:val="20"/>
        </w:rPr>
      </w:pPr>
    </w:p>
    <w:p w14:paraId="171A3D2C" w14:textId="1F11831B" w:rsidR="007A7CA1" w:rsidRDefault="00B63327" w:rsidP="00B2496C">
      <w:pPr>
        <w:spacing w:after="0" w:line="240" w:lineRule="auto"/>
        <w:contextualSpacing/>
        <w:mirrorIndents/>
        <w:rPr>
          <w:rFonts w:ascii="Verdana" w:hAnsi="Verdana"/>
          <w:sz w:val="20"/>
          <w:szCs w:val="20"/>
        </w:rPr>
      </w:pPr>
      <w:r>
        <w:rPr>
          <w:rFonts w:ascii="Verdana" w:hAnsi="Verdana"/>
          <w:sz w:val="20"/>
          <w:szCs w:val="20"/>
        </w:rPr>
        <w:t>Road biking</w:t>
      </w:r>
      <w:r w:rsidR="00021D50">
        <w:rPr>
          <w:rFonts w:ascii="Verdana" w:hAnsi="Verdana"/>
          <w:sz w:val="20"/>
          <w:szCs w:val="20"/>
        </w:rPr>
        <w:t>/</w:t>
      </w:r>
      <w:r>
        <w:rPr>
          <w:rFonts w:ascii="Verdana" w:hAnsi="Verdana"/>
          <w:sz w:val="20"/>
          <w:szCs w:val="20"/>
        </w:rPr>
        <w:t>mountain biking</w:t>
      </w:r>
      <w:r w:rsidR="00021D50">
        <w:rPr>
          <w:rFonts w:ascii="Verdana" w:hAnsi="Verdana"/>
          <w:sz w:val="20"/>
          <w:szCs w:val="20"/>
        </w:rPr>
        <w:t>/</w:t>
      </w:r>
      <w:r>
        <w:rPr>
          <w:rFonts w:ascii="Verdana" w:hAnsi="Verdana"/>
          <w:sz w:val="20"/>
          <w:szCs w:val="20"/>
        </w:rPr>
        <w:t>BMX was the fourth most popular outdoor activity</w:t>
      </w:r>
      <w:r w:rsidR="007A7CA1">
        <w:rPr>
          <w:rFonts w:ascii="Verdana" w:hAnsi="Verdana"/>
          <w:sz w:val="20"/>
          <w:szCs w:val="20"/>
        </w:rPr>
        <w:t xml:space="preserve"> </w:t>
      </w:r>
      <w:r w:rsidR="00181941">
        <w:rPr>
          <w:rFonts w:ascii="Verdana" w:hAnsi="Verdana"/>
          <w:sz w:val="20"/>
          <w:szCs w:val="20"/>
        </w:rPr>
        <w:t xml:space="preserve">for </w:t>
      </w:r>
      <w:r>
        <w:rPr>
          <w:rFonts w:ascii="Verdana" w:hAnsi="Verdana"/>
          <w:sz w:val="20"/>
          <w:szCs w:val="20"/>
        </w:rPr>
        <w:t xml:space="preserve">17.3% </w:t>
      </w:r>
      <w:r w:rsidR="00021D50">
        <w:rPr>
          <w:rFonts w:ascii="Verdana" w:hAnsi="Verdana"/>
          <w:sz w:val="20"/>
          <w:szCs w:val="20"/>
        </w:rPr>
        <w:t xml:space="preserve">of </w:t>
      </w:r>
      <w:r>
        <w:rPr>
          <w:rFonts w:ascii="Verdana" w:hAnsi="Verdana"/>
          <w:sz w:val="20"/>
          <w:szCs w:val="20"/>
        </w:rPr>
        <w:t>Americans age</w:t>
      </w:r>
      <w:r w:rsidR="007A7CA1">
        <w:rPr>
          <w:rFonts w:ascii="Verdana" w:hAnsi="Verdana"/>
          <w:sz w:val="20"/>
          <w:szCs w:val="20"/>
        </w:rPr>
        <w:t>d</w:t>
      </w:r>
      <w:r>
        <w:rPr>
          <w:rFonts w:ascii="Verdana" w:hAnsi="Verdana"/>
          <w:sz w:val="20"/>
          <w:szCs w:val="20"/>
        </w:rPr>
        <w:t xml:space="preserve"> 6</w:t>
      </w:r>
      <w:r w:rsidR="007A7CA1">
        <w:rPr>
          <w:rFonts w:ascii="Verdana" w:hAnsi="Verdana"/>
          <w:sz w:val="20"/>
          <w:szCs w:val="20"/>
        </w:rPr>
        <w:t xml:space="preserve"> and older</w:t>
      </w:r>
      <w:r w:rsidR="00021D50">
        <w:rPr>
          <w:rFonts w:ascii="Verdana" w:hAnsi="Verdana"/>
          <w:sz w:val="20"/>
          <w:szCs w:val="20"/>
        </w:rPr>
        <w:t>,</w:t>
      </w:r>
      <w:r>
        <w:rPr>
          <w:rFonts w:ascii="Verdana" w:hAnsi="Verdana"/>
          <w:sz w:val="20"/>
          <w:szCs w:val="20"/>
        </w:rPr>
        <w:t xml:space="preserve"> or 52.7 million participants.</w:t>
      </w:r>
      <w:r w:rsidR="007A7CA1">
        <w:rPr>
          <w:rFonts w:ascii="Verdana" w:hAnsi="Verdana"/>
          <w:sz w:val="20"/>
          <w:szCs w:val="20"/>
        </w:rPr>
        <w:t xml:space="preserve"> It was first among youth (6–17) and third among young adults (18–24).</w:t>
      </w:r>
    </w:p>
    <w:p w14:paraId="52F9EF25" w14:textId="77777777" w:rsidR="007A7CA1" w:rsidRDefault="007A7CA1" w:rsidP="00B2496C">
      <w:pPr>
        <w:spacing w:after="0" w:line="240" w:lineRule="auto"/>
        <w:contextualSpacing/>
        <w:mirrorIndents/>
        <w:rPr>
          <w:rFonts w:ascii="Verdana" w:hAnsi="Verdana"/>
          <w:sz w:val="20"/>
          <w:szCs w:val="20"/>
        </w:rPr>
      </w:pPr>
    </w:p>
    <w:p w14:paraId="4E889AD9" w14:textId="310848D1" w:rsidR="00B63327" w:rsidRDefault="007A7CA1" w:rsidP="00B2496C">
      <w:pPr>
        <w:spacing w:after="0" w:line="240" w:lineRule="auto"/>
        <w:contextualSpacing/>
        <w:mirrorIndents/>
        <w:rPr>
          <w:rFonts w:ascii="Verdana" w:hAnsi="Verdana"/>
          <w:sz w:val="20"/>
          <w:szCs w:val="20"/>
        </w:rPr>
      </w:pPr>
      <w:r>
        <w:rPr>
          <w:rFonts w:ascii="Verdana" w:hAnsi="Verdana"/>
          <w:sz w:val="20"/>
          <w:szCs w:val="20"/>
        </w:rPr>
        <w:t>Of particular importance to dealer</w:t>
      </w:r>
      <w:r w:rsidR="00156625">
        <w:rPr>
          <w:rFonts w:ascii="Verdana" w:hAnsi="Verdana"/>
          <w:sz w:val="20"/>
          <w:szCs w:val="20"/>
        </w:rPr>
        <w:t>s’</w:t>
      </w:r>
      <w:r>
        <w:rPr>
          <w:rFonts w:ascii="Verdana" w:hAnsi="Verdana"/>
          <w:sz w:val="20"/>
          <w:szCs w:val="20"/>
        </w:rPr>
        <w:t xml:space="preserve"> marketing strategies, </w:t>
      </w:r>
      <w:r w:rsidR="00181941">
        <w:rPr>
          <w:rFonts w:ascii="Verdana" w:hAnsi="Verdana"/>
          <w:sz w:val="20"/>
          <w:szCs w:val="20"/>
        </w:rPr>
        <w:t>road biking</w:t>
      </w:r>
      <w:r w:rsidR="00021D50">
        <w:rPr>
          <w:rFonts w:ascii="Verdana" w:hAnsi="Verdana"/>
          <w:sz w:val="20"/>
          <w:szCs w:val="20"/>
        </w:rPr>
        <w:t>/</w:t>
      </w:r>
      <w:r w:rsidR="00181941">
        <w:rPr>
          <w:rFonts w:ascii="Verdana" w:hAnsi="Verdana"/>
          <w:sz w:val="20"/>
          <w:szCs w:val="20"/>
        </w:rPr>
        <w:t>mountain biking</w:t>
      </w:r>
      <w:r w:rsidR="00021D50">
        <w:rPr>
          <w:rFonts w:ascii="Verdana" w:hAnsi="Verdana"/>
          <w:sz w:val="20"/>
          <w:szCs w:val="20"/>
        </w:rPr>
        <w:t>/</w:t>
      </w:r>
      <w:r w:rsidR="00181941">
        <w:rPr>
          <w:rFonts w:ascii="Verdana" w:hAnsi="Verdana"/>
          <w:sz w:val="20"/>
          <w:szCs w:val="20"/>
        </w:rPr>
        <w:t>BMX</w:t>
      </w:r>
      <w:r>
        <w:rPr>
          <w:rFonts w:ascii="Verdana" w:hAnsi="Verdana"/>
          <w:sz w:val="20"/>
          <w:szCs w:val="20"/>
        </w:rPr>
        <w:t xml:space="preserve"> was second among African Americans at 12% and Latinx Americans at 17%, third among Asian Americans at 16% and fourth among Caucasian Americans at 17%.</w:t>
      </w:r>
    </w:p>
    <w:p w14:paraId="3DAD39CC" w14:textId="33E7464F" w:rsidR="00397800" w:rsidRDefault="00397800" w:rsidP="00B2496C">
      <w:pPr>
        <w:spacing w:after="0" w:line="240" w:lineRule="auto"/>
        <w:contextualSpacing/>
        <w:mirrorIndents/>
        <w:rPr>
          <w:rFonts w:ascii="Verdana" w:hAnsi="Verdana"/>
          <w:sz w:val="20"/>
          <w:szCs w:val="20"/>
        </w:rPr>
      </w:pPr>
    </w:p>
    <w:p w14:paraId="488D31DA" w14:textId="3B4D1A56" w:rsidR="007A7CA1" w:rsidRPr="007F1120" w:rsidRDefault="00156625" w:rsidP="007A7CA1">
      <w:pPr>
        <w:pStyle w:val="Header"/>
        <w:contextualSpacing/>
        <w:jc w:val="center"/>
        <w:rPr>
          <w:b/>
          <w:sz w:val="20"/>
          <w:szCs w:val="20"/>
        </w:rPr>
      </w:pPr>
      <w:r>
        <w:rPr>
          <w:b/>
          <w:sz w:val="20"/>
          <w:szCs w:val="20"/>
        </w:rPr>
        <w:t>Comparison of Cycling Participation Rates by Types, Ages 6+</w:t>
      </w:r>
      <w:r w:rsidR="007A7CA1" w:rsidRPr="007F1120">
        <w:rPr>
          <w:rFonts w:ascii="Verdana" w:hAnsi="Verdana"/>
          <w:b/>
          <w:sz w:val="20"/>
          <w:szCs w:val="20"/>
        </w:rPr>
        <w:t>,</w:t>
      </w:r>
      <w:r w:rsidR="007A7CA1" w:rsidRPr="007F1120">
        <w:rPr>
          <w:b/>
          <w:sz w:val="20"/>
          <w:szCs w:val="20"/>
        </w:rPr>
        <w:t xml:space="preserve"> </w:t>
      </w:r>
      <w:r>
        <w:rPr>
          <w:b/>
          <w:sz w:val="20"/>
          <w:szCs w:val="20"/>
        </w:rPr>
        <w:t>2019 and 2020</w:t>
      </w:r>
    </w:p>
    <w:tbl>
      <w:tblPr>
        <w:tblW w:w="5684" w:type="dxa"/>
        <w:jc w:val="center"/>
        <w:tblBorders>
          <w:left w:val="single" w:sz="8" w:space="0" w:color="000000"/>
          <w:right w:val="single" w:sz="8" w:space="0" w:color="000000"/>
        </w:tblBorders>
        <w:tblLayout w:type="fixed"/>
        <w:tblLook w:val="0000" w:firstRow="0" w:lastRow="0" w:firstColumn="0" w:lastColumn="0" w:noHBand="0" w:noVBand="0"/>
      </w:tblPr>
      <w:tblGrid>
        <w:gridCol w:w="3150"/>
        <w:gridCol w:w="1267"/>
        <w:gridCol w:w="1267"/>
      </w:tblGrid>
      <w:tr w:rsidR="00156625" w:rsidRPr="007F1120" w14:paraId="0FEB2896" w14:textId="77777777" w:rsidTr="00181941">
        <w:trPr>
          <w:jc w:val="center"/>
        </w:trPr>
        <w:tc>
          <w:tcPr>
            <w:tcW w:w="3150"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6BBE5029" w14:textId="1BB503CE" w:rsidR="00156625" w:rsidRPr="007F1120" w:rsidRDefault="00156625"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Cycling Types</w:t>
            </w:r>
          </w:p>
        </w:tc>
        <w:tc>
          <w:tcPr>
            <w:tcW w:w="1267"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7F16182C" w14:textId="4D38881C" w:rsidR="00156625" w:rsidRPr="007F1120" w:rsidRDefault="00156625"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2019</w:t>
            </w:r>
          </w:p>
        </w:tc>
        <w:tc>
          <w:tcPr>
            <w:tcW w:w="1267"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57F5E8A7" w14:textId="2964F19D" w:rsidR="00156625" w:rsidRPr="007F1120" w:rsidRDefault="00156625" w:rsidP="00181941">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2020</w:t>
            </w:r>
          </w:p>
        </w:tc>
      </w:tr>
      <w:tr w:rsidR="00156625" w:rsidRPr="007F1120" w14:paraId="1E923044" w14:textId="77777777" w:rsidTr="00156625">
        <w:trPr>
          <w:trHeight w:val="243"/>
          <w:jc w:val="center"/>
        </w:trPr>
        <w:tc>
          <w:tcPr>
            <w:tcW w:w="315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4B80B4C5" w14:textId="3A0B87F3" w:rsidR="00156625" w:rsidRPr="007F1120" w:rsidRDefault="0015662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BMX</w:t>
            </w:r>
          </w:p>
        </w:tc>
        <w:tc>
          <w:tcPr>
            <w:tcW w:w="1267"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23A3BED6" w14:textId="2A87C4F5"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1.2%</w:t>
            </w:r>
          </w:p>
        </w:tc>
        <w:tc>
          <w:tcPr>
            <w:tcW w:w="1267" w:type="dxa"/>
            <w:tcBorders>
              <w:top w:val="single" w:sz="18" w:space="0" w:color="C0504D" w:themeColor="accent2"/>
              <w:left w:val="single" w:sz="8" w:space="0" w:color="0070C0"/>
              <w:bottom w:val="single" w:sz="4" w:space="0" w:color="auto"/>
              <w:right w:val="single" w:sz="12" w:space="0" w:color="auto"/>
            </w:tcBorders>
            <w:shd w:val="clear" w:color="auto" w:fill="EAF1DD" w:themeFill="accent3" w:themeFillTint="33"/>
            <w:vAlign w:val="center"/>
          </w:tcPr>
          <w:p w14:paraId="447D8633" w14:textId="167B7EB7"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r>
      <w:tr w:rsidR="00156625" w:rsidRPr="007F1120" w14:paraId="26F5AB95" w14:textId="77777777" w:rsidTr="00156625">
        <w:trPr>
          <w:trHeight w:val="243"/>
          <w:jc w:val="center"/>
        </w:trPr>
        <w:tc>
          <w:tcPr>
            <w:tcW w:w="315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132C575" w14:textId="36F3BE83" w:rsidR="00156625" w:rsidRPr="007F1120" w:rsidRDefault="0015662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Mountain/Non-paved surface</w:t>
            </w:r>
          </w:p>
        </w:tc>
        <w:tc>
          <w:tcPr>
            <w:tcW w:w="1267"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73CDF31E" w14:textId="64459FE8"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w:t>
            </w:r>
          </w:p>
        </w:tc>
        <w:tc>
          <w:tcPr>
            <w:tcW w:w="1267"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4B05575F" w14:textId="54A7C370"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w:t>
            </w:r>
          </w:p>
        </w:tc>
      </w:tr>
      <w:tr w:rsidR="00156625" w:rsidRPr="007F1120" w14:paraId="7B791DAD" w14:textId="77777777" w:rsidTr="006117E9">
        <w:trPr>
          <w:trHeight w:val="243"/>
          <w:jc w:val="center"/>
        </w:trPr>
        <w:tc>
          <w:tcPr>
            <w:tcW w:w="315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9C44553" w14:textId="0BE09BAD" w:rsidR="00156625" w:rsidRPr="007F1120" w:rsidRDefault="0015662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Road/Mountain BMX </w:t>
            </w:r>
          </w:p>
        </w:tc>
        <w:tc>
          <w:tcPr>
            <w:tcW w:w="1267"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39A464F5" w14:textId="42C0F3E5"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16.1%</w:t>
            </w:r>
          </w:p>
        </w:tc>
        <w:tc>
          <w:tcPr>
            <w:tcW w:w="1267"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132487C4" w14:textId="1D9D1CAC"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17.3%</w:t>
            </w:r>
          </w:p>
        </w:tc>
      </w:tr>
      <w:tr w:rsidR="00156625" w:rsidRPr="007F1120" w14:paraId="6D6B4189" w14:textId="77777777" w:rsidTr="006117E9">
        <w:trPr>
          <w:trHeight w:val="243"/>
          <w:jc w:val="center"/>
        </w:trPr>
        <w:tc>
          <w:tcPr>
            <w:tcW w:w="315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70746DE1" w14:textId="3ABF9DB3" w:rsidR="00156625" w:rsidRPr="007F1120" w:rsidRDefault="00156625"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Road/Paved surface</w:t>
            </w:r>
          </w:p>
        </w:tc>
        <w:tc>
          <w:tcPr>
            <w:tcW w:w="1267" w:type="dxa"/>
            <w:tcBorders>
              <w:top w:val="single" w:sz="4" w:space="0" w:color="000000"/>
              <w:left w:val="single" w:sz="18" w:space="0" w:color="0070C0"/>
              <w:bottom w:val="single" w:sz="12" w:space="0" w:color="000000"/>
              <w:right w:val="single" w:sz="8" w:space="0" w:color="0070C0"/>
            </w:tcBorders>
            <w:shd w:val="clear" w:color="auto" w:fill="F2F2F2" w:themeFill="background1" w:themeFillShade="F2"/>
            <w:vAlign w:val="center"/>
          </w:tcPr>
          <w:p w14:paraId="3DA850A4" w14:textId="5600633C"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13.0%</w:t>
            </w:r>
          </w:p>
        </w:tc>
        <w:tc>
          <w:tcPr>
            <w:tcW w:w="1267" w:type="dxa"/>
            <w:tcBorders>
              <w:top w:val="single" w:sz="4" w:space="0" w:color="000000"/>
              <w:left w:val="single" w:sz="8" w:space="0" w:color="0070C0"/>
              <w:bottom w:val="single" w:sz="12" w:space="0" w:color="000000"/>
              <w:right w:val="single" w:sz="12" w:space="0" w:color="auto"/>
            </w:tcBorders>
            <w:shd w:val="clear" w:color="auto" w:fill="D6E3BC" w:themeFill="accent3" w:themeFillTint="66"/>
            <w:vAlign w:val="center"/>
          </w:tcPr>
          <w:p w14:paraId="62763F67" w14:textId="2333611A" w:rsidR="00156625" w:rsidRPr="007F1120" w:rsidRDefault="00156625" w:rsidP="0059347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14.6%</w:t>
            </w:r>
          </w:p>
        </w:tc>
      </w:tr>
    </w:tbl>
    <w:p w14:paraId="46BE0CEB" w14:textId="7B895EF4" w:rsidR="007A7CA1" w:rsidRPr="007F1120" w:rsidRDefault="007A7CA1" w:rsidP="006117E9">
      <w:pPr>
        <w:pStyle w:val="NoSpacing"/>
        <w:tabs>
          <w:tab w:val="left" w:pos="1890"/>
        </w:tabs>
        <w:contextualSpacing/>
        <w:mirrorIndents/>
        <w:rPr>
          <w:sz w:val="16"/>
          <w:szCs w:val="16"/>
        </w:rPr>
      </w:pPr>
      <w:r>
        <w:rPr>
          <w:sz w:val="16"/>
          <w:szCs w:val="16"/>
        </w:rPr>
        <w:tab/>
      </w:r>
      <w:r w:rsidR="00156625">
        <w:rPr>
          <w:sz w:val="16"/>
          <w:szCs w:val="16"/>
        </w:rPr>
        <w:t>Outdoor Foundation</w:t>
      </w:r>
      <w:r w:rsidRPr="007F1120">
        <w:rPr>
          <w:sz w:val="16"/>
          <w:szCs w:val="16"/>
        </w:rPr>
        <w:t xml:space="preserve">, </w:t>
      </w:r>
      <w:r>
        <w:rPr>
          <w:sz w:val="16"/>
          <w:szCs w:val="16"/>
        </w:rPr>
        <w:t>March 2022</w:t>
      </w:r>
      <w:r w:rsidR="006117E9">
        <w:rPr>
          <w:sz w:val="16"/>
          <w:szCs w:val="16"/>
        </w:rPr>
        <w:t xml:space="preserve"> (color represents the change from the previous year)</w:t>
      </w:r>
    </w:p>
    <w:p w14:paraId="4A810776" w14:textId="53080DA3" w:rsidR="007A7CA1" w:rsidRDefault="007A7CA1" w:rsidP="00B2496C">
      <w:pPr>
        <w:spacing w:after="0" w:line="240" w:lineRule="auto"/>
        <w:contextualSpacing/>
        <w:mirrorIndents/>
        <w:rPr>
          <w:rFonts w:ascii="Verdana" w:hAnsi="Verdana"/>
          <w:sz w:val="20"/>
          <w:szCs w:val="20"/>
        </w:rPr>
      </w:pPr>
    </w:p>
    <w:p w14:paraId="2813AEC1" w14:textId="1C003FC5" w:rsidR="00B2496C" w:rsidRPr="00144E12" w:rsidRDefault="00B2496C" w:rsidP="00144E12">
      <w:pPr>
        <w:spacing w:after="0" w:line="240" w:lineRule="auto"/>
        <w:contextualSpacing/>
        <w:mirrorIndents/>
        <w:jc w:val="center"/>
        <w:rPr>
          <w:rFonts w:ascii="Verdana" w:hAnsi="Verdana"/>
          <w:b/>
          <w:bCs/>
          <w:color w:val="0070C0"/>
          <w:sz w:val="20"/>
          <w:szCs w:val="20"/>
        </w:rPr>
      </w:pPr>
      <w:r w:rsidRPr="00144E12">
        <w:rPr>
          <w:rFonts w:ascii="Verdana" w:hAnsi="Verdana"/>
          <w:b/>
          <w:bCs/>
          <w:color w:val="0070C0"/>
          <w:sz w:val="20"/>
          <w:szCs w:val="20"/>
        </w:rPr>
        <w:t>The Bi</w:t>
      </w:r>
      <w:r w:rsidR="00144E12" w:rsidRPr="00144E12">
        <w:rPr>
          <w:rFonts w:ascii="Verdana" w:hAnsi="Verdana"/>
          <w:b/>
          <w:bCs/>
          <w:color w:val="0070C0"/>
          <w:sz w:val="20"/>
          <w:szCs w:val="20"/>
        </w:rPr>
        <w:t>king/Cycling</w:t>
      </w:r>
      <w:r w:rsidRPr="00144E12">
        <w:rPr>
          <w:rFonts w:ascii="Verdana" w:hAnsi="Verdana"/>
          <w:b/>
          <w:bCs/>
          <w:color w:val="0070C0"/>
          <w:sz w:val="20"/>
          <w:szCs w:val="20"/>
        </w:rPr>
        <w:t xml:space="preserve"> Crowd</w:t>
      </w:r>
    </w:p>
    <w:p w14:paraId="1623F2AA" w14:textId="77777777" w:rsidR="00B2496C" w:rsidRPr="00B2496C" w:rsidRDefault="00B2496C" w:rsidP="00B2496C">
      <w:pPr>
        <w:spacing w:after="0" w:line="240" w:lineRule="auto"/>
        <w:contextualSpacing/>
        <w:mirrorIndents/>
        <w:rPr>
          <w:rFonts w:ascii="Verdana" w:hAnsi="Verdana"/>
          <w:sz w:val="20"/>
          <w:szCs w:val="20"/>
        </w:rPr>
      </w:pPr>
    </w:p>
    <w:p w14:paraId="070CB086" w14:textId="77777777" w:rsidR="008A5C21" w:rsidRDefault="008A5C21" w:rsidP="008A5C21">
      <w:pPr>
        <w:spacing w:after="0" w:line="240" w:lineRule="auto"/>
        <w:contextualSpacing/>
        <w:mirrorIndents/>
        <w:rPr>
          <w:rFonts w:ascii="Verdana" w:hAnsi="Verdana"/>
          <w:sz w:val="20"/>
          <w:szCs w:val="20"/>
        </w:rPr>
      </w:pPr>
      <w:r>
        <w:rPr>
          <w:sz w:val="20"/>
        </w:rPr>
        <w:t>I</w:t>
      </w:r>
      <w:r>
        <w:rPr>
          <w:rFonts w:ascii="Verdana" w:hAnsi="Verdana"/>
          <w:sz w:val="20"/>
          <w:szCs w:val="20"/>
        </w:rPr>
        <w:t xml:space="preserve">n-depth information from five of The Media Audit’s 2021 consumer/market surveys </w:t>
      </w:r>
      <w:r>
        <w:rPr>
          <w:sz w:val="20"/>
        </w:rPr>
        <w:t>helps to</w:t>
      </w:r>
      <w:r>
        <w:rPr>
          <w:rFonts w:ascii="Verdana" w:hAnsi="Verdana"/>
          <w:sz w:val="20"/>
          <w:szCs w:val="20"/>
        </w:rPr>
        <w:t xml:space="preserve"> identify who are cycling enthusiasts. Women 18+ who were active cyclists during the past 4 weeks are slightly younger </w:t>
      </w:r>
      <w:r>
        <w:rPr>
          <w:sz w:val="20"/>
        </w:rPr>
        <w:t xml:space="preserve">than </w:t>
      </w:r>
      <w:r>
        <w:rPr>
          <w:rFonts w:ascii="Verdana" w:hAnsi="Verdana"/>
          <w:sz w:val="20"/>
          <w:szCs w:val="20"/>
        </w:rPr>
        <w:t xml:space="preserve">men, or 42 and 45, </w:t>
      </w:r>
      <w:r>
        <w:rPr>
          <w:sz w:val="20"/>
        </w:rPr>
        <w:t xml:space="preserve">respectively, </w:t>
      </w:r>
      <w:r>
        <w:rPr>
          <w:rFonts w:ascii="Verdana" w:hAnsi="Verdana"/>
          <w:sz w:val="20"/>
          <w:szCs w:val="20"/>
        </w:rPr>
        <w:t>on average.</w:t>
      </w:r>
    </w:p>
    <w:p w14:paraId="43FE7DBB" w14:textId="152A4AB9" w:rsidR="00B14F9E" w:rsidRDefault="00B14F9E" w:rsidP="00B2496C">
      <w:pPr>
        <w:spacing w:after="0" w:line="240" w:lineRule="auto"/>
        <w:contextualSpacing/>
        <w:mirrorIndents/>
        <w:rPr>
          <w:rFonts w:ascii="Verdana" w:hAnsi="Verdana"/>
          <w:sz w:val="20"/>
          <w:szCs w:val="20"/>
        </w:rPr>
      </w:pPr>
    </w:p>
    <w:p w14:paraId="1281623E" w14:textId="5978597D" w:rsidR="00B14F9E" w:rsidRDefault="00B14F9E" w:rsidP="00B2496C">
      <w:pPr>
        <w:spacing w:after="0" w:line="240" w:lineRule="auto"/>
        <w:contextualSpacing/>
        <w:mirrorIndents/>
        <w:rPr>
          <w:rFonts w:ascii="Verdana" w:hAnsi="Verdana"/>
          <w:sz w:val="20"/>
          <w:szCs w:val="20"/>
        </w:rPr>
      </w:pPr>
      <w:r>
        <w:rPr>
          <w:rFonts w:ascii="Verdana" w:hAnsi="Verdana"/>
          <w:sz w:val="20"/>
          <w:szCs w:val="20"/>
        </w:rPr>
        <w:t>Income data shows women had a significantly larger average household income than men, or $83,620 and $76,560, respectively. Biking</w:t>
      </w:r>
      <w:r w:rsidR="00FB6C11">
        <w:rPr>
          <w:rFonts w:ascii="Verdana" w:hAnsi="Verdana"/>
          <w:sz w:val="20"/>
          <w:szCs w:val="20"/>
        </w:rPr>
        <w:t>/Cycling is</w:t>
      </w:r>
      <w:r>
        <w:rPr>
          <w:rFonts w:ascii="Verdana" w:hAnsi="Verdana"/>
          <w:sz w:val="20"/>
          <w:szCs w:val="20"/>
        </w:rPr>
        <w:t xml:space="preserve"> definitely an activity for the affluent as those with household incomes of $100,000 or more over-indexed the most. </w:t>
      </w:r>
    </w:p>
    <w:p w14:paraId="27A0E038" w14:textId="77777777" w:rsidR="00144E12" w:rsidRDefault="00144E12" w:rsidP="00B2496C">
      <w:pPr>
        <w:spacing w:after="0" w:line="240" w:lineRule="auto"/>
        <w:contextualSpacing/>
        <w:mirrorIndents/>
        <w:rPr>
          <w:rFonts w:ascii="Verdana" w:hAnsi="Verdana"/>
          <w:sz w:val="20"/>
          <w:szCs w:val="20"/>
        </w:rPr>
      </w:pPr>
    </w:p>
    <w:p w14:paraId="383155C1" w14:textId="52FF7CD6" w:rsidR="007821BC" w:rsidRDefault="00346893" w:rsidP="00B2496C">
      <w:pPr>
        <w:spacing w:after="0" w:line="240" w:lineRule="auto"/>
        <w:contextualSpacing/>
        <w:mirrorIndents/>
        <w:rPr>
          <w:rFonts w:ascii="Verdana" w:hAnsi="Verdana"/>
          <w:sz w:val="20"/>
          <w:szCs w:val="20"/>
        </w:rPr>
      </w:pPr>
      <w:r>
        <w:rPr>
          <w:rFonts w:ascii="Verdana" w:hAnsi="Verdana"/>
          <w:sz w:val="20"/>
          <w:szCs w:val="20"/>
        </w:rPr>
        <w:t>The Media Audit data strongly suggests biking/cycling is a family activity</w:t>
      </w:r>
      <w:r w:rsidR="007821BC">
        <w:rPr>
          <w:rFonts w:ascii="Verdana" w:hAnsi="Verdana"/>
          <w:sz w:val="20"/>
          <w:szCs w:val="20"/>
        </w:rPr>
        <w:t>. Adults 18+ with children at home of any age index</w:t>
      </w:r>
      <w:r w:rsidR="00FB6C11">
        <w:rPr>
          <w:rFonts w:ascii="Verdana" w:hAnsi="Verdana"/>
          <w:sz w:val="20"/>
          <w:szCs w:val="20"/>
        </w:rPr>
        <w:t>ed</w:t>
      </w:r>
      <w:r w:rsidR="007821BC">
        <w:rPr>
          <w:rFonts w:ascii="Verdana" w:hAnsi="Verdana"/>
          <w:sz w:val="20"/>
          <w:szCs w:val="20"/>
        </w:rPr>
        <w:t xml:space="preserve"> at 117 on average in these five markets</w:t>
      </w:r>
      <w:r w:rsidR="00FB6C11">
        <w:rPr>
          <w:rFonts w:ascii="Verdana" w:hAnsi="Verdana"/>
          <w:sz w:val="20"/>
          <w:szCs w:val="20"/>
        </w:rPr>
        <w:t xml:space="preserve"> while</w:t>
      </w:r>
      <w:r w:rsidR="007821BC">
        <w:rPr>
          <w:rFonts w:ascii="Verdana" w:hAnsi="Verdana"/>
          <w:sz w:val="20"/>
          <w:szCs w:val="20"/>
        </w:rPr>
        <w:t xml:space="preserve"> those with children younger than 6 </w:t>
      </w:r>
      <w:r w:rsidR="00FB6C11">
        <w:rPr>
          <w:rFonts w:ascii="Verdana" w:hAnsi="Verdana"/>
          <w:sz w:val="20"/>
          <w:szCs w:val="20"/>
        </w:rPr>
        <w:t xml:space="preserve">indexed </w:t>
      </w:r>
      <w:r w:rsidR="008A5C21">
        <w:rPr>
          <w:rFonts w:ascii="Verdana" w:hAnsi="Verdana"/>
          <w:sz w:val="20"/>
          <w:szCs w:val="20"/>
        </w:rPr>
        <w:t xml:space="preserve">at </w:t>
      </w:r>
      <w:r w:rsidR="007821BC">
        <w:rPr>
          <w:rFonts w:ascii="Verdana" w:hAnsi="Verdana"/>
          <w:sz w:val="20"/>
          <w:szCs w:val="20"/>
        </w:rPr>
        <w:t>116 and those with children 6 or older at 108.</w:t>
      </w:r>
    </w:p>
    <w:p w14:paraId="231E448C" w14:textId="77777777" w:rsidR="007821BC" w:rsidRDefault="007821BC" w:rsidP="00B2496C">
      <w:pPr>
        <w:spacing w:after="0" w:line="240" w:lineRule="auto"/>
        <w:contextualSpacing/>
        <w:mirrorIndents/>
        <w:rPr>
          <w:rFonts w:ascii="Verdana" w:hAnsi="Verdana"/>
          <w:sz w:val="20"/>
          <w:szCs w:val="20"/>
        </w:rPr>
      </w:pPr>
    </w:p>
    <w:p w14:paraId="13F1DA6D" w14:textId="06FBC79A" w:rsidR="00163B10" w:rsidRDefault="00163B10" w:rsidP="00163B10">
      <w:pPr>
        <w:spacing w:after="0" w:line="240" w:lineRule="auto"/>
        <w:contextualSpacing/>
        <w:mirrorIndents/>
        <w:jc w:val="center"/>
        <w:rPr>
          <w:b/>
          <w:bCs/>
          <w:sz w:val="20"/>
          <w:szCs w:val="20"/>
        </w:rPr>
      </w:pPr>
      <w:r>
        <w:rPr>
          <w:b/>
          <w:bCs/>
          <w:sz w:val="20"/>
          <w:szCs w:val="20"/>
        </w:rPr>
        <w:t xml:space="preserve">Indices of Adults 18+ Who </w:t>
      </w:r>
      <w:r w:rsidR="00F17764">
        <w:rPr>
          <w:b/>
          <w:bCs/>
          <w:sz w:val="20"/>
          <w:szCs w:val="20"/>
        </w:rPr>
        <w:t>Were Biking/Cycling</w:t>
      </w:r>
      <w:r>
        <w:rPr>
          <w:b/>
          <w:bCs/>
          <w:sz w:val="20"/>
          <w:szCs w:val="20"/>
        </w:rPr>
        <w:t xml:space="preserve"> During the </w:t>
      </w:r>
    </w:p>
    <w:p w14:paraId="4055336E" w14:textId="77777777" w:rsidR="00163B10" w:rsidRPr="005D1511" w:rsidRDefault="00163B10" w:rsidP="00163B10">
      <w:pPr>
        <w:spacing w:after="0" w:line="240" w:lineRule="auto"/>
        <w:contextualSpacing/>
        <w:mirrorIndents/>
        <w:jc w:val="center"/>
        <w:rPr>
          <w:b/>
          <w:bCs/>
          <w:sz w:val="20"/>
          <w:szCs w:val="20"/>
        </w:rPr>
      </w:pPr>
      <w:r>
        <w:rPr>
          <w:b/>
          <w:bCs/>
          <w:sz w:val="20"/>
          <w:szCs w:val="20"/>
        </w:rPr>
        <w:t>Past 4 Weeks by Generation, in Selected Markets</w:t>
      </w:r>
      <w:r w:rsidRPr="005D1511">
        <w:rPr>
          <w:b/>
          <w:bCs/>
          <w:sz w:val="20"/>
          <w:szCs w:val="20"/>
        </w:rPr>
        <w:t>, 202</w:t>
      </w:r>
      <w:r>
        <w:rPr>
          <w:b/>
          <w:bCs/>
          <w:sz w:val="20"/>
          <w:szCs w:val="20"/>
        </w:rPr>
        <w:t>1</w:t>
      </w:r>
    </w:p>
    <w:tbl>
      <w:tblPr>
        <w:tblW w:w="948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03"/>
        <w:gridCol w:w="1492"/>
        <w:gridCol w:w="1498"/>
        <w:gridCol w:w="1498"/>
        <w:gridCol w:w="1498"/>
        <w:gridCol w:w="1498"/>
      </w:tblGrid>
      <w:tr w:rsidR="00163B10" w:rsidRPr="005D1511" w14:paraId="08B07234" w14:textId="77777777" w:rsidTr="008A5C21">
        <w:trPr>
          <w:jc w:val="center"/>
        </w:trPr>
        <w:tc>
          <w:tcPr>
            <w:tcW w:w="200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1FA2E6C5" w14:textId="77777777" w:rsidR="00163B10" w:rsidRPr="004815C1" w:rsidRDefault="00163B10" w:rsidP="008A5C2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Generation</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477BC4F2" w14:textId="77777777" w:rsidR="00163B10" w:rsidRPr="004815C1" w:rsidRDefault="00163B10" w:rsidP="008A5C2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23F4649" w14:textId="18284A18" w:rsidR="00163B10" w:rsidRPr="004815C1" w:rsidRDefault="00163B10" w:rsidP="008A5C2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Indianapolis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00785E94" w14:textId="0A612246" w:rsidR="00163B10" w:rsidRPr="004815C1" w:rsidRDefault="00163B10" w:rsidP="008A5C2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24D0F137" w14:textId="77777777" w:rsidR="00163B10" w:rsidRPr="004815C1" w:rsidRDefault="00163B10" w:rsidP="008A5C2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7EC28D37" w14:textId="77777777" w:rsidR="00163B10" w:rsidRPr="004815C1" w:rsidRDefault="00163B10" w:rsidP="008A5C21">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163B10" w:rsidRPr="005D1511" w14:paraId="29FFD8D9" w14:textId="77777777" w:rsidTr="00F27B88">
        <w:tblPrEx>
          <w:tblBorders>
            <w:top w:val="none" w:sz="0" w:space="0" w:color="auto"/>
          </w:tblBorders>
        </w:tblPrEx>
        <w:trPr>
          <w:jc w:val="center"/>
        </w:trPr>
        <w:tc>
          <w:tcPr>
            <w:tcW w:w="200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7419F075" w14:textId="77777777" w:rsidR="00163B10" w:rsidRPr="004815C1" w:rsidRDefault="00163B10"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Z</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E5B8B7" w:themeFill="accent2" w:themeFillTint="66"/>
            <w:vAlign w:val="center"/>
          </w:tcPr>
          <w:p w14:paraId="222AA1DB" w14:textId="2747A852"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73</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58901105" w14:textId="4228AF2A"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75</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E5B8B7" w:themeFill="accent2" w:themeFillTint="66"/>
            <w:vAlign w:val="center"/>
          </w:tcPr>
          <w:p w14:paraId="29E9CB14" w14:textId="542345B4"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75</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D99594" w:themeFill="accent2" w:themeFillTint="99"/>
            <w:vAlign w:val="center"/>
          </w:tcPr>
          <w:p w14:paraId="09208514" w14:textId="7A7DEF31"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69</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92D050"/>
            <w:vAlign w:val="center"/>
          </w:tcPr>
          <w:p w14:paraId="3F9DF654" w14:textId="411207DC" w:rsidR="00163B10" w:rsidRPr="004815C1" w:rsidRDefault="00163B10" w:rsidP="00593473">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132</w:t>
            </w:r>
          </w:p>
        </w:tc>
      </w:tr>
      <w:tr w:rsidR="00F27B88" w:rsidRPr="005D1511" w14:paraId="09B280DA" w14:textId="77777777" w:rsidTr="00F27B88">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72EB8A0" w14:textId="77777777" w:rsidR="00163B10" w:rsidRPr="004815C1" w:rsidRDefault="00163B10"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Millennials</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366DAA04" w14:textId="0B93BAE2"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282037C4" w14:textId="66037B6F"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77082BA6" w14:textId="2FF3C69B"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F7F6A28" w14:textId="0B67086A"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120</w:t>
            </w:r>
          </w:p>
        </w:tc>
        <w:tc>
          <w:tcPr>
            <w:tcW w:w="1498" w:type="dxa"/>
            <w:tcBorders>
              <w:top w:val="single" w:sz="4" w:space="0" w:color="auto"/>
              <w:left w:val="single" w:sz="8" w:space="0" w:color="0070C0"/>
              <w:bottom w:val="single" w:sz="4" w:space="0" w:color="000000"/>
              <w:right w:val="single" w:sz="12" w:space="0" w:color="000000"/>
            </w:tcBorders>
            <w:shd w:val="clear" w:color="auto" w:fill="EAF1DD" w:themeFill="accent3" w:themeFillTint="33"/>
            <w:vAlign w:val="center"/>
          </w:tcPr>
          <w:p w14:paraId="261834E8" w14:textId="6DE47A5C" w:rsidR="00163B10" w:rsidRPr="00B00624"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r>
      <w:tr w:rsidR="00F27B88" w:rsidRPr="005D1511" w14:paraId="22BEC330" w14:textId="77777777" w:rsidTr="00F27B88">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005D322" w14:textId="77777777" w:rsidR="00163B10" w:rsidRDefault="00163B10"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Gen X</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1A819213" w14:textId="3A010BEB" w:rsidR="00163B10"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77CDAAC1" w14:textId="1FF0FC99" w:rsidR="00163B10"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58</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281CB5BC" w14:textId="44F7354D" w:rsidR="00163B10"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074BE71" w14:textId="1C2EFD3F" w:rsidR="00163B10"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98"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49BAEA63" w14:textId="512B4EF2" w:rsidR="00163B10"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85</w:t>
            </w:r>
          </w:p>
        </w:tc>
      </w:tr>
      <w:tr w:rsidR="00F27B88" w:rsidRPr="005D1511" w14:paraId="77A80B76" w14:textId="77777777" w:rsidTr="00F27B88">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B52DF82" w14:textId="77777777" w:rsidR="00163B10" w:rsidRPr="004815C1" w:rsidRDefault="00163B10"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Baby Boomers</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05553441" w14:textId="75608276" w:rsidR="00163B10" w:rsidRPr="004815C1" w:rsidRDefault="00163B10" w:rsidP="00593473">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30C253AB" w14:textId="67F4F70F"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145</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2A10877C" w14:textId="74677999"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72A7B02" w14:textId="5B0AA102"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13BDE933" w14:textId="597A388A"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98</w:t>
            </w:r>
          </w:p>
        </w:tc>
      </w:tr>
      <w:tr w:rsidR="00E2534C" w:rsidRPr="005D1511" w14:paraId="78C94871" w14:textId="77777777" w:rsidTr="00E2534C">
        <w:tblPrEx>
          <w:tblBorders>
            <w:top w:val="none" w:sz="0" w:space="0" w:color="auto"/>
          </w:tblBorders>
        </w:tblPrEx>
        <w:trPr>
          <w:jc w:val="center"/>
        </w:trPr>
        <w:tc>
          <w:tcPr>
            <w:tcW w:w="200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04CCA814" w14:textId="77777777" w:rsidR="00163B10" w:rsidRPr="004815C1" w:rsidRDefault="00163B10"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Silent Generation</w:t>
            </w:r>
          </w:p>
        </w:tc>
        <w:tc>
          <w:tcPr>
            <w:tcW w:w="1492" w:type="dxa"/>
            <w:tcBorders>
              <w:top w:val="single" w:sz="4" w:space="0" w:color="000000"/>
              <w:left w:val="single" w:sz="18" w:space="0" w:color="0070C0"/>
              <w:bottom w:val="single" w:sz="12" w:space="0" w:color="auto"/>
              <w:right w:val="single" w:sz="8" w:space="0" w:color="0070C0"/>
            </w:tcBorders>
            <w:shd w:val="clear" w:color="auto" w:fill="FF0000"/>
            <w:vAlign w:val="center"/>
          </w:tcPr>
          <w:p w14:paraId="3A58C4A2" w14:textId="3733688C"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w:t>
            </w:r>
          </w:p>
        </w:tc>
        <w:tc>
          <w:tcPr>
            <w:tcW w:w="1498"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7A7C4B9F" w14:textId="607B6046"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31</w:t>
            </w:r>
          </w:p>
        </w:tc>
        <w:tc>
          <w:tcPr>
            <w:tcW w:w="1498" w:type="dxa"/>
            <w:tcBorders>
              <w:top w:val="single" w:sz="4" w:space="0" w:color="000000"/>
              <w:left w:val="single" w:sz="8" w:space="0" w:color="0070C0"/>
              <w:bottom w:val="single" w:sz="12" w:space="0" w:color="auto"/>
              <w:right w:val="single" w:sz="8" w:space="0" w:color="0070C0"/>
            </w:tcBorders>
            <w:shd w:val="clear" w:color="auto" w:fill="auto"/>
            <w:vAlign w:val="center"/>
          </w:tcPr>
          <w:p w14:paraId="0D6E0BA0" w14:textId="78294487" w:rsidR="00163B10" w:rsidRPr="00B00624"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w:t>
            </w:r>
          </w:p>
        </w:tc>
        <w:tc>
          <w:tcPr>
            <w:tcW w:w="1498" w:type="dxa"/>
            <w:tcBorders>
              <w:top w:val="single" w:sz="4" w:space="0" w:color="000000"/>
              <w:left w:val="single" w:sz="8" w:space="0" w:color="0070C0"/>
              <w:bottom w:val="single" w:sz="12" w:space="0" w:color="auto"/>
              <w:right w:val="single" w:sz="8" w:space="0" w:color="0070C0"/>
            </w:tcBorders>
            <w:shd w:val="clear" w:color="auto" w:fill="FF0000"/>
            <w:vAlign w:val="center"/>
          </w:tcPr>
          <w:p w14:paraId="51C0AC27" w14:textId="702919C5"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20</w:t>
            </w:r>
          </w:p>
        </w:tc>
        <w:tc>
          <w:tcPr>
            <w:tcW w:w="1498" w:type="dxa"/>
            <w:tcBorders>
              <w:top w:val="single" w:sz="4" w:space="0" w:color="000000"/>
              <w:left w:val="single" w:sz="8" w:space="0" w:color="0070C0"/>
              <w:bottom w:val="single" w:sz="12" w:space="0" w:color="auto"/>
              <w:right w:val="single" w:sz="12" w:space="0" w:color="000000"/>
            </w:tcBorders>
            <w:shd w:val="clear" w:color="auto" w:fill="F2F2F2" w:themeFill="background1" w:themeFillShade="F2"/>
            <w:vAlign w:val="center"/>
          </w:tcPr>
          <w:p w14:paraId="67992264" w14:textId="08071E59" w:rsidR="00163B10" w:rsidRPr="004815C1" w:rsidRDefault="00163B10" w:rsidP="00593473">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100</w:t>
            </w:r>
          </w:p>
        </w:tc>
      </w:tr>
    </w:tbl>
    <w:p w14:paraId="5CED0964" w14:textId="4053C142" w:rsidR="00163B10" w:rsidRPr="00F74B23" w:rsidRDefault="00163B10" w:rsidP="00163B10">
      <w:pPr>
        <w:spacing w:after="0" w:line="240" w:lineRule="auto"/>
        <w:contextualSpacing/>
        <w:mirrorIndents/>
        <w:rPr>
          <w:rFonts w:ascii="Verdana" w:hAnsi="Verdana"/>
          <w:sz w:val="16"/>
          <w:szCs w:val="16"/>
        </w:rPr>
      </w:pPr>
      <w:r w:rsidRPr="00573142">
        <w:rPr>
          <w:sz w:val="16"/>
          <w:szCs w:val="16"/>
        </w:rPr>
        <w:t xml:space="preserve">Based on The Media Audit’s 2021 surveys  </w:t>
      </w:r>
      <w:r w:rsidRPr="00573142">
        <w:rPr>
          <w:sz w:val="16"/>
          <w:szCs w:val="16"/>
        </w:rPr>
        <w:tab/>
      </w:r>
      <w:r>
        <w:rPr>
          <w:rFonts w:ascii="Verdana" w:eastAsia="Times New Roman" w:hAnsi="Verdana"/>
          <w:sz w:val="16"/>
          <w:szCs w:val="16"/>
        </w:rPr>
        <w:tab/>
      </w:r>
      <w:r w:rsidR="00E2534C">
        <w:rPr>
          <w:rFonts w:ascii="Verdana" w:eastAsia="Times New Roman" w:hAnsi="Verdana"/>
          <w:sz w:val="16"/>
          <w:szCs w:val="16"/>
        </w:rPr>
        <w:tab/>
      </w:r>
      <w:r w:rsidR="00E2534C">
        <w:rPr>
          <w:rFonts w:ascii="Verdana" w:eastAsia="Times New Roman" w:hAnsi="Verdana"/>
          <w:sz w:val="16"/>
          <w:szCs w:val="16"/>
        </w:rPr>
        <w:tab/>
      </w:r>
      <w:r w:rsidR="00E2534C">
        <w:rPr>
          <w:rFonts w:ascii="Verdana" w:eastAsia="Times New Roman" w:hAnsi="Verdana"/>
          <w:sz w:val="16"/>
          <w:szCs w:val="16"/>
        </w:rPr>
        <w:tab/>
      </w:r>
      <w:r>
        <w:rPr>
          <w:rFonts w:ascii="Verdana" w:eastAsia="Times New Roman" w:hAnsi="Verdana"/>
          <w:sz w:val="16"/>
          <w:szCs w:val="16"/>
        </w:rPr>
        <w:t>*insufficient data</w:t>
      </w:r>
    </w:p>
    <w:p w14:paraId="1B2548F5" w14:textId="57B3ADC5" w:rsidR="00144E12" w:rsidRDefault="007821BC" w:rsidP="00B2496C">
      <w:pPr>
        <w:spacing w:after="0" w:line="240" w:lineRule="auto"/>
        <w:contextualSpacing/>
        <w:mirrorIndents/>
        <w:rPr>
          <w:rFonts w:ascii="Verdana" w:hAnsi="Verdana"/>
          <w:sz w:val="20"/>
          <w:szCs w:val="20"/>
        </w:rPr>
      </w:pPr>
      <w:r>
        <w:rPr>
          <w:rFonts w:ascii="Verdana" w:hAnsi="Verdana"/>
          <w:sz w:val="20"/>
          <w:szCs w:val="20"/>
        </w:rPr>
        <w:t xml:space="preserve"> </w:t>
      </w:r>
    </w:p>
    <w:p w14:paraId="611100C9" w14:textId="77777777" w:rsidR="00144E12" w:rsidRDefault="00144E12" w:rsidP="00B2496C">
      <w:pPr>
        <w:spacing w:after="0" w:line="240" w:lineRule="auto"/>
        <w:contextualSpacing/>
        <w:mirrorIndents/>
        <w:rPr>
          <w:rFonts w:ascii="Verdana" w:hAnsi="Verdana"/>
          <w:sz w:val="20"/>
          <w:szCs w:val="20"/>
        </w:rPr>
      </w:pPr>
    </w:p>
    <w:p w14:paraId="25E7F631" w14:textId="77777777" w:rsidR="00E2534C" w:rsidRDefault="00E2534C" w:rsidP="00B2496C">
      <w:pPr>
        <w:spacing w:after="0" w:line="240" w:lineRule="auto"/>
        <w:contextualSpacing/>
        <w:mirrorIndents/>
        <w:rPr>
          <w:rFonts w:ascii="Verdana" w:hAnsi="Verdana"/>
          <w:sz w:val="20"/>
          <w:szCs w:val="20"/>
        </w:rPr>
      </w:pPr>
    </w:p>
    <w:p w14:paraId="7C212158" w14:textId="00CF5714" w:rsidR="00B2496C" w:rsidRPr="00E2534C" w:rsidRDefault="00E2534C" w:rsidP="00E2534C">
      <w:pPr>
        <w:spacing w:after="0" w:line="240" w:lineRule="auto"/>
        <w:contextualSpacing/>
        <w:mirrorIndents/>
        <w:jc w:val="center"/>
        <w:rPr>
          <w:rFonts w:ascii="Verdana" w:hAnsi="Verdana"/>
          <w:b/>
          <w:bCs/>
          <w:color w:val="0070C0"/>
          <w:sz w:val="20"/>
          <w:szCs w:val="20"/>
        </w:rPr>
      </w:pPr>
      <w:r w:rsidRPr="00E2534C">
        <w:rPr>
          <w:rFonts w:ascii="Verdana" w:hAnsi="Verdana"/>
          <w:b/>
          <w:bCs/>
          <w:color w:val="0070C0"/>
          <w:sz w:val="20"/>
          <w:szCs w:val="20"/>
        </w:rPr>
        <w:lastRenderedPageBreak/>
        <w:t>More Cycling Enthusiasts</w:t>
      </w:r>
      <w:r w:rsidR="00FB6C11">
        <w:rPr>
          <w:rFonts w:ascii="Verdana" w:hAnsi="Verdana"/>
          <w:b/>
          <w:bCs/>
          <w:color w:val="0070C0"/>
          <w:sz w:val="20"/>
          <w:szCs w:val="20"/>
        </w:rPr>
        <w:t>’</w:t>
      </w:r>
      <w:r w:rsidRPr="00E2534C">
        <w:rPr>
          <w:rFonts w:ascii="Verdana" w:hAnsi="Verdana"/>
          <w:b/>
          <w:bCs/>
          <w:color w:val="0070C0"/>
          <w:sz w:val="20"/>
          <w:szCs w:val="20"/>
        </w:rPr>
        <w:t xml:space="preserve"> Insights</w:t>
      </w:r>
    </w:p>
    <w:p w14:paraId="71C00D55" w14:textId="6FCC575C" w:rsidR="00E2534C" w:rsidRDefault="00E2534C" w:rsidP="00B2496C">
      <w:pPr>
        <w:spacing w:after="0" w:line="240" w:lineRule="auto"/>
        <w:contextualSpacing/>
        <w:mirrorIndents/>
        <w:rPr>
          <w:rFonts w:ascii="Verdana" w:hAnsi="Verdana"/>
          <w:sz w:val="20"/>
          <w:szCs w:val="20"/>
        </w:rPr>
      </w:pPr>
    </w:p>
    <w:p w14:paraId="0D404A67" w14:textId="04E5491A" w:rsidR="00E2534C" w:rsidRDefault="00F17764" w:rsidP="00B2496C">
      <w:pPr>
        <w:spacing w:after="0" w:line="240" w:lineRule="auto"/>
        <w:contextualSpacing/>
        <w:mirrorIndents/>
        <w:rPr>
          <w:rFonts w:ascii="Verdana" w:hAnsi="Verdana"/>
          <w:sz w:val="20"/>
          <w:szCs w:val="20"/>
        </w:rPr>
      </w:pPr>
      <w:r>
        <w:rPr>
          <w:rFonts w:ascii="Verdana" w:hAnsi="Verdana"/>
          <w:sz w:val="20"/>
          <w:szCs w:val="20"/>
        </w:rPr>
        <w:t xml:space="preserve">With more people in a hybrid-work situation, they are more likely to have the latitude to participate in outdoor activities during the day and </w:t>
      </w:r>
      <w:r w:rsidR="00E2534C">
        <w:rPr>
          <w:rFonts w:ascii="Verdana" w:hAnsi="Verdana"/>
          <w:sz w:val="20"/>
          <w:szCs w:val="20"/>
        </w:rPr>
        <w:t xml:space="preserve">The Media Audit data for the </w:t>
      </w:r>
      <w:r>
        <w:rPr>
          <w:rFonts w:ascii="Verdana" w:hAnsi="Verdana"/>
          <w:sz w:val="20"/>
          <w:szCs w:val="20"/>
        </w:rPr>
        <w:t xml:space="preserve">same </w:t>
      </w:r>
      <w:r w:rsidR="00E2534C">
        <w:rPr>
          <w:rFonts w:ascii="Verdana" w:hAnsi="Verdana"/>
          <w:sz w:val="20"/>
          <w:szCs w:val="20"/>
        </w:rPr>
        <w:t>five</w:t>
      </w:r>
      <w:r>
        <w:rPr>
          <w:rFonts w:ascii="Verdana" w:hAnsi="Verdana"/>
          <w:sz w:val="20"/>
          <w:szCs w:val="20"/>
        </w:rPr>
        <w:t xml:space="preserve"> </w:t>
      </w:r>
      <w:r w:rsidR="00E2534C">
        <w:rPr>
          <w:rFonts w:ascii="Verdana" w:hAnsi="Verdana"/>
          <w:sz w:val="20"/>
          <w:szCs w:val="20"/>
        </w:rPr>
        <w:t>consumer/market surveys on page 2</w:t>
      </w:r>
      <w:r>
        <w:rPr>
          <w:rFonts w:ascii="Verdana" w:hAnsi="Verdana"/>
          <w:sz w:val="20"/>
          <w:szCs w:val="20"/>
        </w:rPr>
        <w:t xml:space="preserve"> supports this trend.</w:t>
      </w:r>
    </w:p>
    <w:p w14:paraId="6B3216CD" w14:textId="7BA1A4B0" w:rsidR="00F17764" w:rsidRDefault="00F17764" w:rsidP="00B2496C">
      <w:pPr>
        <w:spacing w:after="0" w:line="240" w:lineRule="auto"/>
        <w:contextualSpacing/>
        <w:mirrorIndents/>
        <w:rPr>
          <w:rFonts w:ascii="Verdana" w:hAnsi="Verdana"/>
          <w:sz w:val="20"/>
          <w:szCs w:val="20"/>
        </w:rPr>
      </w:pPr>
    </w:p>
    <w:p w14:paraId="0337FBA3" w14:textId="4BD2CF3E" w:rsidR="00F17764" w:rsidRDefault="00F17764" w:rsidP="00B2496C">
      <w:pPr>
        <w:spacing w:after="0" w:line="240" w:lineRule="auto"/>
        <w:contextualSpacing/>
        <w:mirrorIndents/>
        <w:rPr>
          <w:rFonts w:ascii="Verdana" w:hAnsi="Verdana"/>
          <w:sz w:val="20"/>
          <w:szCs w:val="20"/>
        </w:rPr>
      </w:pPr>
      <w:r>
        <w:rPr>
          <w:rFonts w:ascii="Verdana" w:hAnsi="Verdana"/>
          <w:sz w:val="20"/>
          <w:szCs w:val="20"/>
        </w:rPr>
        <w:t>Averaging the indices in these five markets reveals adults 18+ who work from home 3–4 days/week over-indexed the most at 184 and those working 1–2 days/week from home over-indexed an average of 166.</w:t>
      </w:r>
    </w:p>
    <w:p w14:paraId="716563DF" w14:textId="59B566DC" w:rsidR="00F17764" w:rsidRDefault="00F17764" w:rsidP="00B2496C">
      <w:pPr>
        <w:spacing w:after="0" w:line="240" w:lineRule="auto"/>
        <w:contextualSpacing/>
        <w:mirrorIndents/>
        <w:rPr>
          <w:rFonts w:ascii="Verdana" w:hAnsi="Verdana"/>
          <w:sz w:val="20"/>
          <w:szCs w:val="20"/>
        </w:rPr>
      </w:pPr>
    </w:p>
    <w:p w14:paraId="4088D821" w14:textId="77777777" w:rsidR="00F17764" w:rsidRDefault="00F17764" w:rsidP="00F17764">
      <w:pPr>
        <w:spacing w:after="0" w:line="240" w:lineRule="auto"/>
        <w:contextualSpacing/>
        <w:mirrorIndents/>
        <w:jc w:val="center"/>
        <w:rPr>
          <w:b/>
          <w:bCs/>
          <w:sz w:val="20"/>
          <w:szCs w:val="20"/>
        </w:rPr>
      </w:pPr>
      <w:r>
        <w:rPr>
          <w:b/>
          <w:bCs/>
          <w:sz w:val="20"/>
          <w:szCs w:val="20"/>
        </w:rPr>
        <w:t xml:space="preserve">Indices of Adults 18+ Who Were Biking/Cycling During the Past 4 Weeks </w:t>
      </w:r>
    </w:p>
    <w:p w14:paraId="0CC94A25" w14:textId="15823DC8" w:rsidR="00F17764" w:rsidRPr="005D1511" w:rsidRDefault="00F17764" w:rsidP="00F17764">
      <w:pPr>
        <w:spacing w:after="0" w:line="240" w:lineRule="auto"/>
        <w:contextualSpacing/>
        <w:mirrorIndents/>
        <w:jc w:val="center"/>
        <w:rPr>
          <w:b/>
          <w:bCs/>
          <w:sz w:val="20"/>
          <w:szCs w:val="20"/>
        </w:rPr>
      </w:pPr>
      <w:r>
        <w:rPr>
          <w:b/>
          <w:bCs/>
          <w:sz w:val="20"/>
          <w:szCs w:val="20"/>
        </w:rPr>
        <w:t>by Their Heavy Exposure to Media, in Selected Markets</w:t>
      </w:r>
      <w:r w:rsidRPr="005D1511">
        <w:rPr>
          <w:b/>
          <w:bCs/>
          <w:sz w:val="20"/>
          <w:szCs w:val="20"/>
        </w:rPr>
        <w:t>, 202</w:t>
      </w:r>
      <w:r>
        <w:rPr>
          <w:b/>
          <w:bCs/>
          <w:sz w:val="20"/>
          <w:szCs w:val="20"/>
        </w:rPr>
        <w:t>1</w:t>
      </w:r>
    </w:p>
    <w:tbl>
      <w:tblPr>
        <w:tblW w:w="9487"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003"/>
        <w:gridCol w:w="1492"/>
        <w:gridCol w:w="1498"/>
        <w:gridCol w:w="1498"/>
        <w:gridCol w:w="1498"/>
        <w:gridCol w:w="1498"/>
      </w:tblGrid>
      <w:tr w:rsidR="00F17764" w:rsidRPr="005D1511" w14:paraId="7906899B" w14:textId="77777777" w:rsidTr="00593473">
        <w:trPr>
          <w:jc w:val="center"/>
        </w:trPr>
        <w:tc>
          <w:tcPr>
            <w:tcW w:w="2003"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212E2DBB" w14:textId="46E36FD0" w:rsidR="00F17764" w:rsidRPr="004815C1" w:rsidRDefault="002461A3"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Media</w:t>
            </w:r>
          </w:p>
        </w:tc>
        <w:tc>
          <w:tcPr>
            <w:tcW w:w="1492"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039D32EF" w14:textId="77777777" w:rsidR="00F17764" w:rsidRPr="004815C1" w:rsidRDefault="00F17764"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Miami-Ft. Lauderdale</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0B79FB0" w14:textId="77777777" w:rsidR="00F17764" w:rsidRPr="004815C1" w:rsidRDefault="00F17764"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Indianapolis</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5F760ADD" w14:textId="77777777" w:rsidR="00F17764" w:rsidRPr="004815C1" w:rsidRDefault="00F17764"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Denver</w:t>
            </w:r>
          </w:p>
        </w:tc>
        <w:tc>
          <w:tcPr>
            <w:tcW w:w="1498"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4E8B97A7" w14:textId="77777777" w:rsidR="00F17764" w:rsidRPr="004815C1" w:rsidRDefault="00F17764"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Monterey-Salinas, CA</w:t>
            </w:r>
          </w:p>
        </w:tc>
        <w:tc>
          <w:tcPr>
            <w:tcW w:w="1498"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5C45B390" w14:textId="77777777" w:rsidR="00F17764" w:rsidRPr="004815C1" w:rsidRDefault="00F17764" w:rsidP="00593473">
            <w:pPr>
              <w:widowControl w:val="0"/>
              <w:tabs>
                <w:tab w:val="left" w:pos="220"/>
                <w:tab w:val="left" w:pos="720"/>
              </w:tabs>
              <w:autoSpaceDE w:val="0"/>
              <w:autoSpaceDN w:val="0"/>
              <w:spacing w:after="0" w:line="240" w:lineRule="auto"/>
              <w:contextualSpacing/>
              <w:mirrorIndents/>
              <w:jc w:val="center"/>
              <w:rPr>
                <w:rFonts w:ascii="Verdana" w:eastAsia="Times New Roman" w:hAnsi="Verdana"/>
                <w:sz w:val="20"/>
                <w:szCs w:val="20"/>
              </w:rPr>
            </w:pPr>
            <w:r>
              <w:rPr>
                <w:rFonts w:ascii="Verdana" w:eastAsia="Times New Roman" w:hAnsi="Verdana"/>
                <w:sz w:val="20"/>
                <w:szCs w:val="20"/>
              </w:rPr>
              <w:t>Portland, OR</w:t>
            </w:r>
          </w:p>
        </w:tc>
      </w:tr>
      <w:tr w:rsidR="00F17764" w:rsidRPr="005D1511" w14:paraId="6C3C7D84" w14:textId="77777777" w:rsidTr="008A5C21">
        <w:tblPrEx>
          <w:tblBorders>
            <w:top w:val="none" w:sz="0" w:space="0" w:color="auto"/>
          </w:tblBorders>
        </w:tblPrEx>
        <w:trPr>
          <w:jc w:val="center"/>
        </w:trPr>
        <w:tc>
          <w:tcPr>
            <w:tcW w:w="2003" w:type="dxa"/>
            <w:tcBorders>
              <w:top w:val="single" w:sz="18" w:space="0" w:color="C0504D" w:themeColor="accent2"/>
              <w:left w:val="single" w:sz="12" w:space="0" w:color="000000"/>
              <w:bottom w:val="single" w:sz="4" w:space="0" w:color="000000"/>
              <w:right w:val="single" w:sz="18" w:space="0" w:color="0070C0"/>
            </w:tcBorders>
            <w:shd w:val="clear" w:color="auto" w:fill="auto"/>
            <w:vAlign w:val="center"/>
          </w:tcPr>
          <w:p w14:paraId="0AD9E78A" w14:textId="1CC14508" w:rsidR="00F17764"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Radio</w:t>
            </w:r>
          </w:p>
        </w:tc>
        <w:tc>
          <w:tcPr>
            <w:tcW w:w="1492" w:type="dxa"/>
            <w:tcBorders>
              <w:top w:val="single" w:sz="18" w:space="0" w:color="C0504D" w:themeColor="accent2"/>
              <w:left w:val="single" w:sz="18" w:space="0" w:color="0070C0"/>
              <w:bottom w:val="single" w:sz="4" w:space="0" w:color="auto"/>
              <w:right w:val="single" w:sz="8" w:space="0" w:color="0070C0"/>
            </w:tcBorders>
            <w:shd w:val="clear" w:color="auto" w:fill="EAF1DD" w:themeFill="accent3" w:themeFillTint="33"/>
            <w:vAlign w:val="center"/>
          </w:tcPr>
          <w:p w14:paraId="64943FB8" w14:textId="7477F238"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102</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65D6497" w14:textId="0F5D1EA1"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142</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67E8BA29" w14:textId="20ACB79F"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136</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92D050"/>
            <w:vAlign w:val="center"/>
          </w:tcPr>
          <w:p w14:paraId="663AB7C5" w14:textId="5E54FF39"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156</w:t>
            </w:r>
          </w:p>
        </w:tc>
        <w:tc>
          <w:tcPr>
            <w:tcW w:w="1498" w:type="dxa"/>
            <w:tcBorders>
              <w:top w:val="single" w:sz="18" w:space="0" w:color="C0504D" w:themeColor="accent2"/>
              <w:left w:val="single" w:sz="8" w:space="0" w:color="0070C0"/>
              <w:bottom w:val="single" w:sz="4" w:space="0" w:color="auto"/>
              <w:right w:val="single" w:sz="12" w:space="0" w:color="000000"/>
            </w:tcBorders>
            <w:shd w:val="clear" w:color="auto" w:fill="C2D69B" w:themeFill="accent3" w:themeFillTint="99"/>
            <w:vAlign w:val="center"/>
          </w:tcPr>
          <w:p w14:paraId="75A8EA96" w14:textId="63DDDE03" w:rsidR="00F17764" w:rsidRPr="004815C1" w:rsidRDefault="002461A3" w:rsidP="008A5C21">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143</w:t>
            </w:r>
          </w:p>
        </w:tc>
      </w:tr>
      <w:tr w:rsidR="00F17764" w:rsidRPr="005D1511" w14:paraId="389D8761"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67A82910" w14:textId="3EB15420" w:rsidR="00F17764"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TV</w:t>
            </w:r>
          </w:p>
        </w:tc>
        <w:tc>
          <w:tcPr>
            <w:tcW w:w="1492" w:type="dxa"/>
            <w:tcBorders>
              <w:top w:val="single" w:sz="4" w:space="0" w:color="auto"/>
              <w:left w:val="single" w:sz="18" w:space="0" w:color="0070C0"/>
              <w:bottom w:val="single" w:sz="4" w:space="0" w:color="000000"/>
              <w:right w:val="single" w:sz="8" w:space="0" w:color="0070C0"/>
            </w:tcBorders>
            <w:shd w:val="clear" w:color="auto" w:fill="F2DBDB" w:themeFill="accent2" w:themeFillTint="33"/>
            <w:vAlign w:val="center"/>
          </w:tcPr>
          <w:p w14:paraId="393C2B3F" w14:textId="40A88329"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93</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5453E0F5" w14:textId="2A031EEA"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97</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30EA0560" w14:textId="4129A630"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74</w:t>
            </w:r>
          </w:p>
        </w:tc>
        <w:tc>
          <w:tcPr>
            <w:tcW w:w="1498" w:type="dxa"/>
            <w:tcBorders>
              <w:top w:val="single" w:sz="4" w:space="0" w:color="auto"/>
              <w:left w:val="single" w:sz="8" w:space="0" w:color="0070C0"/>
              <w:bottom w:val="single" w:sz="4" w:space="0" w:color="000000"/>
              <w:right w:val="single" w:sz="8" w:space="0" w:color="0070C0"/>
            </w:tcBorders>
            <w:shd w:val="clear" w:color="auto" w:fill="F2DBDB" w:themeFill="accent2" w:themeFillTint="33"/>
            <w:vAlign w:val="center"/>
          </w:tcPr>
          <w:p w14:paraId="1CDCFCB5" w14:textId="30061629"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99</w:t>
            </w:r>
          </w:p>
        </w:tc>
        <w:tc>
          <w:tcPr>
            <w:tcW w:w="1498"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64D77482" w14:textId="608081B1" w:rsidR="00F17764" w:rsidRPr="00B0062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88</w:t>
            </w:r>
          </w:p>
        </w:tc>
      </w:tr>
      <w:tr w:rsidR="002461A3" w:rsidRPr="005D1511" w14:paraId="613AEE12"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4FAEBB4" w14:textId="672001A6" w:rsidR="002461A3"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Newspaper</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59315E83" w14:textId="1B60F395"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144</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5603A6D3" w14:textId="3A36ADCB"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104</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6523C152" w14:textId="72D9C422"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27BC4A5F" w14:textId="5EB4C49D"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154</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7D7DE158" w14:textId="59F4F39A" w:rsidR="002461A3" w:rsidRPr="00B0062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140</w:t>
            </w:r>
          </w:p>
        </w:tc>
      </w:tr>
      <w:tr w:rsidR="002461A3" w:rsidRPr="005D1511" w14:paraId="26AA358F"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4C71166" w14:textId="5E5BE485" w:rsidR="002461A3"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Outdoor</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03F33F57" w14:textId="5A7BCEC0"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5D19272" w14:textId="2A091DB5"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138</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3EBEED6" w14:textId="35DF6C7F"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115</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3D367643" w14:textId="33AF641B"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126</w:t>
            </w:r>
          </w:p>
        </w:tc>
        <w:tc>
          <w:tcPr>
            <w:tcW w:w="1498" w:type="dxa"/>
            <w:tcBorders>
              <w:top w:val="single" w:sz="4" w:space="0" w:color="auto"/>
              <w:left w:val="single" w:sz="8" w:space="0" w:color="0070C0"/>
              <w:bottom w:val="single" w:sz="4" w:space="0" w:color="000000"/>
              <w:right w:val="single" w:sz="12" w:space="0" w:color="000000"/>
            </w:tcBorders>
            <w:shd w:val="clear" w:color="auto" w:fill="00B050"/>
            <w:vAlign w:val="center"/>
          </w:tcPr>
          <w:p w14:paraId="6D63BF2E" w14:textId="3485A2DA" w:rsidR="002461A3" w:rsidRPr="00B0062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173</w:t>
            </w:r>
          </w:p>
        </w:tc>
      </w:tr>
      <w:tr w:rsidR="002461A3" w:rsidRPr="005D1511" w14:paraId="27F4BA11"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2E83FA7D" w14:textId="681C2AD9" w:rsidR="002461A3"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Direct mail</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182D61DB" w14:textId="6E6E0A19"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00FDD3C" w14:textId="7DABBDFF"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111</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BA71600" w14:textId="45E95996"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104</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7403B140" w14:textId="23549EBC"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153</w:t>
            </w:r>
          </w:p>
        </w:tc>
        <w:tc>
          <w:tcPr>
            <w:tcW w:w="1498" w:type="dxa"/>
            <w:tcBorders>
              <w:top w:val="single" w:sz="4" w:space="0" w:color="auto"/>
              <w:left w:val="single" w:sz="8" w:space="0" w:color="0070C0"/>
              <w:bottom w:val="single" w:sz="4" w:space="0" w:color="000000"/>
              <w:right w:val="single" w:sz="12" w:space="0" w:color="000000"/>
            </w:tcBorders>
            <w:shd w:val="clear" w:color="auto" w:fill="C2D69B" w:themeFill="accent3" w:themeFillTint="99"/>
            <w:vAlign w:val="center"/>
          </w:tcPr>
          <w:p w14:paraId="4CB3C761" w14:textId="0EEFC7EE" w:rsidR="002461A3" w:rsidRPr="00B0062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133</w:t>
            </w:r>
          </w:p>
        </w:tc>
      </w:tr>
      <w:tr w:rsidR="002461A3" w:rsidRPr="005D1511" w14:paraId="394F22B4"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5127A31D" w14:textId="219E96E9" w:rsidR="002461A3"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Internet</w:t>
            </w:r>
          </w:p>
        </w:tc>
        <w:tc>
          <w:tcPr>
            <w:tcW w:w="1492" w:type="dxa"/>
            <w:tcBorders>
              <w:top w:val="single" w:sz="4" w:space="0" w:color="auto"/>
              <w:left w:val="single" w:sz="18" w:space="0" w:color="0070C0"/>
              <w:bottom w:val="single" w:sz="4" w:space="0" w:color="000000"/>
              <w:right w:val="single" w:sz="8" w:space="0" w:color="0070C0"/>
            </w:tcBorders>
            <w:shd w:val="clear" w:color="auto" w:fill="EAF1DD" w:themeFill="accent3" w:themeFillTint="33"/>
            <w:vAlign w:val="center"/>
          </w:tcPr>
          <w:p w14:paraId="78A979DB" w14:textId="7703AE25"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101</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18B4BD19" w14:textId="2DFA3BF6"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79</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8C72958" w14:textId="2CC3B36B"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107</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B89F6D3" w14:textId="7DB3AAE9"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106</w:t>
            </w:r>
          </w:p>
        </w:tc>
        <w:tc>
          <w:tcPr>
            <w:tcW w:w="1498" w:type="dxa"/>
            <w:tcBorders>
              <w:top w:val="single" w:sz="4" w:space="0" w:color="auto"/>
              <w:left w:val="single" w:sz="8" w:space="0" w:color="0070C0"/>
              <w:bottom w:val="single" w:sz="4" w:space="0" w:color="000000"/>
              <w:right w:val="single" w:sz="12" w:space="0" w:color="000000"/>
            </w:tcBorders>
            <w:shd w:val="clear" w:color="auto" w:fill="E5B8B7" w:themeFill="accent2" w:themeFillTint="66"/>
            <w:vAlign w:val="center"/>
          </w:tcPr>
          <w:p w14:paraId="36CEDF09" w14:textId="460065DA" w:rsidR="002461A3" w:rsidRPr="00B0062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87</w:t>
            </w:r>
          </w:p>
        </w:tc>
      </w:tr>
      <w:tr w:rsidR="002461A3" w:rsidRPr="005D1511" w14:paraId="01AB6C0E"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18464E9F" w14:textId="75805205" w:rsidR="002461A3"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Social Media</w:t>
            </w:r>
          </w:p>
        </w:tc>
        <w:tc>
          <w:tcPr>
            <w:tcW w:w="1492" w:type="dxa"/>
            <w:tcBorders>
              <w:top w:val="single" w:sz="4" w:space="0" w:color="auto"/>
              <w:left w:val="single" w:sz="18" w:space="0" w:color="0070C0"/>
              <w:bottom w:val="single" w:sz="4" w:space="0" w:color="000000"/>
              <w:right w:val="single" w:sz="8" w:space="0" w:color="0070C0"/>
            </w:tcBorders>
            <w:shd w:val="clear" w:color="auto" w:fill="D6E3BC" w:themeFill="accent3" w:themeFillTint="66"/>
            <w:vAlign w:val="center"/>
          </w:tcPr>
          <w:p w14:paraId="5C42EE65" w14:textId="1ACF0EB0"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121</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0EC08138" w14:textId="22B4E5EA"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82</w:t>
            </w:r>
          </w:p>
        </w:tc>
        <w:tc>
          <w:tcPr>
            <w:tcW w:w="149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0A2A03BC" w14:textId="5BDE0A9C"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103</w:t>
            </w:r>
          </w:p>
        </w:tc>
        <w:tc>
          <w:tcPr>
            <w:tcW w:w="1498" w:type="dxa"/>
            <w:tcBorders>
              <w:top w:val="single" w:sz="4" w:space="0" w:color="auto"/>
              <w:left w:val="single" w:sz="8" w:space="0" w:color="0070C0"/>
              <w:bottom w:val="single" w:sz="4" w:space="0" w:color="000000"/>
              <w:right w:val="single" w:sz="8" w:space="0" w:color="0070C0"/>
            </w:tcBorders>
            <w:shd w:val="clear" w:color="auto" w:fill="D99594" w:themeFill="accent2" w:themeFillTint="99"/>
            <w:vAlign w:val="center"/>
          </w:tcPr>
          <w:p w14:paraId="08DDF43B" w14:textId="5F54FFF7" w:rsidR="002461A3"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71</w:t>
            </w:r>
          </w:p>
        </w:tc>
        <w:tc>
          <w:tcPr>
            <w:tcW w:w="1498" w:type="dxa"/>
            <w:tcBorders>
              <w:top w:val="single" w:sz="4" w:space="0" w:color="auto"/>
              <w:left w:val="single" w:sz="8" w:space="0" w:color="0070C0"/>
              <w:bottom w:val="single" w:sz="4" w:space="0" w:color="000000"/>
              <w:right w:val="single" w:sz="12" w:space="0" w:color="000000"/>
            </w:tcBorders>
            <w:shd w:val="clear" w:color="auto" w:fill="D6E3BC" w:themeFill="accent3" w:themeFillTint="66"/>
            <w:vAlign w:val="center"/>
          </w:tcPr>
          <w:p w14:paraId="45EF2000" w14:textId="6245A1F1" w:rsidR="002461A3" w:rsidRPr="00B0062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113</w:t>
            </w:r>
          </w:p>
        </w:tc>
      </w:tr>
      <w:tr w:rsidR="00F17764" w:rsidRPr="005D1511" w14:paraId="6028279C"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0E5F5A26" w14:textId="3DF18C8B" w:rsidR="00F17764"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Audio streaming</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B122956" w14:textId="0C5D288C" w:rsidR="00F1776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135</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2C8B7AA" w14:textId="051E0CFD" w:rsidR="00F1776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144</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93AAC21" w14:textId="1E9DFF7B" w:rsidR="00F1776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125</w:t>
            </w:r>
          </w:p>
        </w:tc>
        <w:tc>
          <w:tcPr>
            <w:tcW w:w="149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AEA50C0" w14:textId="1876B9D5" w:rsidR="00F1776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119</w:t>
            </w:r>
          </w:p>
        </w:tc>
        <w:tc>
          <w:tcPr>
            <w:tcW w:w="1498" w:type="dxa"/>
            <w:tcBorders>
              <w:top w:val="single" w:sz="4" w:space="0" w:color="auto"/>
              <w:left w:val="single" w:sz="8" w:space="0" w:color="0070C0"/>
              <w:bottom w:val="single" w:sz="4" w:space="0" w:color="000000"/>
              <w:right w:val="single" w:sz="12" w:space="0" w:color="000000"/>
            </w:tcBorders>
            <w:shd w:val="clear" w:color="auto" w:fill="F2DBDB" w:themeFill="accent2" w:themeFillTint="33"/>
            <w:vAlign w:val="center"/>
          </w:tcPr>
          <w:p w14:paraId="5A28894D" w14:textId="0040E097" w:rsidR="00F1776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92</w:t>
            </w:r>
          </w:p>
        </w:tc>
      </w:tr>
      <w:tr w:rsidR="00F17764" w:rsidRPr="005D1511" w14:paraId="2F79BF12"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4" w:space="0" w:color="000000"/>
              <w:right w:val="single" w:sz="18" w:space="0" w:color="0070C0"/>
            </w:tcBorders>
            <w:shd w:val="clear" w:color="auto" w:fill="auto"/>
            <w:vAlign w:val="center"/>
          </w:tcPr>
          <w:p w14:paraId="7F84874D" w14:textId="27D76216" w:rsidR="00F17764"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Podcast listening</w:t>
            </w:r>
          </w:p>
        </w:tc>
        <w:tc>
          <w:tcPr>
            <w:tcW w:w="1492"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A4789F0" w14:textId="7EA054B1" w:rsidR="00F17764" w:rsidRPr="004815C1" w:rsidRDefault="002461A3" w:rsidP="008A5C21">
            <w:pPr>
              <w:widowControl w:val="0"/>
              <w:tabs>
                <w:tab w:val="left" w:pos="220"/>
                <w:tab w:val="left" w:pos="720"/>
              </w:tabs>
              <w:autoSpaceDE w:val="0"/>
              <w:autoSpaceDN w:val="0"/>
              <w:spacing w:after="0" w:line="240" w:lineRule="auto"/>
              <w:ind w:left="360"/>
              <w:contextualSpacing/>
              <w:mirrorIndents/>
              <w:jc w:val="right"/>
              <w:rPr>
                <w:rFonts w:ascii="Verdana" w:eastAsia="Times New Roman" w:hAnsi="Verdana"/>
                <w:sz w:val="20"/>
                <w:szCs w:val="20"/>
              </w:rPr>
            </w:pPr>
            <w:r>
              <w:rPr>
                <w:rFonts w:ascii="Verdana" w:eastAsia="Times New Roman" w:hAnsi="Verdana"/>
                <w:sz w:val="20"/>
                <w:szCs w:val="20"/>
              </w:rPr>
              <w:t>129</w:t>
            </w:r>
          </w:p>
        </w:tc>
        <w:tc>
          <w:tcPr>
            <w:tcW w:w="1498" w:type="dxa"/>
            <w:tcBorders>
              <w:top w:val="single" w:sz="4" w:space="0" w:color="auto"/>
              <w:left w:val="single" w:sz="8" w:space="0" w:color="0070C0"/>
              <w:bottom w:val="single" w:sz="4" w:space="0" w:color="000000"/>
              <w:right w:val="single" w:sz="8" w:space="0" w:color="0070C0"/>
            </w:tcBorders>
            <w:shd w:val="clear" w:color="auto" w:fill="00B050"/>
            <w:vAlign w:val="center"/>
          </w:tcPr>
          <w:p w14:paraId="4583847E" w14:textId="0B1E154E"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222</w:t>
            </w:r>
          </w:p>
        </w:tc>
        <w:tc>
          <w:tcPr>
            <w:tcW w:w="1498" w:type="dxa"/>
            <w:tcBorders>
              <w:top w:val="single" w:sz="4" w:space="0" w:color="auto"/>
              <w:left w:val="single" w:sz="8" w:space="0" w:color="0070C0"/>
              <w:bottom w:val="single" w:sz="4" w:space="0" w:color="000000"/>
              <w:right w:val="single" w:sz="8" w:space="0" w:color="0070C0"/>
            </w:tcBorders>
            <w:shd w:val="clear" w:color="auto" w:fill="E5B8B7" w:themeFill="accent2" w:themeFillTint="66"/>
            <w:vAlign w:val="center"/>
          </w:tcPr>
          <w:p w14:paraId="617EBA7A" w14:textId="2F46554D"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84</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55C4B8F4" w14:textId="3161A437"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155</w:t>
            </w:r>
          </w:p>
        </w:tc>
        <w:tc>
          <w:tcPr>
            <w:tcW w:w="1498" w:type="dxa"/>
            <w:tcBorders>
              <w:top w:val="single" w:sz="4" w:space="0" w:color="auto"/>
              <w:left w:val="single" w:sz="8" w:space="0" w:color="0070C0"/>
              <w:bottom w:val="single" w:sz="4" w:space="0" w:color="000000"/>
              <w:right w:val="single" w:sz="12" w:space="0" w:color="000000"/>
            </w:tcBorders>
            <w:shd w:val="clear" w:color="auto" w:fill="92D050"/>
            <w:vAlign w:val="center"/>
          </w:tcPr>
          <w:p w14:paraId="76F85249" w14:textId="539AA9DC"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162</w:t>
            </w:r>
          </w:p>
        </w:tc>
      </w:tr>
      <w:tr w:rsidR="00F17764" w:rsidRPr="005D1511" w14:paraId="49B06325" w14:textId="77777777" w:rsidTr="008A5C21">
        <w:tblPrEx>
          <w:tblBorders>
            <w:top w:val="none" w:sz="0" w:space="0" w:color="auto"/>
          </w:tblBorders>
        </w:tblPrEx>
        <w:trPr>
          <w:jc w:val="center"/>
        </w:trPr>
        <w:tc>
          <w:tcPr>
            <w:tcW w:w="2003" w:type="dxa"/>
            <w:tcBorders>
              <w:top w:val="single" w:sz="4" w:space="0" w:color="000000"/>
              <w:left w:val="single" w:sz="12" w:space="0" w:color="000000"/>
              <w:bottom w:val="single" w:sz="12" w:space="0" w:color="auto"/>
              <w:right w:val="single" w:sz="18" w:space="0" w:color="0070C0"/>
            </w:tcBorders>
            <w:shd w:val="clear" w:color="auto" w:fill="auto"/>
            <w:vAlign w:val="center"/>
          </w:tcPr>
          <w:p w14:paraId="6CA3D573" w14:textId="2A05ED45" w:rsidR="00F17764" w:rsidRPr="004815C1" w:rsidRDefault="002461A3" w:rsidP="00593473">
            <w:pPr>
              <w:widowControl w:val="0"/>
              <w:tabs>
                <w:tab w:val="left" w:pos="220"/>
                <w:tab w:val="left" w:pos="720"/>
              </w:tabs>
              <w:autoSpaceDE w:val="0"/>
              <w:autoSpaceDN w:val="0"/>
              <w:spacing w:after="0" w:line="240" w:lineRule="auto"/>
              <w:contextualSpacing/>
              <w:mirrorIndents/>
              <w:rPr>
                <w:rFonts w:ascii="Verdana" w:eastAsia="Times New Roman" w:hAnsi="Verdana"/>
                <w:sz w:val="20"/>
                <w:szCs w:val="20"/>
              </w:rPr>
            </w:pPr>
            <w:r>
              <w:rPr>
                <w:rFonts w:ascii="Verdana" w:eastAsia="Times New Roman" w:hAnsi="Verdana"/>
                <w:sz w:val="20"/>
                <w:szCs w:val="20"/>
              </w:rPr>
              <w:t>Video streaming</w:t>
            </w:r>
          </w:p>
        </w:tc>
        <w:tc>
          <w:tcPr>
            <w:tcW w:w="1492" w:type="dxa"/>
            <w:tcBorders>
              <w:top w:val="single" w:sz="4" w:space="0" w:color="000000"/>
              <w:left w:val="single" w:sz="18" w:space="0" w:color="0070C0"/>
              <w:bottom w:val="single" w:sz="12" w:space="0" w:color="auto"/>
              <w:right w:val="single" w:sz="8" w:space="0" w:color="0070C0"/>
            </w:tcBorders>
            <w:shd w:val="clear" w:color="auto" w:fill="D6E3BC" w:themeFill="accent3" w:themeFillTint="66"/>
            <w:vAlign w:val="center"/>
          </w:tcPr>
          <w:p w14:paraId="64409AA8" w14:textId="36CDCDA0"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122</w:t>
            </w:r>
          </w:p>
        </w:tc>
        <w:tc>
          <w:tcPr>
            <w:tcW w:w="1498" w:type="dxa"/>
            <w:tcBorders>
              <w:top w:val="single" w:sz="4" w:space="0" w:color="000000"/>
              <w:left w:val="single" w:sz="8" w:space="0" w:color="0070C0"/>
              <w:bottom w:val="single" w:sz="12" w:space="0" w:color="auto"/>
              <w:right w:val="single" w:sz="8" w:space="0" w:color="0070C0"/>
            </w:tcBorders>
            <w:shd w:val="clear" w:color="auto" w:fill="C2D69B" w:themeFill="accent3" w:themeFillTint="99"/>
            <w:vAlign w:val="center"/>
          </w:tcPr>
          <w:p w14:paraId="1D79FEDE" w14:textId="430664EB"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141</w:t>
            </w:r>
          </w:p>
        </w:tc>
        <w:tc>
          <w:tcPr>
            <w:tcW w:w="1498" w:type="dxa"/>
            <w:tcBorders>
              <w:top w:val="single" w:sz="4" w:space="0" w:color="000000"/>
              <w:left w:val="single" w:sz="8" w:space="0" w:color="0070C0"/>
              <w:bottom w:val="single" w:sz="12" w:space="0" w:color="auto"/>
              <w:right w:val="single" w:sz="8" w:space="0" w:color="0070C0"/>
            </w:tcBorders>
            <w:shd w:val="clear" w:color="auto" w:fill="F2DBDB" w:themeFill="accent2" w:themeFillTint="33"/>
            <w:vAlign w:val="center"/>
          </w:tcPr>
          <w:p w14:paraId="6C334A56" w14:textId="13B5859A" w:rsidR="00F17764" w:rsidRPr="00B00624"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98</w:t>
            </w:r>
          </w:p>
        </w:tc>
        <w:tc>
          <w:tcPr>
            <w:tcW w:w="1498" w:type="dxa"/>
            <w:tcBorders>
              <w:top w:val="single" w:sz="4" w:space="0" w:color="000000"/>
              <w:left w:val="single" w:sz="8" w:space="0" w:color="0070C0"/>
              <w:bottom w:val="single" w:sz="12" w:space="0" w:color="auto"/>
              <w:right w:val="single" w:sz="8" w:space="0" w:color="0070C0"/>
            </w:tcBorders>
            <w:shd w:val="clear" w:color="auto" w:fill="E5B8B7" w:themeFill="accent2" w:themeFillTint="66"/>
            <w:vAlign w:val="center"/>
          </w:tcPr>
          <w:p w14:paraId="06B7AE38" w14:textId="7D378618"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86</w:t>
            </w:r>
          </w:p>
        </w:tc>
        <w:tc>
          <w:tcPr>
            <w:tcW w:w="1498" w:type="dxa"/>
            <w:tcBorders>
              <w:top w:val="single" w:sz="4" w:space="0" w:color="000000"/>
              <w:left w:val="single" w:sz="8" w:space="0" w:color="0070C0"/>
              <w:bottom w:val="single" w:sz="12" w:space="0" w:color="auto"/>
              <w:right w:val="single" w:sz="12" w:space="0" w:color="000000"/>
            </w:tcBorders>
            <w:shd w:val="clear" w:color="auto" w:fill="F2DBDB" w:themeFill="accent2" w:themeFillTint="33"/>
            <w:vAlign w:val="center"/>
          </w:tcPr>
          <w:p w14:paraId="4FA36040" w14:textId="2EFD211B" w:rsidR="00F17764" w:rsidRPr="004815C1" w:rsidRDefault="002461A3" w:rsidP="008A5C21">
            <w:pPr>
              <w:widowControl w:val="0"/>
              <w:numPr>
                <w:ilvl w:val="0"/>
                <w:numId w:val="1"/>
              </w:numPr>
              <w:tabs>
                <w:tab w:val="left" w:pos="220"/>
                <w:tab w:val="left" w:pos="720"/>
              </w:tabs>
              <w:autoSpaceDE w:val="0"/>
              <w:autoSpaceDN w:val="0"/>
              <w:spacing w:after="0" w:line="240" w:lineRule="auto"/>
              <w:ind w:left="0" w:firstLine="0"/>
              <w:contextualSpacing/>
              <w:mirrorIndents/>
              <w:jc w:val="right"/>
              <w:rPr>
                <w:rFonts w:ascii="Verdana" w:eastAsia="Times New Roman" w:hAnsi="Verdana"/>
                <w:sz w:val="20"/>
                <w:szCs w:val="20"/>
              </w:rPr>
            </w:pPr>
            <w:r>
              <w:rPr>
                <w:rFonts w:ascii="Verdana" w:eastAsia="Times New Roman" w:hAnsi="Verdana"/>
                <w:sz w:val="20"/>
                <w:szCs w:val="20"/>
              </w:rPr>
              <w:t>91</w:t>
            </w:r>
          </w:p>
        </w:tc>
      </w:tr>
    </w:tbl>
    <w:p w14:paraId="1F37E1B6" w14:textId="1DF2FFA0" w:rsidR="00F17764" w:rsidRPr="00B2496C" w:rsidRDefault="00F17764" w:rsidP="00B2496C">
      <w:pPr>
        <w:spacing w:after="0" w:line="240" w:lineRule="auto"/>
        <w:contextualSpacing/>
        <w:mirrorIndents/>
        <w:rPr>
          <w:rFonts w:ascii="Verdana" w:hAnsi="Verdana"/>
          <w:sz w:val="20"/>
          <w:szCs w:val="20"/>
        </w:rPr>
      </w:pPr>
      <w:r w:rsidRPr="00573142">
        <w:rPr>
          <w:sz w:val="16"/>
          <w:szCs w:val="16"/>
        </w:rPr>
        <w:t xml:space="preserve">Based on The Media Audit’s 2021 surveys  </w:t>
      </w:r>
      <w:r w:rsidRPr="00573142">
        <w:rPr>
          <w:sz w:val="16"/>
          <w:szCs w:val="16"/>
        </w:rPr>
        <w:tab/>
      </w:r>
      <w:r w:rsidR="001B3F86">
        <w:rPr>
          <w:sz w:val="16"/>
          <w:szCs w:val="16"/>
        </w:rPr>
        <w:t>(see page four for heavy exposure amounts)</w:t>
      </w:r>
    </w:p>
    <w:p w14:paraId="1E093903" w14:textId="77777777" w:rsidR="00B2496C" w:rsidRPr="00B2496C" w:rsidRDefault="00B2496C" w:rsidP="00B2496C">
      <w:pPr>
        <w:spacing w:after="0" w:line="240" w:lineRule="auto"/>
        <w:contextualSpacing/>
        <w:mirrorIndents/>
        <w:rPr>
          <w:rFonts w:ascii="Verdana" w:hAnsi="Verdana"/>
          <w:sz w:val="20"/>
          <w:szCs w:val="20"/>
        </w:rPr>
      </w:pPr>
    </w:p>
    <w:p w14:paraId="62DCEE4C" w14:textId="2C54ECCE" w:rsidR="00B2496C" w:rsidRPr="00C673C8" w:rsidRDefault="00C673C8" w:rsidP="00C673C8">
      <w:pPr>
        <w:spacing w:after="0" w:line="240" w:lineRule="auto"/>
        <w:contextualSpacing/>
        <w:mirrorIndents/>
        <w:jc w:val="center"/>
        <w:rPr>
          <w:rFonts w:ascii="Verdana" w:hAnsi="Verdana"/>
          <w:b/>
          <w:bCs/>
          <w:color w:val="0070C0"/>
          <w:sz w:val="20"/>
          <w:szCs w:val="20"/>
        </w:rPr>
      </w:pPr>
      <w:r w:rsidRPr="00C673C8">
        <w:rPr>
          <w:rFonts w:ascii="Verdana" w:hAnsi="Verdana"/>
          <w:b/>
          <w:bCs/>
          <w:color w:val="0070C0"/>
          <w:sz w:val="20"/>
          <w:szCs w:val="20"/>
        </w:rPr>
        <w:t>The First Outlook for the Spring 2022 Season</w:t>
      </w:r>
    </w:p>
    <w:p w14:paraId="286AC9F6" w14:textId="77777777" w:rsidR="00F94CE8" w:rsidRPr="00B2496C" w:rsidRDefault="00F94CE8" w:rsidP="00B2496C">
      <w:pPr>
        <w:pStyle w:val="NoSpacing"/>
        <w:contextualSpacing/>
        <w:mirrorIndents/>
        <w:rPr>
          <w:rFonts w:ascii="Verdana" w:hAnsi="Verdana"/>
          <w:sz w:val="20"/>
          <w:szCs w:val="20"/>
        </w:rPr>
      </w:pPr>
    </w:p>
    <w:p w14:paraId="23D2BAA2" w14:textId="06D9F095" w:rsidR="00F94CE8" w:rsidRPr="00B2496C" w:rsidRDefault="00C673C8" w:rsidP="00B2496C">
      <w:pPr>
        <w:pStyle w:val="NoSpacing"/>
        <w:contextualSpacing/>
        <w:mirrorIndents/>
        <w:rPr>
          <w:rFonts w:ascii="Verdana" w:hAnsi="Verdana"/>
          <w:sz w:val="20"/>
          <w:szCs w:val="20"/>
        </w:rPr>
      </w:pPr>
      <w:r>
        <w:rPr>
          <w:rFonts w:ascii="Verdana" w:hAnsi="Verdana"/>
          <w:sz w:val="20"/>
          <w:szCs w:val="20"/>
        </w:rPr>
        <w:t>As many bike dealers continue to experience supply-chain issues, price increases and softening consumer demand, multiple bicycle industry sources surveyed 2,000</w:t>
      </w:r>
      <w:r w:rsidR="00EE4FA0">
        <w:rPr>
          <w:rFonts w:ascii="Verdana" w:hAnsi="Verdana"/>
          <w:sz w:val="20"/>
          <w:szCs w:val="20"/>
        </w:rPr>
        <w:t xml:space="preserve"> dealers in warmer states about their January/February 2022 sales compared to the previous year.</w:t>
      </w:r>
    </w:p>
    <w:p w14:paraId="664EB1A4" w14:textId="77777777" w:rsidR="00F94CE8" w:rsidRPr="00B2496C" w:rsidRDefault="00F94CE8" w:rsidP="00B2496C">
      <w:pPr>
        <w:pStyle w:val="NoSpacing"/>
        <w:contextualSpacing/>
        <w:mirrorIndents/>
        <w:rPr>
          <w:rFonts w:ascii="Verdana" w:hAnsi="Verdana"/>
          <w:sz w:val="20"/>
          <w:szCs w:val="20"/>
        </w:rPr>
      </w:pPr>
    </w:p>
    <w:p w14:paraId="7401C3C8" w14:textId="73E71D17" w:rsidR="00F94CE8" w:rsidRDefault="00EE4FA0" w:rsidP="00B2496C">
      <w:pPr>
        <w:pStyle w:val="NoSpacing"/>
        <w:contextualSpacing/>
        <w:mirrorIndents/>
        <w:rPr>
          <w:rFonts w:ascii="Verdana" w:hAnsi="Verdana"/>
          <w:sz w:val="20"/>
          <w:szCs w:val="20"/>
        </w:rPr>
      </w:pPr>
      <w:r>
        <w:rPr>
          <w:rFonts w:ascii="Verdana" w:hAnsi="Verdana"/>
          <w:sz w:val="20"/>
          <w:szCs w:val="20"/>
        </w:rPr>
        <w:t>Demand decreased significantly more than it increased, with 29% of surveyed dealers saying demand had decreased much and 32% decreased a little, compare</w:t>
      </w:r>
      <w:r w:rsidR="00FB6C11">
        <w:rPr>
          <w:rFonts w:ascii="Verdana" w:hAnsi="Verdana"/>
          <w:sz w:val="20"/>
          <w:szCs w:val="20"/>
        </w:rPr>
        <w:t>d</w:t>
      </w:r>
      <w:r>
        <w:rPr>
          <w:rFonts w:ascii="Verdana" w:hAnsi="Verdana"/>
          <w:sz w:val="20"/>
          <w:szCs w:val="20"/>
        </w:rPr>
        <w:t xml:space="preserve"> to 12% saying demand increased much and 20% increased a little.</w:t>
      </w:r>
    </w:p>
    <w:p w14:paraId="627A88E2" w14:textId="11E2220B" w:rsidR="00451423" w:rsidRDefault="00451423" w:rsidP="00B2496C">
      <w:pPr>
        <w:pStyle w:val="NoSpacing"/>
        <w:contextualSpacing/>
        <w:mirrorIndents/>
        <w:rPr>
          <w:rFonts w:ascii="Verdana" w:hAnsi="Verdana"/>
          <w:sz w:val="20"/>
          <w:szCs w:val="20"/>
        </w:rPr>
      </w:pPr>
    </w:p>
    <w:p w14:paraId="2B40AE9A" w14:textId="725F55CD" w:rsidR="00451423" w:rsidRPr="00B2496C" w:rsidRDefault="00451423" w:rsidP="00B2496C">
      <w:pPr>
        <w:pStyle w:val="NoSpacing"/>
        <w:contextualSpacing/>
        <w:mirrorIndents/>
        <w:rPr>
          <w:rFonts w:ascii="Verdana" w:hAnsi="Verdana"/>
          <w:sz w:val="20"/>
          <w:szCs w:val="20"/>
        </w:rPr>
      </w:pPr>
      <w:r>
        <w:rPr>
          <w:rFonts w:ascii="Verdana" w:hAnsi="Verdana"/>
          <w:sz w:val="20"/>
          <w:szCs w:val="20"/>
        </w:rPr>
        <w:t>Of the various product sectors, demand for e-bikes increased a little at 40% of the dealers while 39% said total demand for children’s bikes decreased 39% and 51% for road bikes. The demand for city/commute bikes and mountain bikes w</w:t>
      </w:r>
      <w:r w:rsidR="00FB6C11">
        <w:rPr>
          <w:rFonts w:ascii="Verdana" w:hAnsi="Verdana"/>
          <w:sz w:val="20"/>
          <w:szCs w:val="20"/>
        </w:rPr>
        <w:t>as</w:t>
      </w:r>
      <w:r>
        <w:rPr>
          <w:rFonts w:ascii="Verdana" w:hAnsi="Verdana"/>
          <w:sz w:val="20"/>
          <w:szCs w:val="20"/>
        </w:rPr>
        <w:t xml:space="preserve"> relatively unchanged.</w:t>
      </w:r>
    </w:p>
    <w:p w14:paraId="02C0BC62" w14:textId="77777777" w:rsidR="00F94CE8" w:rsidRPr="00B2496C" w:rsidRDefault="00F94CE8" w:rsidP="00B2496C">
      <w:pPr>
        <w:pStyle w:val="NoSpacing"/>
        <w:contextualSpacing/>
        <w:mirrorIndents/>
        <w:rPr>
          <w:rFonts w:ascii="Verdana" w:hAnsi="Verdana"/>
          <w:sz w:val="20"/>
          <w:szCs w:val="20"/>
        </w:rPr>
      </w:pPr>
    </w:p>
    <w:p w14:paraId="0E9331DF" w14:textId="437E597A" w:rsidR="001B3F86" w:rsidRPr="00192F64" w:rsidRDefault="001B3F86" w:rsidP="001B3F86">
      <w:pPr>
        <w:pStyle w:val="Header"/>
        <w:contextualSpacing/>
        <w:jc w:val="center"/>
        <w:rPr>
          <w:rFonts w:ascii="Verdana" w:hAnsi="Verdana"/>
          <w:b/>
          <w:noProof/>
          <w:sz w:val="20"/>
          <w:szCs w:val="20"/>
        </w:rPr>
      </w:pPr>
      <w:r>
        <w:rPr>
          <w:rFonts w:ascii="Verdana" w:hAnsi="Verdana"/>
          <w:b/>
          <w:noProof/>
          <w:sz w:val="20"/>
          <w:szCs w:val="20"/>
        </w:rPr>
        <w:t>2021 Revenue Ranges of Surveyed Dealers in Southern States</w:t>
      </w:r>
    </w:p>
    <w:tbl>
      <w:tblPr>
        <w:tblW w:w="7435" w:type="dxa"/>
        <w:jc w:val="center"/>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448"/>
        <w:gridCol w:w="1267"/>
        <w:gridCol w:w="2453"/>
        <w:gridCol w:w="1267"/>
      </w:tblGrid>
      <w:tr w:rsidR="001B3F86" w:rsidRPr="00192F64" w14:paraId="3398F6FA" w14:textId="77777777" w:rsidTr="001B3F86">
        <w:trPr>
          <w:jc w:val="center"/>
        </w:trPr>
        <w:tc>
          <w:tcPr>
            <w:tcW w:w="2448" w:type="dxa"/>
            <w:tcBorders>
              <w:top w:val="single" w:sz="12" w:space="0" w:color="000000"/>
              <w:left w:val="single" w:sz="12" w:space="0" w:color="000000"/>
              <w:bottom w:val="single" w:sz="18" w:space="0" w:color="C0504D" w:themeColor="accent2"/>
              <w:right w:val="single" w:sz="8" w:space="0" w:color="0070C0"/>
            </w:tcBorders>
            <w:vAlign w:val="center"/>
          </w:tcPr>
          <w:p w14:paraId="3FED01AB" w14:textId="1A45B76B" w:rsidR="001B3F86" w:rsidRPr="00192F64" w:rsidRDefault="001B3F86" w:rsidP="0059347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Revenue Range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0265C5CE" w14:textId="31434ED0" w:rsidR="001B3F86" w:rsidRPr="00192F64" w:rsidRDefault="001B3F86" w:rsidP="0059347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c>
          <w:tcPr>
            <w:tcW w:w="2453" w:type="dxa"/>
            <w:tcBorders>
              <w:top w:val="single" w:sz="12" w:space="0" w:color="000000"/>
              <w:left w:val="single" w:sz="18" w:space="0" w:color="0070C0"/>
              <w:bottom w:val="single" w:sz="18" w:space="0" w:color="C0504D" w:themeColor="accent2"/>
              <w:right w:val="single" w:sz="8" w:space="0" w:color="0070C0"/>
            </w:tcBorders>
            <w:vAlign w:val="center"/>
          </w:tcPr>
          <w:p w14:paraId="15622AA8" w14:textId="446A0BD6" w:rsidR="001B3F86" w:rsidRDefault="001B3F86" w:rsidP="0059347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Revenue Range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720B390F" w14:textId="0EBE1AC0" w:rsidR="001B3F86" w:rsidRDefault="001B3F86" w:rsidP="00593473">
            <w:pPr>
              <w:widowControl w:val="0"/>
              <w:tabs>
                <w:tab w:val="left" w:pos="220"/>
                <w:tab w:val="left" w:pos="720"/>
              </w:tabs>
              <w:autoSpaceDE w:val="0"/>
              <w:autoSpaceDN w:val="0"/>
              <w:adjustRightInd w:val="0"/>
              <w:spacing w:after="100" w:afterAutospacing="1" w:line="240" w:lineRule="auto"/>
              <w:contextualSpacing/>
              <w:jc w:val="center"/>
              <w:rPr>
                <w:rFonts w:ascii="Verdana" w:eastAsia="Times New Roman" w:hAnsi="Verdana"/>
                <w:noProof/>
                <w:sz w:val="20"/>
                <w:szCs w:val="20"/>
              </w:rPr>
            </w:pPr>
            <w:r>
              <w:rPr>
                <w:rFonts w:ascii="Verdana" w:eastAsia="Times New Roman" w:hAnsi="Verdana"/>
                <w:noProof/>
                <w:sz w:val="20"/>
                <w:szCs w:val="20"/>
              </w:rPr>
              <w:t>Percent</w:t>
            </w:r>
          </w:p>
        </w:tc>
      </w:tr>
      <w:tr w:rsidR="001B3F86" w:rsidRPr="00192F64" w14:paraId="77C9C051" w14:textId="77777777" w:rsidTr="008C04E4">
        <w:tblPrEx>
          <w:tblBorders>
            <w:top w:val="none" w:sz="0" w:space="0" w:color="auto"/>
          </w:tblBorders>
        </w:tblPrEx>
        <w:trPr>
          <w:jc w:val="center"/>
        </w:trPr>
        <w:tc>
          <w:tcPr>
            <w:tcW w:w="2448" w:type="dxa"/>
            <w:tcBorders>
              <w:top w:val="single" w:sz="18" w:space="0" w:color="C0504D" w:themeColor="accent2"/>
              <w:left w:val="single" w:sz="12" w:space="0" w:color="000000"/>
              <w:bottom w:val="single" w:sz="4" w:space="0" w:color="000000"/>
              <w:right w:val="single" w:sz="8" w:space="0" w:color="0070C0"/>
            </w:tcBorders>
            <w:vAlign w:val="center"/>
          </w:tcPr>
          <w:p w14:paraId="0E47987C" w14:textId="3A5E7A78" w:rsidR="001B3F86" w:rsidRPr="00192F64" w:rsidRDefault="001B3F86" w:rsidP="00593473">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Less than $500K</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D6E3BC" w:themeFill="accent3" w:themeFillTint="66"/>
            <w:vAlign w:val="center"/>
          </w:tcPr>
          <w:p w14:paraId="6BB18158" w14:textId="2387B98E" w:rsidR="001B3F86" w:rsidRPr="00192F64"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14%</w:t>
            </w:r>
          </w:p>
        </w:tc>
        <w:tc>
          <w:tcPr>
            <w:tcW w:w="2453" w:type="dxa"/>
            <w:tcBorders>
              <w:top w:val="single" w:sz="18" w:space="0" w:color="C0504D" w:themeColor="accent2"/>
              <w:left w:val="single" w:sz="18" w:space="0" w:color="0070C0"/>
              <w:bottom w:val="single" w:sz="4" w:space="0" w:color="auto"/>
              <w:right w:val="single" w:sz="8" w:space="0" w:color="0070C0"/>
            </w:tcBorders>
            <w:shd w:val="clear" w:color="auto" w:fill="auto"/>
            <w:vAlign w:val="center"/>
          </w:tcPr>
          <w:p w14:paraId="13BC04EF" w14:textId="49FAD077" w:rsidR="001B3F86"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$3 million</w:t>
            </w:r>
            <w:r>
              <w:rPr>
                <w:rFonts w:ascii="Verdana" w:hAnsi="Verdana"/>
                <w:sz w:val="20"/>
                <w:szCs w:val="20"/>
              </w:rPr>
              <w:t>–$5 million</w:t>
            </w:r>
          </w:p>
        </w:tc>
        <w:tc>
          <w:tcPr>
            <w:tcW w:w="1267" w:type="dxa"/>
            <w:tcBorders>
              <w:top w:val="single" w:sz="18" w:space="0" w:color="C0504D" w:themeColor="accent2"/>
              <w:left w:val="single" w:sz="8" w:space="0" w:color="0070C0"/>
              <w:bottom w:val="single" w:sz="4" w:space="0" w:color="auto"/>
              <w:right w:val="single" w:sz="12" w:space="0" w:color="000000"/>
            </w:tcBorders>
            <w:shd w:val="clear" w:color="auto" w:fill="D6E3BC" w:themeFill="accent3" w:themeFillTint="66"/>
            <w:vAlign w:val="center"/>
          </w:tcPr>
          <w:p w14:paraId="2F15F0F5" w14:textId="55D4B0EE" w:rsidR="001B3F86"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11%</w:t>
            </w:r>
          </w:p>
        </w:tc>
      </w:tr>
      <w:tr w:rsidR="001B3F86" w:rsidRPr="00192F64" w14:paraId="60185892" w14:textId="77777777" w:rsidTr="008C04E4">
        <w:tblPrEx>
          <w:tblBorders>
            <w:top w:val="none" w:sz="0" w:space="0" w:color="auto"/>
          </w:tblBorders>
        </w:tblPrEx>
        <w:trPr>
          <w:jc w:val="center"/>
        </w:trPr>
        <w:tc>
          <w:tcPr>
            <w:tcW w:w="2448" w:type="dxa"/>
            <w:tcBorders>
              <w:top w:val="single" w:sz="4" w:space="0" w:color="000000"/>
              <w:left w:val="single" w:sz="12" w:space="0" w:color="000000"/>
              <w:bottom w:val="single" w:sz="4" w:space="0" w:color="000000"/>
              <w:right w:val="single" w:sz="8" w:space="0" w:color="0070C0"/>
            </w:tcBorders>
            <w:vAlign w:val="center"/>
          </w:tcPr>
          <w:p w14:paraId="11E3D10D" w14:textId="5C46B21A" w:rsidR="001B3F86" w:rsidRPr="00192F64" w:rsidRDefault="001B3F86" w:rsidP="00593473">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$500K</w:t>
            </w:r>
            <w:r>
              <w:rPr>
                <w:rFonts w:ascii="Verdana" w:hAnsi="Verdana"/>
                <w:sz w:val="20"/>
                <w:szCs w:val="20"/>
              </w:rPr>
              <w:t>–$1 million</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6BD7894E" w14:textId="416EBE1E" w:rsidR="001B3F86" w:rsidRPr="00192F64"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29%</w:t>
            </w:r>
          </w:p>
        </w:tc>
        <w:tc>
          <w:tcPr>
            <w:tcW w:w="2453" w:type="dxa"/>
            <w:tcBorders>
              <w:top w:val="single" w:sz="4" w:space="0" w:color="auto"/>
              <w:left w:val="single" w:sz="18" w:space="0" w:color="0070C0"/>
              <w:bottom w:val="single" w:sz="4" w:space="0" w:color="000000"/>
              <w:right w:val="single" w:sz="8" w:space="0" w:color="0070C0"/>
            </w:tcBorders>
            <w:shd w:val="clear" w:color="auto" w:fill="auto"/>
            <w:vAlign w:val="center"/>
          </w:tcPr>
          <w:p w14:paraId="46BB6E45" w14:textId="3AAC89DB" w:rsidR="001B3F86"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$5 million</w:t>
            </w:r>
            <w:r>
              <w:rPr>
                <w:rFonts w:ascii="Verdana" w:hAnsi="Verdana"/>
                <w:sz w:val="20"/>
                <w:szCs w:val="20"/>
              </w:rPr>
              <w:t>–$10 million</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1F822D80" w14:textId="6B0DF219" w:rsidR="001B3F86"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w:t>
            </w:r>
          </w:p>
        </w:tc>
      </w:tr>
      <w:tr w:rsidR="001B3F86" w:rsidRPr="00192F64" w14:paraId="53D7AC29" w14:textId="77777777" w:rsidTr="008C04E4">
        <w:tblPrEx>
          <w:tblBorders>
            <w:top w:val="none" w:sz="0" w:space="0" w:color="auto"/>
          </w:tblBorders>
        </w:tblPrEx>
        <w:trPr>
          <w:jc w:val="center"/>
        </w:trPr>
        <w:tc>
          <w:tcPr>
            <w:tcW w:w="2448" w:type="dxa"/>
            <w:tcBorders>
              <w:top w:val="single" w:sz="4" w:space="0" w:color="000000"/>
              <w:left w:val="single" w:sz="12" w:space="0" w:color="000000"/>
              <w:bottom w:val="single" w:sz="4" w:space="0" w:color="000000"/>
              <w:right w:val="single" w:sz="8" w:space="0" w:color="0070C0"/>
            </w:tcBorders>
            <w:vAlign w:val="center"/>
          </w:tcPr>
          <w:p w14:paraId="2F6E503A" w14:textId="61B61CAF" w:rsidR="001B3F86" w:rsidRPr="00192F64" w:rsidRDefault="001B3F86" w:rsidP="00593473">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$1 million</w:t>
            </w:r>
            <w:r>
              <w:rPr>
                <w:rFonts w:ascii="Verdana" w:hAnsi="Verdana"/>
                <w:sz w:val="20"/>
                <w:szCs w:val="20"/>
              </w:rPr>
              <w:t>–$2 million</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360895BD" w14:textId="62102AB1" w:rsidR="001B3F86" w:rsidRPr="00192F64"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31%</w:t>
            </w:r>
          </w:p>
        </w:tc>
        <w:tc>
          <w:tcPr>
            <w:tcW w:w="2453" w:type="dxa"/>
            <w:tcBorders>
              <w:top w:val="single" w:sz="4" w:space="0" w:color="auto"/>
              <w:left w:val="single" w:sz="18" w:space="0" w:color="0070C0"/>
              <w:bottom w:val="single" w:sz="4" w:space="0" w:color="000000"/>
              <w:right w:val="single" w:sz="8" w:space="0" w:color="0070C0"/>
            </w:tcBorders>
            <w:shd w:val="clear" w:color="auto" w:fill="auto"/>
            <w:vAlign w:val="center"/>
          </w:tcPr>
          <w:p w14:paraId="0265573E" w14:textId="017F7C5C" w:rsidR="001B3F86" w:rsidRDefault="008C04E4"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More than $10 million</w:t>
            </w:r>
          </w:p>
        </w:tc>
        <w:tc>
          <w:tcPr>
            <w:tcW w:w="1267" w:type="dxa"/>
            <w:tcBorders>
              <w:top w:val="single" w:sz="4" w:space="0" w:color="auto"/>
              <w:left w:val="single" w:sz="8" w:space="0" w:color="0070C0"/>
              <w:bottom w:val="single" w:sz="4" w:space="0" w:color="000000"/>
              <w:right w:val="single" w:sz="12" w:space="0" w:color="000000"/>
            </w:tcBorders>
            <w:shd w:val="clear" w:color="auto" w:fill="EAF1DD" w:themeFill="accent3" w:themeFillTint="33"/>
          </w:tcPr>
          <w:p w14:paraId="04D0A85D" w14:textId="308A605C" w:rsidR="001B3F86" w:rsidRDefault="008C04E4"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4%</w:t>
            </w:r>
          </w:p>
        </w:tc>
      </w:tr>
      <w:tr w:rsidR="001B3F86" w:rsidRPr="00192F64" w14:paraId="64CF627E" w14:textId="77777777" w:rsidTr="008C04E4">
        <w:tblPrEx>
          <w:tblBorders>
            <w:top w:val="none" w:sz="0" w:space="0" w:color="auto"/>
          </w:tblBorders>
        </w:tblPrEx>
        <w:trPr>
          <w:jc w:val="center"/>
        </w:trPr>
        <w:tc>
          <w:tcPr>
            <w:tcW w:w="2448" w:type="dxa"/>
            <w:tcBorders>
              <w:top w:val="single" w:sz="4" w:space="0" w:color="000000"/>
              <w:left w:val="single" w:sz="12" w:space="0" w:color="000000"/>
              <w:bottom w:val="single" w:sz="12" w:space="0" w:color="000000"/>
              <w:right w:val="single" w:sz="8" w:space="0" w:color="0070C0"/>
            </w:tcBorders>
            <w:vAlign w:val="center"/>
          </w:tcPr>
          <w:p w14:paraId="210AC769" w14:textId="5D81E37D" w:rsidR="001B3F86" w:rsidRPr="00192F64" w:rsidRDefault="001B3F86" w:rsidP="00593473">
            <w:pPr>
              <w:widowControl w:val="0"/>
              <w:tabs>
                <w:tab w:val="left" w:pos="220"/>
                <w:tab w:val="left" w:pos="720"/>
              </w:tabs>
              <w:autoSpaceDE w:val="0"/>
              <w:autoSpaceDN w:val="0"/>
              <w:adjustRightInd w:val="0"/>
              <w:spacing w:after="100" w:afterAutospacing="1" w:line="240" w:lineRule="auto"/>
              <w:contextualSpacing/>
              <w:rPr>
                <w:rFonts w:ascii="Verdana" w:eastAsia="Times New Roman" w:hAnsi="Verdana"/>
                <w:noProof/>
                <w:sz w:val="20"/>
                <w:szCs w:val="20"/>
              </w:rPr>
            </w:pPr>
            <w:r>
              <w:rPr>
                <w:rFonts w:ascii="Verdana" w:eastAsia="Times New Roman" w:hAnsi="Verdana"/>
                <w:noProof/>
                <w:sz w:val="20"/>
                <w:szCs w:val="20"/>
              </w:rPr>
              <w:t>$2 million</w:t>
            </w:r>
            <w:r>
              <w:rPr>
                <w:rFonts w:ascii="Verdana" w:hAnsi="Verdana"/>
                <w:sz w:val="20"/>
                <w:szCs w:val="20"/>
              </w:rPr>
              <w:t>–$3 million</w:t>
            </w:r>
          </w:p>
        </w:tc>
        <w:tc>
          <w:tcPr>
            <w:tcW w:w="1267" w:type="dxa"/>
            <w:tcBorders>
              <w:top w:val="single" w:sz="4" w:space="0" w:color="000000"/>
              <w:left w:val="single" w:sz="8" w:space="0" w:color="0070C0"/>
              <w:bottom w:val="single" w:sz="12" w:space="0" w:color="000000"/>
              <w:right w:val="single" w:sz="18" w:space="0" w:color="0070C0"/>
            </w:tcBorders>
            <w:shd w:val="clear" w:color="auto" w:fill="EAF1DD" w:themeFill="accent3" w:themeFillTint="33"/>
            <w:vAlign w:val="center"/>
          </w:tcPr>
          <w:p w14:paraId="3590CFFA" w14:textId="56D1B049" w:rsidR="001B3F86" w:rsidRPr="00192F64" w:rsidRDefault="001B3F86"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8%</w:t>
            </w:r>
          </w:p>
        </w:tc>
        <w:tc>
          <w:tcPr>
            <w:tcW w:w="2453"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F877294" w14:textId="061E8495" w:rsidR="001B3F86" w:rsidRPr="00192F64" w:rsidRDefault="008C04E4"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rPr>
                <w:rFonts w:ascii="Verdana" w:eastAsia="Times New Roman" w:hAnsi="Verdana"/>
                <w:noProof/>
                <w:sz w:val="20"/>
                <w:szCs w:val="20"/>
              </w:rPr>
            </w:pPr>
            <w:r>
              <w:rPr>
                <w:rFonts w:ascii="Verdana" w:eastAsia="Times New Roman" w:hAnsi="Verdana"/>
                <w:noProof/>
                <w:sz w:val="20"/>
                <w:szCs w:val="20"/>
              </w:rPr>
              <w:t>Declined to say</w:t>
            </w:r>
          </w:p>
        </w:tc>
        <w:tc>
          <w:tcPr>
            <w:tcW w:w="1267" w:type="dxa"/>
            <w:tcBorders>
              <w:top w:val="single" w:sz="4" w:space="0" w:color="000000"/>
              <w:left w:val="single" w:sz="8" w:space="0" w:color="0070C0"/>
              <w:bottom w:val="single" w:sz="12" w:space="0" w:color="000000"/>
              <w:right w:val="single" w:sz="12" w:space="0" w:color="000000"/>
            </w:tcBorders>
            <w:shd w:val="clear" w:color="auto" w:fill="F2F2F2" w:themeFill="background1" w:themeFillShade="F2"/>
          </w:tcPr>
          <w:p w14:paraId="5A43598D" w14:textId="78EFD665" w:rsidR="001B3F86" w:rsidRPr="00192F64" w:rsidRDefault="008C04E4" w:rsidP="00593473">
            <w:pPr>
              <w:widowControl w:val="0"/>
              <w:numPr>
                <w:ilvl w:val="0"/>
                <w:numId w:val="1"/>
              </w:numPr>
              <w:tabs>
                <w:tab w:val="left" w:pos="220"/>
                <w:tab w:val="left" w:pos="720"/>
              </w:tabs>
              <w:autoSpaceDE w:val="0"/>
              <w:autoSpaceDN w:val="0"/>
              <w:adjustRightInd w:val="0"/>
              <w:spacing w:after="100" w:afterAutospacing="1" w:line="240" w:lineRule="auto"/>
              <w:ind w:left="0" w:firstLine="0"/>
              <w:contextualSpacing/>
              <w:jc w:val="right"/>
              <w:rPr>
                <w:rFonts w:ascii="Verdana" w:eastAsia="Times New Roman" w:hAnsi="Verdana"/>
                <w:noProof/>
                <w:sz w:val="20"/>
                <w:szCs w:val="20"/>
              </w:rPr>
            </w:pPr>
            <w:r>
              <w:rPr>
                <w:rFonts w:ascii="Verdana" w:eastAsia="Times New Roman" w:hAnsi="Verdana"/>
                <w:noProof/>
                <w:sz w:val="20"/>
                <w:szCs w:val="20"/>
              </w:rPr>
              <w:t>2%</w:t>
            </w:r>
          </w:p>
        </w:tc>
      </w:tr>
    </w:tbl>
    <w:p w14:paraId="030267AD" w14:textId="1B6A675B" w:rsidR="001B3F86" w:rsidRDefault="001B3F86" w:rsidP="008C04E4">
      <w:pPr>
        <w:tabs>
          <w:tab w:val="left" w:pos="990"/>
        </w:tabs>
        <w:spacing w:after="0" w:line="240" w:lineRule="auto"/>
        <w:contextualSpacing/>
        <w:mirrorIndents/>
        <w:rPr>
          <w:rFonts w:ascii="Verdana" w:hAnsi="Verdana"/>
          <w:noProof/>
          <w:sz w:val="16"/>
          <w:szCs w:val="16"/>
        </w:rPr>
      </w:pPr>
      <w:r>
        <w:rPr>
          <w:rFonts w:ascii="Verdana" w:hAnsi="Verdana"/>
          <w:noProof/>
          <w:sz w:val="16"/>
          <w:szCs w:val="16"/>
        </w:rPr>
        <w:tab/>
      </w:r>
      <w:r w:rsidR="008C04E4" w:rsidRPr="008C04E4">
        <w:rPr>
          <w:rFonts w:ascii="Verdana" w:hAnsi="Verdana"/>
          <w:i/>
          <w:iCs/>
          <w:noProof/>
          <w:sz w:val="16"/>
          <w:szCs w:val="16"/>
        </w:rPr>
        <w:t>Bicycle Retailer</w:t>
      </w:r>
      <w:r w:rsidR="008C04E4">
        <w:rPr>
          <w:rFonts w:ascii="Verdana" w:hAnsi="Verdana"/>
          <w:noProof/>
          <w:sz w:val="16"/>
          <w:szCs w:val="16"/>
        </w:rPr>
        <w:t xml:space="preserve"> (combination of industry sources)</w:t>
      </w:r>
      <w:r w:rsidRPr="00BE37C6">
        <w:rPr>
          <w:rFonts w:ascii="Verdana" w:hAnsi="Verdana"/>
          <w:noProof/>
          <w:sz w:val="16"/>
          <w:szCs w:val="16"/>
        </w:rPr>
        <w:t xml:space="preserve">, </w:t>
      </w:r>
      <w:r>
        <w:rPr>
          <w:rFonts w:ascii="Verdana" w:hAnsi="Verdana"/>
          <w:noProof/>
          <w:sz w:val="16"/>
          <w:szCs w:val="16"/>
        </w:rPr>
        <w:t>March 2022</w:t>
      </w:r>
    </w:p>
    <w:p w14:paraId="37079E4B" w14:textId="77777777" w:rsidR="00F94CE8" w:rsidRPr="00B2496C" w:rsidRDefault="00F94CE8" w:rsidP="00B2496C">
      <w:pPr>
        <w:pStyle w:val="NoSpacing"/>
        <w:contextualSpacing/>
        <w:mirrorIndents/>
        <w:rPr>
          <w:rFonts w:ascii="Verdana" w:hAnsi="Verdana"/>
          <w:sz w:val="20"/>
          <w:szCs w:val="20"/>
        </w:rPr>
      </w:pPr>
    </w:p>
    <w:p w14:paraId="3A5080E9" w14:textId="77777777" w:rsidR="00F94CE8" w:rsidRPr="00B2496C" w:rsidRDefault="00F94CE8" w:rsidP="00B2496C">
      <w:pPr>
        <w:pStyle w:val="NoSpacing"/>
        <w:contextualSpacing/>
        <w:mirrorIndents/>
        <w:rPr>
          <w:rFonts w:ascii="Verdana" w:hAnsi="Verdana"/>
          <w:sz w:val="20"/>
          <w:szCs w:val="20"/>
        </w:rPr>
      </w:pPr>
    </w:p>
    <w:p w14:paraId="05B35E5D" w14:textId="3AFAA724"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6152CD5C" w:rsidR="00F94CE8" w:rsidRDefault="00E73EDD" w:rsidP="00F94CE8">
      <w:pPr>
        <w:pStyle w:val="NoSpacing"/>
        <w:contextualSpacing/>
        <w:rPr>
          <w:sz w:val="20"/>
          <w:szCs w:val="20"/>
        </w:rPr>
      </w:pPr>
      <w:r>
        <w:rPr>
          <w:sz w:val="20"/>
          <w:szCs w:val="20"/>
        </w:rPr>
        <w:t>Details in The National Bicycle Dealers Association’s Bicycling Buying 2021 Consumer Research Study show the challenge for dealers who sold many bikes during the past two years and the many new riders who were attracted to the activity.</w:t>
      </w:r>
    </w:p>
    <w:p w14:paraId="14D43D5C" w14:textId="2D42A2AE" w:rsidR="00E73EDD" w:rsidRDefault="00E73EDD" w:rsidP="00F94CE8">
      <w:pPr>
        <w:pStyle w:val="NoSpacing"/>
        <w:contextualSpacing/>
        <w:rPr>
          <w:sz w:val="20"/>
          <w:szCs w:val="20"/>
        </w:rPr>
      </w:pPr>
    </w:p>
    <w:p w14:paraId="7067AB49" w14:textId="4F77C24D" w:rsidR="00E73EDD" w:rsidRDefault="00E73EDD" w:rsidP="00F94CE8">
      <w:pPr>
        <w:pStyle w:val="NoSpacing"/>
        <w:contextualSpacing/>
        <w:rPr>
          <w:sz w:val="20"/>
          <w:szCs w:val="20"/>
        </w:rPr>
      </w:pPr>
      <w:r>
        <w:rPr>
          <w:sz w:val="20"/>
          <w:szCs w:val="20"/>
        </w:rPr>
        <w:t>According to the study, of the 42.6% of cyclists during 2020 and 2021 who were women, 33.4% were first-time cyclists and 22%</w:t>
      </w:r>
      <w:r w:rsidR="00D03199">
        <w:rPr>
          <w:sz w:val="20"/>
          <w:szCs w:val="20"/>
        </w:rPr>
        <w:t xml:space="preserve"> started cycling again from before the pandemic period. The task for dealers, as with any retail vertical, is to retain a maximum</w:t>
      </w:r>
      <w:r w:rsidR="00E45D4F">
        <w:rPr>
          <w:sz w:val="20"/>
          <w:szCs w:val="20"/>
        </w:rPr>
        <w:t xml:space="preserve"> number</w:t>
      </w:r>
      <w:r w:rsidR="00D03199">
        <w:rPr>
          <w:sz w:val="20"/>
          <w:szCs w:val="20"/>
        </w:rPr>
        <w:t xml:space="preserve"> of the new female cyclists and those who returned to the activity. As fewer bikes are expected to be sold during 2022, dealers can promot</w:t>
      </w:r>
      <w:r w:rsidR="00FB6C11">
        <w:rPr>
          <w:sz w:val="20"/>
          <w:szCs w:val="20"/>
        </w:rPr>
        <w:t>e</w:t>
      </w:r>
      <w:r w:rsidR="00D03199">
        <w:rPr>
          <w:sz w:val="20"/>
          <w:szCs w:val="20"/>
        </w:rPr>
        <w:t xml:space="preserve"> accessories, service work and new models to continue to engage with these customers. </w:t>
      </w:r>
    </w:p>
    <w:p w14:paraId="72A9D893" w14:textId="77777777" w:rsidR="00F94CE8" w:rsidRDefault="00F94CE8" w:rsidP="00F94CE8">
      <w:pPr>
        <w:pStyle w:val="NoSpacing"/>
        <w:contextualSpacing/>
        <w:rPr>
          <w:sz w:val="20"/>
          <w:szCs w:val="20"/>
        </w:rPr>
      </w:pPr>
    </w:p>
    <w:p w14:paraId="771DDFC8" w14:textId="67654C58" w:rsidR="00DA0B2F" w:rsidRPr="007F1120" w:rsidRDefault="00DA0B2F" w:rsidP="00DA0B2F">
      <w:pPr>
        <w:pStyle w:val="Header"/>
        <w:contextualSpacing/>
        <w:jc w:val="center"/>
        <w:rPr>
          <w:b/>
          <w:sz w:val="20"/>
          <w:szCs w:val="20"/>
        </w:rPr>
      </w:pPr>
      <w:r>
        <w:rPr>
          <w:b/>
          <w:sz w:val="20"/>
          <w:szCs w:val="20"/>
        </w:rPr>
        <w:t xml:space="preserve">The Top 10 </w:t>
      </w:r>
      <w:r w:rsidR="00B31552">
        <w:rPr>
          <w:b/>
          <w:sz w:val="20"/>
          <w:szCs w:val="20"/>
        </w:rPr>
        <w:t>US Bicycling Cities by Their City Rating Scores</w:t>
      </w:r>
      <w:r w:rsidRPr="007F1120">
        <w:rPr>
          <w:rFonts w:ascii="Verdana" w:hAnsi="Verdana"/>
          <w:b/>
          <w:sz w:val="20"/>
          <w:szCs w:val="20"/>
        </w:rPr>
        <w:t>,</w:t>
      </w:r>
      <w:r w:rsidRPr="007F1120">
        <w:rPr>
          <w:b/>
          <w:sz w:val="20"/>
          <w:szCs w:val="20"/>
        </w:rPr>
        <w:t xml:space="preserve"> </w:t>
      </w:r>
      <w:r>
        <w:rPr>
          <w:b/>
          <w:sz w:val="20"/>
          <w:szCs w:val="20"/>
        </w:rPr>
        <w:t>2021</w:t>
      </w:r>
    </w:p>
    <w:tbl>
      <w:tblPr>
        <w:tblW w:w="6844" w:type="dxa"/>
        <w:jc w:val="center"/>
        <w:tblBorders>
          <w:left w:val="single" w:sz="8" w:space="0" w:color="000000"/>
          <w:right w:val="single" w:sz="8" w:space="0" w:color="000000"/>
        </w:tblBorders>
        <w:tblLayout w:type="fixed"/>
        <w:tblLook w:val="0000" w:firstRow="0" w:lastRow="0" w:firstColumn="0" w:lastColumn="0" w:noHBand="0" w:noVBand="0"/>
      </w:tblPr>
      <w:tblGrid>
        <w:gridCol w:w="2355"/>
        <w:gridCol w:w="1498"/>
        <w:gridCol w:w="1498"/>
        <w:gridCol w:w="1493"/>
      </w:tblGrid>
      <w:tr w:rsidR="00DA0B2F" w:rsidRPr="007F1120" w14:paraId="0FADD07C" w14:textId="77777777" w:rsidTr="00E45D4F">
        <w:trPr>
          <w:jc w:val="center"/>
        </w:trPr>
        <w:tc>
          <w:tcPr>
            <w:tcW w:w="235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501EE348" w14:textId="3177E100" w:rsidR="00DA0B2F" w:rsidRPr="007F1120" w:rsidRDefault="00B31552" w:rsidP="00E45D4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City</w:t>
            </w:r>
          </w:p>
        </w:tc>
        <w:tc>
          <w:tcPr>
            <w:tcW w:w="1498" w:type="dxa"/>
            <w:tcBorders>
              <w:top w:val="single" w:sz="12" w:space="0" w:color="000000"/>
              <w:left w:val="single" w:sz="18" w:space="0" w:color="0070C0"/>
              <w:bottom w:val="single" w:sz="18" w:space="0" w:color="C0504D" w:themeColor="accent2"/>
              <w:right w:val="single" w:sz="8" w:space="0" w:color="0070C0"/>
            </w:tcBorders>
            <w:shd w:val="clear" w:color="auto" w:fill="auto"/>
            <w:vAlign w:val="center"/>
          </w:tcPr>
          <w:p w14:paraId="4C022316" w14:textId="39373DB3" w:rsidR="00DA0B2F" w:rsidRPr="007F1120" w:rsidRDefault="00B31552" w:rsidP="00E45D4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Rating</w:t>
            </w:r>
          </w:p>
        </w:tc>
        <w:tc>
          <w:tcPr>
            <w:tcW w:w="1498" w:type="dxa"/>
            <w:tcBorders>
              <w:top w:val="single" w:sz="12" w:space="0" w:color="000000"/>
              <w:left w:val="single" w:sz="8" w:space="0" w:color="0070C0"/>
              <w:bottom w:val="single" w:sz="18" w:space="0" w:color="C0504D" w:themeColor="accent2"/>
              <w:right w:val="single" w:sz="8" w:space="0" w:color="0070C0"/>
            </w:tcBorders>
            <w:vAlign w:val="center"/>
          </w:tcPr>
          <w:p w14:paraId="0908EC58" w14:textId="63E328D3" w:rsidR="00DA0B2F" w:rsidRDefault="00B31552" w:rsidP="00E45D4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Network</w:t>
            </w:r>
          </w:p>
        </w:tc>
        <w:tc>
          <w:tcPr>
            <w:tcW w:w="1493"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365FAE48" w14:textId="1AEF1302" w:rsidR="00DA0B2F" w:rsidRPr="007F1120" w:rsidRDefault="00B31552" w:rsidP="00E45D4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Community</w:t>
            </w:r>
          </w:p>
        </w:tc>
      </w:tr>
      <w:tr w:rsidR="005E34BC" w:rsidRPr="007F1120" w14:paraId="0CFCD8F7" w14:textId="77777777" w:rsidTr="00E45D4F">
        <w:trPr>
          <w:trHeight w:val="243"/>
          <w:jc w:val="center"/>
        </w:trPr>
        <w:tc>
          <w:tcPr>
            <w:tcW w:w="235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A23CDBC" w14:textId="520DABF2" w:rsidR="00DA0B2F" w:rsidRPr="007F1120" w:rsidRDefault="00B31552"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Provincetown, MA</w:t>
            </w:r>
          </w:p>
        </w:tc>
        <w:tc>
          <w:tcPr>
            <w:tcW w:w="1498" w:type="dxa"/>
            <w:tcBorders>
              <w:top w:val="single" w:sz="18" w:space="0" w:color="C0504D" w:themeColor="accent2"/>
              <w:left w:val="single" w:sz="18" w:space="0" w:color="0070C0"/>
              <w:bottom w:val="single" w:sz="4" w:space="0" w:color="auto"/>
              <w:right w:val="single" w:sz="8" w:space="0" w:color="0070C0"/>
            </w:tcBorders>
            <w:shd w:val="clear" w:color="auto" w:fill="92D050"/>
            <w:vAlign w:val="center"/>
          </w:tcPr>
          <w:p w14:paraId="6A9870F9" w14:textId="5EAE50C4" w:rsidR="00DA0B2F"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81</w:t>
            </w:r>
          </w:p>
        </w:tc>
        <w:tc>
          <w:tcPr>
            <w:tcW w:w="1498" w:type="dxa"/>
            <w:tcBorders>
              <w:top w:val="single" w:sz="18" w:space="0" w:color="C0504D" w:themeColor="accent2"/>
              <w:left w:val="single" w:sz="8" w:space="0" w:color="0070C0"/>
              <w:bottom w:val="single" w:sz="4" w:space="0" w:color="auto"/>
              <w:right w:val="single" w:sz="8" w:space="0" w:color="0070C0"/>
            </w:tcBorders>
            <w:shd w:val="clear" w:color="auto" w:fill="00B050"/>
            <w:vAlign w:val="center"/>
          </w:tcPr>
          <w:p w14:paraId="7532EBD4" w14:textId="7A51486B" w:rsidR="00DA0B2F"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87</w:t>
            </w:r>
          </w:p>
        </w:tc>
        <w:tc>
          <w:tcPr>
            <w:tcW w:w="1493" w:type="dxa"/>
            <w:tcBorders>
              <w:top w:val="single" w:sz="18" w:space="0" w:color="C0504D" w:themeColor="accent2"/>
              <w:left w:val="single" w:sz="8" w:space="0" w:color="0070C0"/>
              <w:bottom w:val="single" w:sz="4" w:space="0" w:color="auto"/>
              <w:right w:val="single" w:sz="12" w:space="0" w:color="auto"/>
            </w:tcBorders>
            <w:shd w:val="clear" w:color="auto" w:fill="D6E3BC" w:themeFill="accent3" w:themeFillTint="66"/>
            <w:vAlign w:val="center"/>
          </w:tcPr>
          <w:p w14:paraId="3D8E0905" w14:textId="058FD2D0" w:rsidR="00DA0B2F"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r>
      <w:tr w:rsidR="00E45D4F" w:rsidRPr="007F1120" w14:paraId="16CD99A6"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B1C2E88" w14:textId="1EE3FFD3" w:rsidR="00DA0B2F" w:rsidRPr="007F1120" w:rsidRDefault="00B31552"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Alma, MI</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6331F716" w14:textId="64F0F566" w:rsidR="00DA0B2F"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74</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0EE10579" w14:textId="1450C52D" w:rsidR="00DA0B2F"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79</w:t>
            </w:r>
          </w:p>
        </w:tc>
        <w:tc>
          <w:tcPr>
            <w:tcW w:w="1493"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699BBDCF" w14:textId="62B8F783" w:rsidR="00DA0B2F"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r>
      <w:tr w:rsidR="00B31552" w:rsidRPr="007F1120" w14:paraId="4A5838C7"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8CE35CA" w14:textId="156DCE2D" w:rsidR="00B31552" w:rsidRPr="007F1120" w:rsidRDefault="00B31552"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Pella, IA</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19F26FCF" w14:textId="6D575867" w:rsidR="00B31552"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72</w:t>
            </w:r>
          </w:p>
        </w:tc>
        <w:tc>
          <w:tcPr>
            <w:tcW w:w="1498" w:type="dxa"/>
            <w:tcBorders>
              <w:top w:val="single" w:sz="4" w:space="0" w:color="auto"/>
              <w:left w:val="single" w:sz="8" w:space="0" w:color="0070C0"/>
              <w:bottom w:val="single" w:sz="4" w:space="0" w:color="000000"/>
              <w:right w:val="single" w:sz="8" w:space="0" w:color="0070C0"/>
            </w:tcBorders>
            <w:shd w:val="clear" w:color="auto" w:fill="92D050"/>
            <w:vAlign w:val="center"/>
          </w:tcPr>
          <w:p w14:paraId="04B8218F" w14:textId="2A68118B" w:rsidR="00B31552"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78</w:t>
            </w:r>
          </w:p>
        </w:tc>
        <w:tc>
          <w:tcPr>
            <w:tcW w:w="1493"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26EC17C2" w14:textId="459761F9" w:rsidR="00B31552"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47</w:t>
            </w:r>
          </w:p>
        </w:tc>
      </w:tr>
      <w:tr w:rsidR="00B31552" w:rsidRPr="007F1120" w14:paraId="4F410AD0"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3204C325" w14:textId="23FF430F" w:rsidR="00B31552" w:rsidRPr="007F1120" w:rsidRDefault="00B31552"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Lompoc, CA</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7BBF3130" w14:textId="5D5B8709" w:rsidR="00B31552"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70</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0CEFAF7" w14:textId="2821D27E" w:rsidR="00B31552"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76</w:t>
            </w:r>
          </w:p>
        </w:tc>
        <w:tc>
          <w:tcPr>
            <w:tcW w:w="1493"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4F7ED1BC" w14:textId="541668EE" w:rsidR="00B31552" w:rsidRPr="007F1120" w:rsidRDefault="00B31552"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w:t>
            </w:r>
          </w:p>
        </w:tc>
      </w:tr>
      <w:tr w:rsidR="0032654C" w:rsidRPr="007F1120" w14:paraId="0971CFB1"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7984C0F" w14:textId="0406125C" w:rsidR="0032654C" w:rsidRDefault="0032654C" w:rsidP="0032654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Davis, CA</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58AADC53" w14:textId="77FB00E6" w:rsidR="0032654C"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DD3462D" w14:textId="735E8192" w:rsidR="0032654C"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70</w:t>
            </w:r>
          </w:p>
        </w:tc>
        <w:tc>
          <w:tcPr>
            <w:tcW w:w="1493"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1D380703" w14:textId="0B9DAE5C" w:rsidR="0032654C"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65</w:t>
            </w:r>
          </w:p>
        </w:tc>
      </w:tr>
      <w:tr w:rsidR="0032654C" w:rsidRPr="007F1120" w14:paraId="3A89A4E3"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20F56D7" w14:textId="7C0BCEB3" w:rsidR="0032654C" w:rsidRPr="007F1120" w:rsidRDefault="0032654C" w:rsidP="0032654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Berkeley, CA</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51836779" w14:textId="6C05A7A7"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3925600E" w14:textId="2FFDB0F9"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70</w:t>
            </w:r>
          </w:p>
        </w:tc>
        <w:tc>
          <w:tcPr>
            <w:tcW w:w="1493"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69E2BD6B" w14:textId="327B0B50"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r>
      <w:tr w:rsidR="0032654C" w:rsidRPr="007F1120" w14:paraId="54AAD3A6"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337C523" w14:textId="356DC126" w:rsidR="0032654C" w:rsidRPr="007F1120" w:rsidRDefault="0032654C" w:rsidP="0032654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Solvang, CA</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4D92A0C9" w14:textId="4E97946A"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D2F2D64" w14:textId="28257688"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75</w:t>
            </w:r>
          </w:p>
        </w:tc>
        <w:tc>
          <w:tcPr>
            <w:tcW w:w="1493"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65ED1E28" w14:textId="404118F2"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44</w:t>
            </w:r>
          </w:p>
        </w:tc>
      </w:tr>
      <w:tr w:rsidR="0032654C" w:rsidRPr="007F1120" w14:paraId="38F7F1F8"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8403061" w14:textId="4086F130" w:rsidR="0032654C" w:rsidRPr="007F1120" w:rsidRDefault="0032654C" w:rsidP="0032654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Boulder, CO</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518CFB63" w14:textId="5C47403D"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65</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2894F270" w14:textId="03AA5AC8"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c>
          <w:tcPr>
            <w:tcW w:w="1493"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7525749F" w14:textId="17CEECBD"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68</w:t>
            </w:r>
          </w:p>
        </w:tc>
      </w:tr>
      <w:tr w:rsidR="00E45D4F" w:rsidRPr="007F1120" w14:paraId="4E91A690" w14:textId="77777777" w:rsidTr="00E45D4F">
        <w:trPr>
          <w:trHeight w:val="243"/>
          <w:jc w:val="center"/>
        </w:trPr>
        <w:tc>
          <w:tcPr>
            <w:tcW w:w="235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5B19557" w14:textId="292C997C" w:rsidR="0032654C" w:rsidRPr="007F1120" w:rsidRDefault="0032654C" w:rsidP="0032654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Traverse City, MI</w:t>
            </w:r>
          </w:p>
        </w:tc>
        <w:tc>
          <w:tcPr>
            <w:tcW w:w="1498" w:type="dxa"/>
            <w:tcBorders>
              <w:top w:val="single" w:sz="4" w:space="0" w:color="auto"/>
              <w:left w:val="single" w:sz="18" w:space="0" w:color="0070C0"/>
              <w:bottom w:val="single" w:sz="4" w:space="0" w:color="000000"/>
              <w:right w:val="single" w:sz="8" w:space="0" w:color="0070C0"/>
            </w:tcBorders>
            <w:shd w:val="clear" w:color="auto" w:fill="C2D69B" w:themeFill="accent3" w:themeFillTint="99"/>
            <w:vAlign w:val="center"/>
          </w:tcPr>
          <w:p w14:paraId="08BADCD0" w14:textId="0637C08A"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c>
          <w:tcPr>
            <w:tcW w:w="149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3B5BF81" w14:textId="35C5A89F"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61</w:t>
            </w:r>
          </w:p>
        </w:tc>
        <w:tc>
          <w:tcPr>
            <w:tcW w:w="1493" w:type="dxa"/>
            <w:tcBorders>
              <w:top w:val="single" w:sz="4" w:space="0" w:color="auto"/>
              <w:left w:val="single" w:sz="8" w:space="0" w:color="0070C0"/>
              <w:bottom w:val="single" w:sz="4" w:space="0" w:color="000000"/>
              <w:right w:val="single" w:sz="12" w:space="0" w:color="auto"/>
            </w:tcBorders>
            <w:shd w:val="clear" w:color="auto" w:fill="92D050"/>
            <w:vAlign w:val="center"/>
          </w:tcPr>
          <w:p w14:paraId="6E806438" w14:textId="62EE0E30"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73</w:t>
            </w:r>
          </w:p>
        </w:tc>
      </w:tr>
      <w:tr w:rsidR="00E45D4F" w:rsidRPr="007F1120" w14:paraId="3FB4BC70" w14:textId="77777777" w:rsidTr="00E45D4F">
        <w:trPr>
          <w:trHeight w:val="243"/>
          <w:jc w:val="center"/>
        </w:trPr>
        <w:tc>
          <w:tcPr>
            <w:tcW w:w="235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44AFC3A5" w14:textId="4AFCEB2D" w:rsidR="0032654C" w:rsidRPr="007F1120" w:rsidRDefault="0032654C" w:rsidP="0032654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San Luis Obispo, CA</w:t>
            </w:r>
          </w:p>
        </w:tc>
        <w:tc>
          <w:tcPr>
            <w:tcW w:w="1498" w:type="dxa"/>
            <w:tcBorders>
              <w:top w:val="single" w:sz="4" w:space="0" w:color="000000"/>
              <w:left w:val="single" w:sz="18" w:space="0" w:color="0070C0"/>
              <w:bottom w:val="single" w:sz="12" w:space="0" w:color="000000"/>
              <w:right w:val="single" w:sz="8" w:space="0" w:color="0070C0"/>
            </w:tcBorders>
            <w:shd w:val="clear" w:color="auto" w:fill="C2D69B" w:themeFill="accent3" w:themeFillTint="99"/>
            <w:vAlign w:val="center"/>
          </w:tcPr>
          <w:p w14:paraId="25F168E9" w14:textId="1B10520B"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c>
          <w:tcPr>
            <w:tcW w:w="1498"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39526F90" w14:textId="0D49EF16"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63</w:t>
            </w:r>
          </w:p>
        </w:tc>
        <w:tc>
          <w:tcPr>
            <w:tcW w:w="1493" w:type="dxa"/>
            <w:tcBorders>
              <w:top w:val="single" w:sz="4" w:space="0" w:color="000000"/>
              <w:left w:val="single" w:sz="8" w:space="0" w:color="0070C0"/>
              <w:bottom w:val="single" w:sz="12" w:space="0" w:color="000000"/>
              <w:right w:val="single" w:sz="12" w:space="0" w:color="auto"/>
            </w:tcBorders>
            <w:shd w:val="clear" w:color="auto" w:fill="C2D69B" w:themeFill="accent3" w:themeFillTint="99"/>
            <w:vAlign w:val="center"/>
          </w:tcPr>
          <w:p w14:paraId="2A8EB4A4" w14:textId="25E63028" w:rsidR="0032654C" w:rsidRPr="007F1120" w:rsidRDefault="0032654C" w:rsidP="00E45D4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66</w:t>
            </w:r>
          </w:p>
        </w:tc>
      </w:tr>
    </w:tbl>
    <w:p w14:paraId="13ADEBC2" w14:textId="1C51323B" w:rsidR="00DA0B2F" w:rsidRDefault="00DA0B2F" w:rsidP="00E45D4F">
      <w:pPr>
        <w:pStyle w:val="NoSpacing"/>
        <w:tabs>
          <w:tab w:val="left" w:pos="1260"/>
        </w:tabs>
        <w:contextualSpacing/>
        <w:mirrorIndents/>
        <w:rPr>
          <w:sz w:val="16"/>
          <w:szCs w:val="16"/>
        </w:rPr>
      </w:pPr>
      <w:r>
        <w:rPr>
          <w:sz w:val="16"/>
          <w:szCs w:val="16"/>
        </w:rPr>
        <w:tab/>
      </w:r>
      <w:r w:rsidR="0032654C">
        <w:rPr>
          <w:sz w:val="16"/>
          <w:szCs w:val="16"/>
        </w:rPr>
        <w:t>People for Bikes, June 2021</w:t>
      </w:r>
    </w:p>
    <w:p w14:paraId="2690E55B" w14:textId="77777777" w:rsidR="00B31552" w:rsidRDefault="00B31552" w:rsidP="00E45D4F">
      <w:pPr>
        <w:pStyle w:val="NoSpacing"/>
        <w:tabs>
          <w:tab w:val="left" w:pos="1260"/>
        </w:tabs>
        <w:ind w:left="720"/>
        <w:contextualSpacing/>
        <w:mirrorIndents/>
        <w:rPr>
          <w:sz w:val="16"/>
          <w:szCs w:val="16"/>
        </w:rPr>
      </w:pPr>
      <w:r>
        <w:rPr>
          <w:sz w:val="16"/>
          <w:szCs w:val="16"/>
        </w:rPr>
        <w:tab/>
        <w:t xml:space="preserve">City Rating Score is a combination of a city’s Network Score and Community Score. </w:t>
      </w:r>
    </w:p>
    <w:p w14:paraId="6F09F5F7" w14:textId="77777777" w:rsidR="00B31552" w:rsidRDefault="00B31552" w:rsidP="00E45D4F">
      <w:pPr>
        <w:pStyle w:val="NoSpacing"/>
        <w:tabs>
          <w:tab w:val="left" w:pos="1260"/>
        </w:tabs>
        <w:ind w:left="720"/>
        <w:contextualSpacing/>
        <w:mirrorIndents/>
        <w:rPr>
          <w:sz w:val="16"/>
          <w:szCs w:val="16"/>
        </w:rPr>
      </w:pPr>
      <w:r>
        <w:rPr>
          <w:sz w:val="16"/>
          <w:szCs w:val="16"/>
        </w:rPr>
        <w:tab/>
        <w:t xml:space="preserve">The Network Score measures the quality of a city’s bicycle network. </w:t>
      </w:r>
    </w:p>
    <w:p w14:paraId="314DFEC5" w14:textId="6C2DF5A5" w:rsidR="00B31552" w:rsidRDefault="00B31552" w:rsidP="00E45D4F">
      <w:pPr>
        <w:pStyle w:val="NoSpacing"/>
        <w:tabs>
          <w:tab w:val="left" w:pos="1260"/>
        </w:tabs>
        <w:ind w:left="720"/>
        <w:contextualSpacing/>
        <w:mirrorIndents/>
        <w:rPr>
          <w:sz w:val="16"/>
          <w:szCs w:val="16"/>
        </w:rPr>
      </w:pPr>
      <w:r>
        <w:rPr>
          <w:sz w:val="16"/>
          <w:szCs w:val="16"/>
        </w:rPr>
        <w:tab/>
        <w:t>The Community Score measures how people feel about biking in their city.</w:t>
      </w:r>
    </w:p>
    <w:p w14:paraId="78E679E8" w14:textId="01B01C02" w:rsidR="00F94CE8" w:rsidRPr="00294183" w:rsidRDefault="00B31552" w:rsidP="00294183">
      <w:pPr>
        <w:pStyle w:val="NoSpacing"/>
        <w:tabs>
          <w:tab w:val="left" w:pos="1170"/>
        </w:tabs>
        <w:contextualSpacing/>
        <w:mirrorIndents/>
        <w:rPr>
          <w:sz w:val="16"/>
          <w:szCs w:val="16"/>
        </w:rPr>
      </w:pPr>
      <w:r>
        <w:rPr>
          <w:sz w:val="16"/>
          <w:szCs w:val="16"/>
        </w:rPr>
        <w:tab/>
      </w:r>
    </w:p>
    <w:p w14:paraId="0445DDF4" w14:textId="7DEBDAF9" w:rsidR="00294183" w:rsidRPr="007F1120" w:rsidRDefault="00294183" w:rsidP="00294183">
      <w:pPr>
        <w:pStyle w:val="Header"/>
        <w:contextualSpacing/>
        <w:jc w:val="center"/>
        <w:rPr>
          <w:b/>
          <w:sz w:val="20"/>
          <w:szCs w:val="20"/>
        </w:rPr>
      </w:pPr>
      <w:r>
        <w:rPr>
          <w:b/>
          <w:sz w:val="20"/>
          <w:szCs w:val="20"/>
        </w:rPr>
        <w:t>The Media Audit: Heavy Exposure to Media</w:t>
      </w:r>
      <w:r w:rsidRPr="007F1120">
        <w:rPr>
          <w:rFonts w:ascii="Verdana" w:hAnsi="Verdana"/>
          <w:b/>
          <w:sz w:val="20"/>
          <w:szCs w:val="20"/>
        </w:rPr>
        <w:t>,</w:t>
      </w:r>
      <w:r w:rsidRPr="007F1120">
        <w:rPr>
          <w:b/>
          <w:sz w:val="20"/>
          <w:szCs w:val="20"/>
        </w:rPr>
        <w:t xml:space="preserve"> </w:t>
      </w:r>
      <w:r>
        <w:rPr>
          <w:b/>
          <w:sz w:val="20"/>
          <w:szCs w:val="20"/>
        </w:rPr>
        <w:t>2021</w:t>
      </w:r>
    </w:p>
    <w:tbl>
      <w:tblPr>
        <w:tblW w:w="4935" w:type="dxa"/>
        <w:jc w:val="center"/>
        <w:tblBorders>
          <w:left w:val="single" w:sz="8" w:space="0" w:color="000000"/>
          <w:right w:val="single" w:sz="8" w:space="0" w:color="000000"/>
        </w:tblBorders>
        <w:tblLayout w:type="fixed"/>
        <w:tblLook w:val="0000" w:firstRow="0" w:lastRow="0" w:firstColumn="0" w:lastColumn="0" w:noHBand="0" w:noVBand="0"/>
      </w:tblPr>
      <w:tblGrid>
        <w:gridCol w:w="1635"/>
        <w:gridCol w:w="3300"/>
      </w:tblGrid>
      <w:tr w:rsidR="00294183" w:rsidRPr="007F1120" w14:paraId="68EE6652" w14:textId="77777777" w:rsidTr="00E45D4F">
        <w:trPr>
          <w:jc w:val="center"/>
        </w:trPr>
        <w:tc>
          <w:tcPr>
            <w:tcW w:w="1635" w:type="dxa"/>
            <w:tcBorders>
              <w:top w:val="single" w:sz="12" w:space="0" w:color="000000"/>
              <w:left w:val="single" w:sz="12" w:space="0" w:color="000000"/>
              <w:bottom w:val="single" w:sz="18" w:space="0" w:color="C0504D" w:themeColor="accent2"/>
              <w:right w:val="single" w:sz="18" w:space="0" w:color="0070C0"/>
            </w:tcBorders>
            <w:shd w:val="clear" w:color="auto" w:fill="auto"/>
            <w:vAlign w:val="center"/>
          </w:tcPr>
          <w:p w14:paraId="07609E34" w14:textId="3F710BC3" w:rsidR="00294183" w:rsidRPr="00294183" w:rsidRDefault="00294183" w:rsidP="00E45D4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Media</w:t>
            </w:r>
          </w:p>
        </w:tc>
        <w:tc>
          <w:tcPr>
            <w:tcW w:w="3300" w:type="dxa"/>
            <w:tcBorders>
              <w:top w:val="single" w:sz="12" w:space="0" w:color="000000"/>
              <w:left w:val="single" w:sz="8" w:space="0" w:color="0070C0"/>
              <w:bottom w:val="single" w:sz="18" w:space="0" w:color="C0504D" w:themeColor="accent2"/>
              <w:right w:val="single" w:sz="12" w:space="0" w:color="auto"/>
            </w:tcBorders>
            <w:shd w:val="clear" w:color="auto" w:fill="auto"/>
            <w:vAlign w:val="center"/>
          </w:tcPr>
          <w:p w14:paraId="1100DB6C" w14:textId="7937DA88" w:rsidR="00294183" w:rsidRPr="00294183" w:rsidRDefault="00294183" w:rsidP="00E45D4F">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16"/>
                <w:szCs w:val="16"/>
              </w:rPr>
            </w:pPr>
            <w:r w:rsidRPr="00294183">
              <w:rPr>
                <w:rFonts w:ascii="Verdana" w:eastAsia="Times New Roman" w:hAnsi="Verdana"/>
                <w:sz w:val="16"/>
                <w:szCs w:val="16"/>
              </w:rPr>
              <w:t>Time</w:t>
            </w:r>
          </w:p>
        </w:tc>
      </w:tr>
      <w:tr w:rsidR="00294183" w:rsidRPr="007F1120" w14:paraId="209928CC" w14:textId="77777777" w:rsidTr="00294183">
        <w:trPr>
          <w:trHeight w:val="243"/>
          <w:jc w:val="center"/>
        </w:trPr>
        <w:tc>
          <w:tcPr>
            <w:tcW w:w="163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CD83873" w14:textId="15DF1C23" w:rsidR="00294183" w:rsidRPr="00294183" w:rsidRDefault="0029418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Radio</w:t>
            </w:r>
          </w:p>
        </w:tc>
        <w:tc>
          <w:tcPr>
            <w:tcW w:w="3300"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6CFF7E32" w14:textId="1F4D5253"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294183" w:rsidRPr="007F1120" w14:paraId="62F9F1D3"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EBECB7D" w14:textId="75997159" w:rsidR="00294183" w:rsidRPr="00294183" w:rsidRDefault="0029418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TV</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6ECDA9DA" w14:textId="39EB3C0D"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300+ minutes during an average day</w:t>
            </w:r>
          </w:p>
        </w:tc>
      </w:tr>
      <w:tr w:rsidR="00294183" w:rsidRPr="007F1120" w14:paraId="51E240FA"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9BF1F91" w14:textId="6E08106A" w:rsidR="00294183" w:rsidRPr="00294183" w:rsidRDefault="0029418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Newspaper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4DC9CDA0" w14:textId="7784429B"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60+ minutes during an average day</w:t>
            </w:r>
          </w:p>
        </w:tc>
      </w:tr>
      <w:tr w:rsidR="00294183" w:rsidRPr="007F1120" w14:paraId="11A13289"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FE38618" w14:textId="54BDD0E6" w:rsidR="00294183" w:rsidRPr="00294183" w:rsidRDefault="0029418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Outdoor</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24E8CA2F" w14:textId="316F8DD5"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200+ miles during an average week</w:t>
            </w:r>
          </w:p>
        </w:tc>
      </w:tr>
      <w:tr w:rsidR="00294183" w:rsidRPr="007F1120" w14:paraId="3E69C6FA"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01C73DB" w14:textId="1304C31A" w:rsidR="00294183" w:rsidRPr="00294183" w:rsidRDefault="0029418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Direct mail</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1FE5653E" w14:textId="6EA2B2BD"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75+ read weekly</w:t>
            </w:r>
          </w:p>
        </w:tc>
      </w:tr>
      <w:tr w:rsidR="00294183" w:rsidRPr="007F1120" w14:paraId="21D103F5"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B033B49" w14:textId="7FEACD70" w:rsidR="00294183" w:rsidRPr="00294183" w:rsidRDefault="00294183" w:rsidP="0059347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Internet</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431543A6" w14:textId="7226E964"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294183" w:rsidRPr="007F1120" w14:paraId="7A5800CC"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A91A0DF" w14:textId="0F7EE301"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Social media</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7A751FF5" w14:textId="1EB33DD3"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294183" w:rsidRPr="007F1120" w14:paraId="2EAD6B27"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D23899F" w14:textId="1C1D8EC2"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Audio streaming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79CFA9AE" w14:textId="04448A34"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r w:rsidR="00294183" w:rsidRPr="007F1120" w14:paraId="38FBB370" w14:textId="77777777" w:rsidTr="00294183">
        <w:trPr>
          <w:trHeight w:val="243"/>
          <w:jc w:val="center"/>
        </w:trPr>
        <w:tc>
          <w:tcPr>
            <w:tcW w:w="163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DF48338" w14:textId="0A1791B0"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Podcast listening</w:t>
            </w:r>
          </w:p>
        </w:tc>
        <w:tc>
          <w:tcPr>
            <w:tcW w:w="3300" w:type="dxa"/>
            <w:tcBorders>
              <w:top w:val="single" w:sz="4" w:space="0" w:color="auto"/>
              <w:left w:val="single" w:sz="8" w:space="0" w:color="0070C0"/>
              <w:bottom w:val="single" w:sz="4" w:space="0" w:color="000000"/>
              <w:right w:val="single" w:sz="12" w:space="0" w:color="auto"/>
            </w:tcBorders>
            <w:shd w:val="clear" w:color="auto" w:fill="auto"/>
            <w:vAlign w:val="center"/>
          </w:tcPr>
          <w:p w14:paraId="2B09FB55" w14:textId="6649153C"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 typical day</w:t>
            </w:r>
          </w:p>
        </w:tc>
      </w:tr>
      <w:tr w:rsidR="00294183" w:rsidRPr="007F1120" w14:paraId="1D3D5B2E" w14:textId="77777777" w:rsidTr="00294183">
        <w:trPr>
          <w:trHeight w:val="243"/>
          <w:jc w:val="center"/>
        </w:trPr>
        <w:tc>
          <w:tcPr>
            <w:tcW w:w="163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2B1F9513" w14:textId="32D92F34"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Video streaming</w:t>
            </w:r>
          </w:p>
        </w:tc>
        <w:tc>
          <w:tcPr>
            <w:tcW w:w="3300" w:type="dxa"/>
            <w:tcBorders>
              <w:top w:val="single" w:sz="4" w:space="0" w:color="000000"/>
              <w:left w:val="single" w:sz="8" w:space="0" w:color="0070C0"/>
              <w:bottom w:val="single" w:sz="12" w:space="0" w:color="000000"/>
              <w:right w:val="single" w:sz="12" w:space="0" w:color="auto"/>
            </w:tcBorders>
            <w:shd w:val="clear" w:color="auto" w:fill="auto"/>
            <w:vAlign w:val="center"/>
          </w:tcPr>
          <w:p w14:paraId="74207BE1" w14:textId="1A1B39A6" w:rsidR="00294183" w:rsidRPr="00294183" w:rsidRDefault="00294183" w:rsidP="00294183">
            <w:pPr>
              <w:widowControl w:val="0"/>
              <w:tabs>
                <w:tab w:val="left" w:pos="220"/>
                <w:tab w:val="left" w:pos="720"/>
              </w:tabs>
              <w:autoSpaceDE w:val="0"/>
              <w:autoSpaceDN w:val="0"/>
              <w:adjustRightInd w:val="0"/>
              <w:spacing w:after="0" w:line="240" w:lineRule="auto"/>
              <w:contextualSpacing/>
              <w:rPr>
                <w:rFonts w:ascii="Verdana" w:eastAsia="Times New Roman" w:hAnsi="Verdana"/>
                <w:sz w:val="16"/>
                <w:szCs w:val="16"/>
              </w:rPr>
            </w:pPr>
            <w:r w:rsidRPr="00294183">
              <w:rPr>
                <w:rFonts w:ascii="Verdana" w:eastAsia="Times New Roman" w:hAnsi="Verdana"/>
                <w:sz w:val="16"/>
                <w:szCs w:val="16"/>
              </w:rPr>
              <w:t>180+ minutes during an average day</w:t>
            </w:r>
          </w:p>
        </w:tc>
      </w:tr>
    </w:tbl>
    <w:p w14:paraId="3C35B056" w14:textId="4AB07ABE" w:rsidR="00F94CE8" w:rsidRDefault="00F94CE8" w:rsidP="00F94CE8">
      <w:pPr>
        <w:pStyle w:val="NoSpacing"/>
        <w:contextualSpacing/>
        <w:rPr>
          <w:sz w:val="20"/>
          <w:szCs w:val="20"/>
        </w:rPr>
      </w:pPr>
    </w:p>
    <w:p w14:paraId="72BAAFC7" w14:textId="3871C11D" w:rsidR="00F94CE8" w:rsidRPr="00294183" w:rsidRDefault="00F94CE8" w:rsidP="00F94CE8">
      <w:pPr>
        <w:spacing w:after="0" w:line="240" w:lineRule="auto"/>
        <w:rPr>
          <w:rFonts w:ascii="Verdana" w:hAnsi="Verdana"/>
          <w:sz w:val="16"/>
          <w:szCs w:val="16"/>
        </w:rPr>
      </w:pPr>
      <w:r w:rsidRPr="00294183">
        <w:rPr>
          <w:rFonts w:ascii="Verdana" w:hAnsi="Verdana"/>
          <w:i/>
          <w:sz w:val="16"/>
          <w:szCs w:val="16"/>
        </w:rPr>
        <w:t>Sources:</w:t>
      </w:r>
      <w:r w:rsidRPr="00294183">
        <w:rPr>
          <w:rFonts w:ascii="Verdana" w:hAnsi="Verdana"/>
          <w:sz w:val="16"/>
          <w:szCs w:val="16"/>
        </w:rPr>
        <w:t xml:space="preserve"> </w:t>
      </w:r>
      <w:r w:rsidR="00294183" w:rsidRPr="00294183">
        <w:rPr>
          <w:i/>
          <w:iCs/>
          <w:sz w:val="16"/>
          <w:szCs w:val="16"/>
        </w:rPr>
        <w:t>Bicycle Retailer</w:t>
      </w:r>
      <w:r w:rsidR="00294183" w:rsidRPr="00294183">
        <w:rPr>
          <w:sz w:val="16"/>
          <w:szCs w:val="16"/>
        </w:rPr>
        <w:t xml:space="preserve"> </w:t>
      </w:r>
      <w:r w:rsidRPr="00294183">
        <w:rPr>
          <w:rFonts w:ascii="Verdana" w:hAnsi="Verdana"/>
          <w:sz w:val="16"/>
          <w:szCs w:val="16"/>
        </w:rPr>
        <w:t xml:space="preserve">Website, </w:t>
      </w:r>
      <w:r w:rsidR="0045797F" w:rsidRPr="00294183">
        <w:rPr>
          <w:rFonts w:ascii="Verdana" w:hAnsi="Verdana"/>
          <w:sz w:val="16"/>
          <w:szCs w:val="16"/>
        </w:rPr>
        <w:t>3</w:t>
      </w:r>
      <w:r w:rsidR="00306D88" w:rsidRPr="00294183">
        <w:rPr>
          <w:rFonts w:ascii="Verdana" w:hAnsi="Verdana"/>
          <w:sz w:val="16"/>
          <w:szCs w:val="16"/>
        </w:rPr>
        <w:t>/</w:t>
      </w:r>
      <w:r w:rsidR="00AE6B2A" w:rsidRPr="00294183">
        <w:rPr>
          <w:rFonts w:ascii="Verdana" w:hAnsi="Verdana"/>
          <w:sz w:val="16"/>
          <w:szCs w:val="16"/>
        </w:rPr>
        <w:t>2</w:t>
      </w:r>
      <w:r w:rsidR="00C8473A" w:rsidRPr="00294183">
        <w:rPr>
          <w:rFonts w:ascii="Verdana" w:hAnsi="Verdana"/>
          <w:sz w:val="16"/>
          <w:szCs w:val="16"/>
        </w:rPr>
        <w:t>2</w:t>
      </w:r>
      <w:r w:rsidRPr="00294183">
        <w:rPr>
          <w:rFonts w:ascii="Verdana" w:hAnsi="Verdana"/>
          <w:sz w:val="16"/>
          <w:szCs w:val="16"/>
        </w:rPr>
        <w:t xml:space="preserve">; </w:t>
      </w:r>
      <w:r w:rsidR="00294183" w:rsidRPr="00294183">
        <w:rPr>
          <w:sz w:val="16"/>
          <w:szCs w:val="16"/>
        </w:rPr>
        <w:t xml:space="preserve">U.S. Bureau of Economic Analysis </w:t>
      </w:r>
      <w:r w:rsidRPr="00294183">
        <w:rPr>
          <w:rFonts w:ascii="Verdana" w:hAnsi="Verdana"/>
          <w:sz w:val="16"/>
          <w:szCs w:val="16"/>
        </w:rPr>
        <w:t xml:space="preserve">Website, </w:t>
      </w:r>
      <w:r w:rsidR="0045797F" w:rsidRPr="00294183">
        <w:rPr>
          <w:rFonts w:ascii="Verdana" w:hAnsi="Verdana"/>
          <w:sz w:val="16"/>
          <w:szCs w:val="16"/>
        </w:rPr>
        <w:t>3</w:t>
      </w:r>
      <w:r w:rsidR="004E421A" w:rsidRPr="00294183">
        <w:rPr>
          <w:rFonts w:ascii="Verdana" w:hAnsi="Verdana"/>
          <w:sz w:val="16"/>
          <w:szCs w:val="16"/>
        </w:rPr>
        <w:t>/</w:t>
      </w:r>
      <w:r w:rsidR="00AE6B2A" w:rsidRPr="00294183">
        <w:rPr>
          <w:rFonts w:ascii="Verdana" w:hAnsi="Verdana"/>
          <w:sz w:val="16"/>
          <w:szCs w:val="16"/>
        </w:rPr>
        <w:t>2</w:t>
      </w:r>
      <w:r w:rsidR="00C8473A" w:rsidRPr="00294183">
        <w:rPr>
          <w:rFonts w:ascii="Verdana" w:hAnsi="Verdana"/>
          <w:sz w:val="16"/>
          <w:szCs w:val="16"/>
        </w:rPr>
        <w:t>2</w:t>
      </w:r>
      <w:r w:rsidRPr="00294183">
        <w:rPr>
          <w:rFonts w:ascii="Verdana" w:hAnsi="Verdana"/>
          <w:sz w:val="16"/>
          <w:szCs w:val="16"/>
        </w:rPr>
        <w:t xml:space="preserve">; </w:t>
      </w:r>
      <w:r w:rsidR="00294183" w:rsidRPr="00294183">
        <w:rPr>
          <w:sz w:val="16"/>
          <w:szCs w:val="16"/>
        </w:rPr>
        <w:t>The League of American Bicyclists</w:t>
      </w:r>
      <w:r w:rsidR="009A3EBE" w:rsidRPr="00294183">
        <w:rPr>
          <w:rFonts w:ascii="Verdana" w:hAnsi="Verdana"/>
          <w:sz w:val="16"/>
          <w:szCs w:val="16"/>
        </w:rPr>
        <w:t xml:space="preserve"> </w:t>
      </w:r>
      <w:r w:rsidRPr="00294183">
        <w:rPr>
          <w:rFonts w:ascii="Verdana" w:hAnsi="Verdana"/>
          <w:sz w:val="16"/>
          <w:szCs w:val="16"/>
        </w:rPr>
        <w:t>Website</w:t>
      </w:r>
      <w:r w:rsidR="00A00453" w:rsidRPr="00294183">
        <w:rPr>
          <w:rFonts w:ascii="Verdana" w:hAnsi="Verdana"/>
          <w:sz w:val="16"/>
          <w:szCs w:val="16"/>
        </w:rPr>
        <w:t xml:space="preserve">, </w:t>
      </w:r>
      <w:r w:rsidR="0045797F" w:rsidRPr="00294183">
        <w:rPr>
          <w:rFonts w:ascii="Verdana" w:hAnsi="Verdana"/>
          <w:sz w:val="16"/>
          <w:szCs w:val="16"/>
        </w:rPr>
        <w:t>3</w:t>
      </w:r>
      <w:r w:rsidR="00306D88" w:rsidRPr="00294183">
        <w:rPr>
          <w:rFonts w:ascii="Verdana" w:hAnsi="Verdana"/>
          <w:sz w:val="16"/>
          <w:szCs w:val="16"/>
        </w:rPr>
        <w:t>/</w:t>
      </w:r>
      <w:r w:rsidR="00AE6B2A" w:rsidRPr="00294183">
        <w:rPr>
          <w:rFonts w:ascii="Verdana" w:hAnsi="Verdana"/>
          <w:sz w:val="16"/>
          <w:szCs w:val="16"/>
        </w:rPr>
        <w:t>2</w:t>
      </w:r>
      <w:r w:rsidR="00C8473A" w:rsidRPr="00294183">
        <w:rPr>
          <w:rFonts w:ascii="Verdana" w:hAnsi="Verdana"/>
          <w:sz w:val="16"/>
          <w:szCs w:val="16"/>
        </w:rPr>
        <w:t>2</w:t>
      </w:r>
      <w:r w:rsidR="00294183">
        <w:rPr>
          <w:rFonts w:ascii="Verdana" w:hAnsi="Verdana"/>
          <w:sz w:val="16"/>
          <w:szCs w:val="16"/>
        </w:rPr>
        <w:t>;</w:t>
      </w:r>
      <w:r w:rsidR="00294183" w:rsidRPr="00294183">
        <w:rPr>
          <w:rFonts w:ascii="Verdana" w:hAnsi="Verdana"/>
          <w:sz w:val="16"/>
          <w:szCs w:val="16"/>
        </w:rPr>
        <w:t xml:space="preserve"> </w:t>
      </w:r>
      <w:r w:rsidR="00294183" w:rsidRPr="00294183">
        <w:rPr>
          <w:sz w:val="16"/>
          <w:szCs w:val="16"/>
        </w:rPr>
        <w:t>Outdoor Foundation Website</w:t>
      </w:r>
      <w:r w:rsidR="00294183" w:rsidRPr="00294183">
        <w:rPr>
          <w:rFonts w:ascii="Verdana" w:hAnsi="Verdana"/>
          <w:sz w:val="16"/>
          <w:szCs w:val="16"/>
        </w:rPr>
        <w:t>, 3/22</w:t>
      </w:r>
      <w:r w:rsidR="00294183">
        <w:rPr>
          <w:rFonts w:ascii="Verdana" w:hAnsi="Verdana"/>
          <w:sz w:val="16"/>
          <w:szCs w:val="16"/>
        </w:rPr>
        <w:t>;</w:t>
      </w:r>
      <w:r w:rsidR="00294183" w:rsidRPr="00294183">
        <w:rPr>
          <w:rFonts w:ascii="Verdana" w:hAnsi="Verdana"/>
          <w:sz w:val="16"/>
          <w:szCs w:val="16"/>
        </w:rPr>
        <w:t xml:space="preserve"> </w:t>
      </w:r>
      <w:r w:rsidR="00294183" w:rsidRPr="00294183">
        <w:rPr>
          <w:sz w:val="16"/>
          <w:szCs w:val="16"/>
        </w:rPr>
        <w:t xml:space="preserve"> The Media Audit Website</w:t>
      </w:r>
      <w:r w:rsidR="00294183" w:rsidRPr="00294183">
        <w:rPr>
          <w:rFonts w:ascii="Verdana" w:hAnsi="Verdana"/>
          <w:sz w:val="16"/>
          <w:szCs w:val="16"/>
        </w:rPr>
        <w:t>, 3/22</w:t>
      </w:r>
      <w:r w:rsidR="00294183">
        <w:rPr>
          <w:rFonts w:ascii="Verdana" w:hAnsi="Verdana"/>
          <w:sz w:val="16"/>
          <w:szCs w:val="16"/>
        </w:rPr>
        <w:t>;</w:t>
      </w:r>
      <w:r w:rsidR="00294183" w:rsidRPr="00294183">
        <w:rPr>
          <w:sz w:val="16"/>
          <w:szCs w:val="16"/>
        </w:rPr>
        <w:t xml:space="preserve"> People for Bikes Website</w:t>
      </w:r>
      <w:r w:rsidR="00294183" w:rsidRPr="00294183">
        <w:rPr>
          <w:rFonts w:ascii="Verdana" w:hAnsi="Verdana"/>
          <w:sz w:val="16"/>
          <w:szCs w:val="16"/>
        </w:rPr>
        <w:t>, 3/22</w:t>
      </w:r>
      <w:r w:rsidR="00294183">
        <w:rPr>
          <w:rFonts w:ascii="Verdana" w:hAnsi="Verdana"/>
          <w:sz w:val="16"/>
          <w:szCs w:val="16"/>
        </w:rPr>
        <w:t>.</w:t>
      </w:r>
    </w:p>
    <w:p w14:paraId="7EF64BA4" w14:textId="77777777" w:rsidR="00F94CE8" w:rsidRPr="00690E6A" w:rsidRDefault="00F94CE8" w:rsidP="00F94CE8">
      <w:pPr>
        <w:spacing w:after="0" w:line="240" w:lineRule="auto"/>
        <w:rPr>
          <w:rFonts w:ascii="Verdana" w:hAnsi="Verdana"/>
          <w:sz w:val="16"/>
        </w:rPr>
      </w:pPr>
    </w:p>
    <w:p w14:paraId="49C0D793" w14:textId="4F4B89FE"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45797F">
        <w:rPr>
          <w:rFonts w:ascii="Verdana" w:hAnsi="Verdana"/>
          <w:sz w:val="16"/>
        </w:rPr>
        <w:t>March</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392FDD45" w14:textId="1209AC6C" w:rsidR="00AE1F72" w:rsidRPr="00294183" w:rsidRDefault="00AE1F72" w:rsidP="00294183">
      <w:pPr>
        <w:jc w:val="center"/>
        <w:rPr>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D999" w14:textId="77777777" w:rsidR="00427319" w:rsidRDefault="00427319" w:rsidP="00260DE9">
      <w:pPr>
        <w:spacing w:after="0" w:line="240" w:lineRule="auto"/>
      </w:pPr>
      <w:r>
        <w:separator/>
      </w:r>
    </w:p>
  </w:endnote>
  <w:endnote w:type="continuationSeparator" w:id="0">
    <w:p w14:paraId="796F061B" w14:textId="77777777" w:rsidR="00427319" w:rsidRDefault="00427319"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E231" w14:textId="77777777" w:rsidR="00427319" w:rsidRDefault="00427319" w:rsidP="00260DE9">
      <w:pPr>
        <w:spacing w:after="0" w:line="240" w:lineRule="auto"/>
      </w:pPr>
      <w:r>
        <w:separator/>
      </w:r>
    </w:p>
  </w:footnote>
  <w:footnote w:type="continuationSeparator" w:id="0">
    <w:p w14:paraId="143921AB" w14:textId="77777777" w:rsidR="00427319" w:rsidRDefault="00427319"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21D50"/>
    <w:rsid w:val="00030B4A"/>
    <w:rsid w:val="0003466E"/>
    <w:rsid w:val="00052024"/>
    <w:rsid w:val="0005633E"/>
    <w:rsid w:val="000577D6"/>
    <w:rsid w:val="000638D7"/>
    <w:rsid w:val="00065251"/>
    <w:rsid w:val="0007198D"/>
    <w:rsid w:val="000830D7"/>
    <w:rsid w:val="000B2CA0"/>
    <w:rsid w:val="000C4B96"/>
    <w:rsid w:val="000C7821"/>
    <w:rsid w:val="000D2F3A"/>
    <w:rsid w:val="000D7C07"/>
    <w:rsid w:val="00112A85"/>
    <w:rsid w:val="0012010F"/>
    <w:rsid w:val="001214D2"/>
    <w:rsid w:val="00142DEE"/>
    <w:rsid w:val="00144E12"/>
    <w:rsid w:val="001531C2"/>
    <w:rsid w:val="00154344"/>
    <w:rsid w:val="00156625"/>
    <w:rsid w:val="00160474"/>
    <w:rsid w:val="00161442"/>
    <w:rsid w:val="00163B10"/>
    <w:rsid w:val="0016492E"/>
    <w:rsid w:val="00177D0F"/>
    <w:rsid w:val="00181941"/>
    <w:rsid w:val="001A05E7"/>
    <w:rsid w:val="001B3F86"/>
    <w:rsid w:val="001B64B0"/>
    <w:rsid w:val="001C2831"/>
    <w:rsid w:val="001C384B"/>
    <w:rsid w:val="001D53A3"/>
    <w:rsid w:val="001E3482"/>
    <w:rsid w:val="001F10D3"/>
    <w:rsid w:val="001F5DFA"/>
    <w:rsid w:val="002215B3"/>
    <w:rsid w:val="002461A3"/>
    <w:rsid w:val="00246466"/>
    <w:rsid w:val="00260DE9"/>
    <w:rsid w:val="002854DD"/>
    <w:rsid w:val="00294183"/>
    <w:rsid w:val="00294474"/>
    <w:rsid w:val="002A4A73"/>
    <w:rsid w:val="002A6286"/>
    <w:rsid w:val="002B0BCF"/>
    <w:rsid w:val="002B3E1A"/>
    <w:rsid w:val="002B428E"/>
    <w:rsid w:val="002E1F38"/>
    <w:rsid w:val="00306D88"/>
    <w:rsid w:val="0032654C"/>
    <w:rsid w:val="00327C87"/>
    <w:rsid w:val="00346893"/>
    <w:rsid w:val="003630CD"/>
    <w:rsid w:val="0038459A"/>
    <w:rsid w:val="00397800"/>
    <w:rsid w:val="003B417B"/>
    <w:rsid w:val="003C1340"/>
    <w:rsid w:val="003C15ED"/>
    <w:rsid w:val="003D6958"/>
    <w:rsid w:val="003E2E9B"/>
    <w:rsid w:val="003F0FE1"/>
    <w:rsid w:val="00400606"/>
    <w:rsid w:val="00412473"/>
    <w:rsid w:val="00422A36"/>
    <w:rsid w:val="00424E79"/>
    <w:rsid w:val="00427319"/>
    <w:rsid w:val="00432903"/>
    <w:rsid w:val="00451423"/>
    <w:rsid w:val="0045212B"/>
    <w:rsid w:val="0045797F"/>
    <w:rsid w:val="0046193A"/>
    <w:rsid w:val="0048482F"/>
    <w:rsid w:val="00493426"/>
    <w:rsid w:val="00494CA5"/>
    <w:rsid w:val="004D4671"/>
    <w:rsid w:val="004E421A"/>
    <w:rsid w:val="004F7F58"/>
    <w:rsid w:val="0050254D"/>
    <w:rsid w:val="00520014"/>
    <w:rsid w:val="00527C78"/>
    <w:rsid w:val="0056258A"/>
    <w:rsid w:val="00566387"/>
    <w:rsid w:val="0057012D"/>
    <w:rsid w:val="00571D6A"/>
    <w:rsid w:val="005846F9"/>
    <w:rsid w:val="00592462"/>
    <w:rsid w:val="00595E53"/>
    <w:rsid w:val="00596832"/>
    <w:rsid w:val="005C3BA5"/>
    <w:rsid w:val="005E34BC"/>
    <w:rsid w:val="005F19E9"/>
    <w:rsid w:val="00600CFD"/>
    <w:rsid w:val="00601F2D"/>
    <w:rsid w:val="006117E9"/>
    <w:rsid w:val="00635FF3"/>
    <w:rsid w:val="00637CB9"/>
    <w:rsid w:val="006557DC"/>
    <w:rsid w:val="00657B52"/>
    <w:rsid w:val="0067102D"/>
    <w:rsid w:val="006723BD"/>
    <w:rsid w:val="0068770F"/>
    <w:rsid w:val="0069436D"/>
    <w:rsid w:val="006B3A10"/>
    <w:rsid w:val="006D1053"/>
    <w:rsid w:val="006E1A2D"/>
    <w:rsid w:val="006E6275"/>
    <w:rsid w:val="00707104"/>
    <w:rsid w:val="007139CE"/>
    <w:rsid w:val="007257B5"/>
    <w:rsid w:val="007651A4"/>
    <w:rsid w:val="007821BC"/>
    <w:rsid w:val="007862CF"/>
    <w:rsid w:val="00793BD0"/>
    <w:rsid w:val="007A7CA1"/>
    <w:rsid w:val="007B6E29"/>
    <w:rsid w:val="007D3185"/>
    <w:rsid w:val="0082749D"/>
    <w:rsid w:val="00875007"/>
    <w:rsid w:val="0088350D"/>
    <w:rsid w:val="0088505B"/>
    <w:rsid w:val="0089324F"/>
    <w:rsid w:val="008A5C21"/>
    <w:rsid w:val="008C04E4"/>
    <w:rsid w:val="008F0BC3"/>
    <w:rsid w:val="009229BB"/>
    <w:rsid w:val="00923C8D"/>
    <w:rsid w:val="00931A86"/>
    <w:rsid w:val="009419F0"/>
    <w:rsid w:val="00945C41"/>
    <w:rsid w:val="0097289D"/>
    <w:rsid w:val="0097480E"/>
    <w:rsid w:val="00984DF0"/>
    <w:rsid w:val="0099377F"/>
    <w:rsid w:val="009A3728"/>
    <w:rsid w:val="009A3EBE"/>
    <w:rsid w:val="009A4526"/>
    <w:rsid w:val="009A6479"/>
    <w:rsid w:val="009C6A17"/>
    <w:rsid w:val="009F3C8C"/>
    <w:rsid w:val="00A00453"/>
    <w:rsid w:val="00A031C1"/>
    <w:rsid w:val="00A12BB9"/>
    <w:rsid w:val="00A30B01"/>
    <w:rsid w:val="00A55AAE"/>
    <w:rsid w:val="00A55AB4"/>
    <w:rsid w:val="00A61F9B"/>
    <w:rsid w:val="00A65531"/>
    <w:rsid w:val="00A71026"/>
    <w:rsid w:val="00A820F9"/>
    <w:rsid w:val="00AB01D8"/>
    <w:rsid w:val="00AE087E"/>
    <w:rsid w:val="00AE1F72"/>
    <w:rsid w:val="00AE6B2A"/>
    <w:rsid w:val="00AE71B7"/>
    <w:rsid w:val="00B12A59"/>
    <w:rsid w:val="00B14F9E"/>
    <w:rsid w:val="00B2496C"/>
    <w:rsid w:val="00B31552"/>
    <w:rsid w:val="00B33B46"/>
    <w:rsid w:val="00B36421"/>
    <w:rsid w:val="00B4203D"/>
    <w:rsid w:val="00B63327"/>
    <w:rsid w:val="00B6421F"/>
    <w:rsid w:val="00BC0DB8"/>
    <w:rsid w:val="00BC2144"/>
    <w:rsid w:val="00BE4BEC"/>
    <w:rsid w:val="00BE6652"/>
    <w:rsid w:val="00C11931"/>
    <w:rsid w:val="00C147E3"/>
    <w:rsid w:val="00C20878"/>
    <w:rsid w:val="00C21D13"/>
    <w:rsid w:val="00C412D4"/>
    <w:rsid w:val="00C54007"/>
    <w:rsid w:val="00C65128"/>
    <w:rsid w:val="00C673C8"/>
    <w:rsid w:val="00C77B54"/>
    <w:rsid w:val="00C8473A"/>
    <w:rsid w:val="00C96374"/>
    <w:rsid w:val="00CE3B31"/>
    <w:rsid w:val="00CE7889"/>
    <w:rsid w:val="00D03199"/>
    <w:rsid w:val="00D16971"/>
    <w:rsid w:val="00D17DB0"/>
    <w:rsid w:val="00D22E81"/>
    <w:rsid w:val="00D26223"/>
    <w:rsid w:val="00D271C5"/>
    <w:rsid w:val="00D37649"/>
    <w:rsid w:val="00D65DF6"/>
    <w:rsid w:val="00D8342E"/>
    <w:rsid w:val="00D93E11"/>
    <w:rsid w:val="00DA0B2F"/>
    <w:rsid w:val="00DA1474"/>
    <w:rsid w:val="00DC4F7C"/>
    <w:rsid w:val="00DD5A41"/>
    <w:rsid w:val="00DE0FDD"/>
    <w:rsid w:val="00E13B28"/>
    <w:rsid w:val="00E20F93"/>
    <w:rsid w:val="00E21202"/>
    <w:rsid w:val="00E2534C"/>
    <w:rsid w:val="00E31C88"/>
    <w:rsid w:val="00E45D4F"/>
    <w:rsid w:val="00E45F8D"/>
    <w:rsid w:val="00E56FE6"/>
    <w:rsid w:val="00E73EDD"/>
    <w:rsid w:val="00E80C14"/>
    <w:rsid w:val="00E95444"/>
    <w:rsid w:val="00ED2D06"/>
    <w:rsid w:val="00ED42A4"/>
    <w:rsid w:val="00EE4FA0"/>
    <w:rsid w:val="00EF6801"/>
    <w:rsid w:val="00EF6AB9"/>
    <w:rsid w:val="00F056FA"/>
    <w:rsid w:val="00F17764"/>
    <w:rsid w:val="00F2704A"/>
    <w:rsid w:val="00F27B88"/>
    <w:rsid w:val="00F66EA8"/>
    <w:rsid w:val="00F70E29"/>
    <w:rsid w:val="00F94CE8"/>
    <w:rsid w:val="00FA495C"/>
    <w:rsid w:val="00FB418C"/>
    <w:rsid w:val="00FB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2022-03-19T15:36:00Z</dcterms:created>
  <dcterms:modified xsi:type="dcterms:W3CDTF">2022-03-19T15:36:00Z</dcterms:modified>
</cp:coreProperties>
</file>