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16A15482" w:rsidR="00F94CE8" w:rsidRPr="005F19E9" w:rsidRDefault="005F19E9" w:rsidP="00C11931">
      <w:pPr>
        <w:pStyle w:val="NoSpacing"/>
        <w:contextualSpacing/>
        <w:mirrorIndents/>
        <w:rPr>
          <w:rFonts w:ascii="Verdana" w:hAnsi="Verdana"/>
          <w:b/>
          <w:bCs/>
          <w:color w:val="FF0000"/>
          <w:sz w:val="20"/>
          <w:szCs w:val="20"/>
        </w:rPr>
      </w:pPr>
      <w:r w:rsidRPr="005F19E9">
        <w:rPr>
          <w:rFonts w:ascii="Verdana" w:hAnsi="Verdana"/>
          <w:b/>
          <w:bCs/>
          <w:color w:val="FF0000"/>
          <w:sz w:val="20"/>
          <w:szCs w:val="20"/>
        </w:rPr>
        <w:t xml:space="preserve">Home </w:t>
      </w:r>
      <w:r w:rsidR="00B33F03">
        <w:rPr>
          <w:rFonts w:ascii="Verdana" w:hAnsi="Verdana"/>
          <w:b/>
          <w:bCs/>
          <w:color w:val="FF0000"/>
          <w:sz w:val="20"/>
          <w:szCs w:val="20"/>
        </w:rPr>
        <w:t xml:space="preserve">Living Products &amp; Services </w:t>
      </w:r>
      <w:r w:rsidRPr="005F19E9">
        <w:rPr>
          <w:rFonts w:ascii="Verdana" w:hAnsi="Verdana"/>
          <w:b/>
          <w:bCs/>
          <w:color w:val="FF0000"/>
          <w:sz w:val="20"/>
          <w:szCs w:val="20"/>
        </w:rPr>
        <w:t>2022</w:t>
      </w:r>
    </w:p>
    <w:p w14:paraId="11DB62D2" w14:textId="77777777" w:rsidR="00F94CE8" w:rsidRPr="00227C11" w:rsidRDefault="00F94CE8" w:rsidP="00227C11">
      <w:pPr>
        <w:pStyle w:val="NoSpacing"/>
        <w:contextualSpacing/>
        <w:mirrorIndents/>
        <w:rPr>
          <w:rFonts w:ascii="Verdana" w:hAnsi="Verdana"/>
          <w:sz w:val="20"/>
          <w:szCs w:val="20"/>
        </w:rPr>
      </w:pPr>
    </w:p>
    <w:p w14:paraId="09F51403" w14:textId="77777777" w:rsidR="00227C11" w:rsidRPr="00227C11" w:rsidRDefault="00227C11" w:rsidP="00227C11">
      <w:pPr>
        <w:spacing w:after="0" w:line="240" w:lineRule="auto"/>
        <w:contextualSpacing/>
        <w:mirrorIndents/>
        <w:jc w:val="center"/>
        <w:rPr>
          <w:rFonts w:ascii="Verdana" w:hAnsi="Verdana"/>
          <w:b/>
          <w:bCs/>
          <w:color w:val="0070C0"/>
          <w:sz w:val="20"/>
          <w:szCs w:val="20"/>
        </w:rPr>
      </w:pPr>
      <w:r w:rsidRPr="00227C11">
        <w:rPr>
          <w:rFonts w:ascii="Verdana" w:hAnsi="Verdana"/>
          <w:b/>
          <w:bCs/>
          <w:color w:val="0070C0"/>
          <w:sz w:val="20"/>
          <w:szCs w:val="20"/>
        </w:rPr>
        <w:t>A Focus on Improving Homelife Continues</w:t>
      </w:r>
    </w:p>
    <w:p w14:paraId="1A0D64CC" w14:textId="77777777" w:rsidR="00227C11" w:rsidRPr="00227C11" w:rsidRDefault="00227C11" w:rsidP="00227C11">
      <w:pPr>
        <w:spacing w:after="0" w:line="240" w:lineRule="auto"/>
        <w:contextualSpacing/>
        <w:mirrorIndents/>
        <w:rPr>
          <w:rFonts w:ascii="Verdana" w:hAnsi="Verdana"/>
          <w:sz w:val="20"/>
          <w:szCs w:val="20"/>
        </w:rPr>
      </w:pPr>
    </w:p>
    <w:p w14:paraId="4E3198F0" w14:textId="74127381" w:rsidR="00227C11" w:rsidRDefault="00227C11" w:rsidP="00227C11">
      <w:pPr>
        <w:spacing w:after="0" w:line="240" w:lineRule="auto"/>
        <w:contextualSpacing/>
        <w:mirrorIndents/>
        <w:rPr>
          <w:rFonts w:ascii="Verdana" w:hAnsi="Verdana"/>
          <w:sz w:val="20"/>
          <w:szCs w:val="20"/>
        </w:rPr>
      </w:pPr>
      <w:r>
        <w:rPr>
          <w:rFonts w:ascii="Verdana" w:hAnsi="Verdana"/>
          <w:sz w:val="20"/>
          <w:szCs w:val="20"/>
        </w:rPr>
        <w:t>Consumers learned a valuable lesson during the pandemic: improving and enhancing the livability of the home was essential. This trend is forecast to continue into 2022 and beyond, which will have a positive effect on all brands</w:t>
      </w:r>
      <w:r w:rsidR="00B238FB">
        <w:rPr>
          <w:rFonts w:ascii="Verdana" w:hAnsi="Verdana"/>
          <w:sz w:val="20"/>
          <w:szCs w:val="20"/>
        </w:rPr>
        <w:t xml:space="preserve"> and</w:t>
      </w:r>
      <w:r>
        <w:rPr>
          <w:rFonts w:ascii="Verdana" w:hAnsi="Verdana"/>
          <w:sz w:val="20"/>
          <w:szCs w:val="20"/>
        </w:rPr>
        <w:t xml:space="preserve"> retailers in the home-living sector.</w:t>
      </w:r>
    </w:p>
    <w:p w14:paraId="13EA57CE" w14:textId="2037297E" w:rsidR="00227C11" w:rsidRDefault="00227C11" w:rsidP="00227C11">
      <w:pPr>
        <w:spacing w:after="0" w:line="240" w:lineRule="auto"/>
        <w:contextualSpacing/>
        <w:mirrorIndents/>
        <w:rPr>
          <w:rFonts w:ascii="Verdana" w:hAnsi="Verdana"/>
          <w:sz w:val="20"/>
          <w:szCs w:val="20"/>
        </w:rPr>
      </w:pPr>
    </w:p>
    <w:p w14:paraId="7F3F8E54" w14:textId="4F1081BA" w:rsidR="00227C11" w:rsidRDefault="00227C11" w:rsidP="00227C11">
      <w:pPr>
        <w:spacing w:after="0" w:line="240" w:lineRule="auto"/>
        <w:contextualSpacing/>
        <w:mirrorIndents/>
        <w:rPr>
          <w:rFonts w:ascii="Verdana" w:hAnsi="Verdana"/>
          <w:sz w:val="20"/>
          <w:szCs w:val="20"/>
        </w:rPr>
      </w:pPr>
      <w:r>
        <w:rPr>
          <w:rFonts w:ascii="Verdana" w:hAnsi="Verdana"/>
          <w:sz w:val="20"/>
          <w:szCs w:val="20"/>
        </w:rPr>
        <w:t>Despite continued uncertainty about the pandemic, inflation</w:t>
      </w:r>
      <w:r w:rsidR="00A923EF">
        <w:rPr>
          <w:rFonts w:ascii="Verdana" w:hAnsi="Verdana"/>
          <w:sz w:val="20"/>
          <w:szCs w:val="20"/>
        </w:rPr>
        <w:t>, the labor market, the housing market</w:t>
      </w:r>
      <w:r>
        <w:rPr>
          <w:rFonts w:ascii="Verdana" w:hAnsi="Verdana"/>
          <w:sz w:val="20"/>
          <w:szCs w:val="20"/>
        </w:rPr>
        <w:t xml:space="preserve"> and the US economy in general, </w:t>
      </w:r>
      <w:r w:rsidRPr="009E0EF3">
        <w:rPr>
          <w:sz w:val="20"/>
          <w:szCs w:val="20"/>
        </w:rPr>
        <w:t>US retail sales increased 3.8%</w:t>
      </w:r>
      <w:r>
        <w:rPr>
          <w:sz w:val="20"/>
          <w:szCs w:val="20"/>
        </w:rPr>
        <w:t xml:space="preserve"> </w:t>
      </w:r>
      <w:r w:rsidRPr="009E0EF3">
        <w:rPr>
          <w:sz w:val="20"/>
          <w:szCs w:val="20"/>
        </w:rPr>
        <w:t>during January 2022, the largest increase during the past 10 months.</w:t>
      </w:r>
      <w:r>
        <w:rPr>
          <w:sz w:val="20"/>
          <w:szCs w:val="20"/>
        </w:rPr>
        <w:t xml:space="preserve"> </w:t>
      </w:r>
    </w:p>
    <w:p w14:paraId="24CD0528" w14:textId="474D96B5" w:rsidR="00227C11" w:rsidRDefault="00227C11" w:rsidP="00227C11">
      <w:pPr>
        <w:spacing w:after="0" w:line="240" w:lineRule="auto"/>
        <w:contextualSpacing/>
        <w:mirrorIndents/>
        <w:rPr>
          <w:rFonts w:ascii="Verdana" w:hAnsi="Verdana"/>
          <w:sz w:val="20"/>
          <w:szCs w:val="20"/>
        </w:rPr>
      </w:pPr>
    </w:p>
    <w:p w14:paraId="069B8B4E" w14:textId="774DF4D3" w:rsidR="00A923EF" w:rsidRDefault="00A923EF" w:rsidP="00227C11">
      <w:pPr>
        <w:spacing w:after="0" w:line="240" w:lineRule="auto"/>
        <w:contextualSpacing/>
        <w:mirrorIndents/>
        <w:rPr>
          <w:rFonts w:ascii="Verdana" w:hAnsi="Verdana"/>
          <w:sz w:val="20"/>
          <w:szCs w:val="20"/>
        </w:rPr>
      </w:pPr>
      <w:r>
        <w:rPr>
          <w:rFonts w:ascii="Verdana" w:hAnsi="Verdana"/>
          <w:sz w:val="20"/>
          <w:szCs w:val="20"/>
        </w:rPr>
        <w:t>Although furniture manufacturers still face many supply-chain issues, especially raw materials, the Institute for Supply Management ranked the furniture industry as the second-largest manufacturing sector for January 2022, as retailers’ orders increased.</w:t>
      </w:r>
    </w:p>
    <w:p w14:paraId="37602DB2" w14:textId="77777777" w:rsidR="00227C11" w:rsidRDefault="00227C11" w:rsidP="00227C11">
      <w:pPr>
        <w:spacing w:after="0" w:line="240" w:lineRule="auto"/>
        <w:contextualSpacing/>
        <w:mirrorIndents/>
        <w:rPr>
          <w:rFonts w:ascii="Verdana" w:hAnsi="Verdana"/>
          <w:sz w:val="20"/>
          <w:szCs w:val="20"/>
        </w:rPr>
      </w:pPr>
    </w:p>
    <w:p w14:paraId="2A33F4C7" w14:textId="77777777" w:rsidR="00830C0A" w:rsidRDefault="00830C0A" w:rsidP="00830C0A">
      <w:pPr>
        <w:pStyle w:val="Header"/>
        <w:contextualSpacing/>
        <w:jc w:val="center"/>
        <w:rPr>
          <w:rFonts w:ascii="Verdana" w:hAnsi="Verdana"/>
          <w:b/>
          <w:sz w:val="20"/>
          <w:szCs w:val="20"/>
        </w:rPr>
      </w:pPr>
      <w:r>
        <w:rPr>
          <w:rFonts w:ascii="Verdana" w:hAnsi="Verdana"/>
          <w:b/>
          <w:sz w:val="20"/>
          <w:szCs w:val="20"/>
        </w:rPr>
        <w:t xml:space="preserve">Retail Sales Comparisons for Furniture and Home Furnishing Stores </w:t>
      </w:r>
    </w:p>
    <w:p w14:paraId="683E6606" w14:textId="7EE4CA5B" w:rsidR="00830C0A" w:rsidRPr="00CC1ECE" w:rsidRDefault="00830C0A" w:rsidP="00830C0A">
      <w:pPr>
        <w:pStyle w:val="Header"/>
        <w:contextualSpacing/>
        <w:jc w:val="center"/>
        <w:rPr>
          <w:rFonts w:ascii="Verdana" w:hAnsi="Verdana"/>
          <w:b/>
          <w:sz w:val="20"/>
          <w:szCs w:val="20"/>
        </w:rPr>
      </w:pPr>
      <w:r>
        <w:rPr>
          <w:rFonts w:ascii="Verdana" w:hAnsi="Verdana"/>
          <w:b/>
          <w:sz w:val="20"/>
          <w:szCs w:val="20"/>
        </w:rPr>
        <w:t>and Paint and Wallpaper Stores, 2021, 2020 and 2019</w:t>
      </w:r>
    </w:p>
    <w:tbl>
      <w:tblPr>
        <w:tblW w:w="11438" w:type="dxa"/>
        <w:jc w:val="center"/>
        <w:tblBorders>
          <w:left w:val="single" w:sz="8" w:space="0" w:color="000000"/>
          <w:right w:val="single" w:sz="8" w:space="0" w:color="000000"/>
        </w:tblBorders>
        <w:tblLayout w:type="fixed"/>
        <w:tblLook w:val="0000" w:firstRow="0" w:lastRow="0" w:firstColumn="0" w:lastColumn="0" w:noHBand="0" w:noVBand="0"/>
      </w:tblPr>
      <w:tblGrid>
        <w:gridCol w:w="2265"/>
        <w:gridCol w:w="1152"/>
        <w:gridCol w:w="1152"/>
        <w:gridCol w:w="1152"/>
        <w:gridCol w:w="2261"/>
        <w:gridCol w:w="1152"/>
        <w:gridCol w:w="1152"/>
        <w:gridCol w:w="1152"/>
      </w:tblGrid>
      <w:tr w:rsidR="00830C0A" w:rsidRPr="00CC1ECE" w14:paraId="14768DD6" w14:textId="77777777" w:rsidTr="00A52999">
        <w:trPr>
          <w:jc w:val="center"/>
        </w:trPr>
        <w:tc>
          <w:tcPr>
            <w:tcW w:w="2265" w:type="dxa"/>
            <w:tcBorders>
              <w:top w:val="single" w:sz="12" w:space="0" w:color="000000"/>
              <w:left w:val="single" w:sz="12" w:space="0" w:color="000000"/>
              <w:bottom w:val="single" w:sz="18" w:space="0" w:color="C0504D" w:themeColor="accent2"/>
              <w:right w:val="single" w:sz="12" w:space="0" w:color="0070C0"/>
            </w:tcBorders>
            <w:vAlign w:val="center"/>
          </w:tcPr>
          <w:p w14:paraId="3CDCEA44" w14:textId="15C0D157"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Furniture and Home Furnishing Stores</w:t>
            </w:r>
          </w:p>
        </w:tc>
        <w:tc>
          <w:tcPr>
            <w:tcW w:w="1152" w:type="dxa"/>
            <w:tcBorders>
              <w:top w:val="single" w:sz="12" w:space="0" w:color="000000"/>
              <w:left w:val="single" w:sz="12" w:space="0" w:color="0070C0"/>
              <w:bottom w:val="single" w:sz="18" w:space="0" w:color="C0504D" w:themeColor="accent2"/>
              <w:right w:val="single" w:sz="8" w:space="0" w:color="0070C0"/>
            </w:tcBorders>
            <w:vAlign w:val="center"/>
          </w:tcPr>
          <w:p w14:paraId="021416BD" w14:textId="5720A5D0"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Amount</w:t>
            </w:r>
          </w:p>
        </w:tc>
        <w:tc>
          <w:tcPr>
            <w:tcW w:w="1152" w:type="dxa"/>
            <w:tcBorders>
              <w:top w:val="single" w:sz="12" w:space="0" w:color="000000"/>
              <w:left w:val="single" w:sz="8" w:space="0" w:color="0070C0"/>
              <w:bottom w:val="single" w:sz="18" w:space="0" w:color="C0504D" w:themeColor="accent2"/>
              <w:right w:val="single" w:sz="8" w:space="0" w:color="0070C0"/>
            </w:tcBorders>
            <w:vAlign w:val="center"/>
          </w:tcPr>
          <w:p w14:paraId="57B8F094" w14:textId="30B45C31"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152" w:type="dxa"/>
            <w:tcBorders>
              <w:top w:val="single" w:sz="12" w:space="0" w:color="000000"/>
              <w:left w:val="single" w:sz="8" w:space="0" w:color="0070C0"/>
              <w:bottom w:val="single" w:sz="18" w:space="0" w:color="C0504D" w:themeColor="accent2"/>
              <w:right w:val="single" w:sz="18" w:space="0" w:color="0070C0"/>
            </w:tcBorders>
            <w:vAlign w:val="center"/>
          </w:tcPr>
          <w:p w14:paraId="6CF24624" w14:textId="5C443EE0"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c>
          <w:tcPr>
            <w:tcW w:w="2261" w:type="dxa"/>
            <w:tcBorders>
              <w:top w:val="single" w:sz="12" w:space="0" w:color="000000"/>
              <w:left w:val="single" w:sz="18" w:space="0" w:color="0070C0"/>
              <w:bottom w:val="single" w:sz="18" w:space="0" w:color="C0504D" w:themeColor="accent2"/>
              <w:right w:val="single" w:sz="12" w:space="0" w:color="0070C0"/>
            </w:tcBorders>
            <w:vAlign w:val="center"/>
          </w:tcPr>
          <w:p w14:paraId="2579C4E5" w14:textId="667BBF94"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Paint and Wallpaper Stores</w:t>
            </w:r>
          </w:p>
        </w:tc>
        <w:tc>
          <w:tcPr>
            <w:tcW w:w="1152" w:type="dxa"/>
            <w:tcBorders>
              <w:top w:val="single" w:sz="12" w:space="0" w:color="000000"/>
              <w:left w:val="single" w:sz="12" w:space="0" w:color="0070C0"/>
              <w:bottom w:val="single" w:sz="18" w:space="0" w:color="C0504D" w:themeColor="accent2"/>
              <w:right w:val="single" w:sz="8" w:space="0" w:color="0070C0"/>
            </w:tcBorders>
            <w:vAlign w:val="center"/>
          </w:tcPr>
          <w:p w14:paraId="4B835BBC" w14:textId="382F1BAD"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Amount</w:t>
            </w:r>
          </w:p>
        </w:tc>
        <w:tc>
          <w:tcPr>
            <w:tcW w:w="1152" w:type="dxa"/>
            <w:tcBorders>
              <w:top w:val="single" w:sz="12" w:space="0" w:color="000000"/>
              <w:left w:val="single" w:sz="8" w:space="0" w:color="0070C0"/>
              <w:bottom w:val="single" w:sz="18" w:space="0" w:color="C0504D" w:themeColor="accent2"/>
              <w:right w:val="single" w:sz="8" w:space="0" w:color="0070C0"/>
            </w:tcBorders>
            <w:vAlign w:val="center"/>
          </w:tcPr>
          <w:p w14:paraId="09630D46" w14:textId="02458189"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152" w:type="dxa"/>
            <w:tcBorders>
              <w:top w:val="single" w:sz="12" w:space="0" w:color="000000"/>
              <w:left w:val="single" w:sz="8" w:space="0" w:color="0070C0"/>
              <w:bottom w:val="single" w:sz="18" w:space="0" w:color="C0504D" w:themeColor="accent2"/>
              <w:right w:val="single" w:sz="12" w:space="0" w:color="000000"/>
            </w:tcBorders>
            <w:vAlign w:val="center"/>
          </w:tcPr>
          <w:p w14:paraId="3800DEF7" w14:textId="3F871566" w:rsidR="00830C0A" w:rsidRPr="00CC1ECE" w:rsidRDefault="00830C0A" w:rsidP="00830C0A">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830C0A" w:rsidRPr="00CC1ECE" w14:paraId="59EDB2D1" w14:textId="77777777" w:rsidTr="00833418">
        <w:trPr>
          <w:trHeight w:val="243"/>
          <w:jc w:val="center"/>
        </w:trPr>
        <w:tc>
          <w:tcPr>
            <w:tcW w:w="2265"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232C17FF" w14:textId="451EDCAD" w:rsidR="00830C0A" w:rsidRPr="00CC1ECE"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Total 2021 sales</w:t>
            </w:r>
          </w:p>
        </w:tc>
        <w:tc>
          <w:tcPr>
            <w:tcW w:w="1152" w:type="dxa"/>
            <w:tcBorders>
              <w:top w:val="single" w:sz="18" w:space="0" w:color="C0504D" w:themeColor="accent2"/>
              <w:left w:val="single" w:sz="12" w:space="0" w:color="0070C0"/>
              <w:bottom w:val="single" w:sz="4" w:space="0" w:color="auto"/>
              <w:right w:val="single" w:sz="8" w:space="0" w:color="0070C0"/>
            </w:tcBorders>
            <w:shd w:val="clear" w:color="auto" w:fill="auto"/>
            <w:vAlign w:val="center"/>
          </w:tcPr>
          <w:p w14:paraId="6DA14F86" w14:textId="69757F25" w:rsidR="00830C0A" w:rsidRPr="00CC1ECE" w:rsidRDefault="00830C0A"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$145.9 B</w:t>
            </w:r>
          </w:p>
        </w:tc>
        <w:tc>
          <w:tcPr>
            <w:tcW w:w="1152"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074C93B" w14:textId="67D64643"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+26.3%</w:t>
            </w:r>
          </w:p>
        </w:tc>
        <w:tc>
          <w:tcPr>
            <w:tcW w:w="1152" w:type="dxa"/>
            <w:tcBorders>
              <w:top w:val="single" w:sz="18" w:space="0" w:color="C0504D" w:themeColor="accent2"/>
              <w:left w:val="single" w:sz="8" w:space="0" w:color="0070C0"/>
              <w:bottom w:val="single" w:sz="4" w:space="0" w:color="auto"/>
              <w:right w:val="single" w:sz="18" w:space="0" w:color="0070C0"/>
            </w:tcBorders>
            <w:shd w:val="clear" w:color="auto" w:fill="EAF1DD" w:themeFill="accent3" w:themeFillTint="33"/>
            <w:vAlign w:val="center"/>
          </w:tcPr>
          <w:p w14:paraId="7B58B884" w14:textId="5EEDB95E"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w:t>
            </w:r>
          </w:p>
        </w:tc>
        <w:tc>
          <w:tcPr>
            <w:tcW w:w="2261"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15ABA93A" w14:textId="5B042BF9" w:rsidR="00830C0A" w:rsidRPr="00CC1ECE"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Total 2021 sales</w:t>
            </w:r>
          </w:p>
        </w:tc>
        <w:tc>
          <w:tcPr>
            <w:tcW w:w="1152"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7587C08D" w14:textId="55D66B25"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$14.10 B</w:t>
            </w:r>
          </w:p>
        </w:tc>
        <w:tc>
          <w:tcPr>
            <w:tcW w:w="1152"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73F2E10C" w14:textId="6AB5286E"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+7.7%</w:t>
            </w:r>
          </w:p>
        </w:tc>
        <w:tc>
          <w:tcPr>
            <w:tcW w:w="1152"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47B08511" w14:textId="1ED02529"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+10.7%</w:t>
            </w:r>
          </w:p>
        </w:tc>
      </w:tr>
      <w:tr w:rsidR="00830C0A" w:rsidRPr="00CC1ECE" w14:paraId="6E90B726" w14:textId="77777777" w:rsidTr="00833418">
        <w:trPr>
          <w:trHeight w:val="243"/>
          <w:jc w:val="center"/>
        </w:trPr>
        <w:tc>
          <w:tcPr>
            <w:tcW w:w="226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0EF1ED5F" w14:textId="612CBD19" w:rsidR="00830C0A"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October 2021</w:t>
            </w:r>
          </w:p>
        </w:tc>
        <w:tc>
          <w:tcPr>
            <w:tcW w:w="1152" w:type="dxa"/>
            <w:tcBorders>
              <w:top w:val="single" w:sz="4" w:space="0" w:color="auto"/>
              <w:left w:val="single" w:sz="12" w:space="0" w:color="0070C0"/>
              <w:bottom w:val="single" w:sz="4" w:space="0" w:color="000000"/>
              <w:right w:val="single" w:sz="8" w:space="0" w:color="0070C0"/>
            </w:tcBorders>
            <w:shd w:val="clear" w:color="auto" w:fill="auto"/>
            <w:vAlign w:val="center"/>
          </w:tcPr>
          <w:p w14:paraId="722C0922" w14:textId="099B8308" w:rsidR="00830C0A" w:rsidRDefault="00A52999" w:rsidP="00A52999">
            <w:pPr>
              <w:widowControl w:val="0"/>
              <w:tabs>
                <w:tab w:val="left" w:pos="220"/>
                <w:tab w:val="left" w:pos="720"/>
              </w:tabs>
              <w:autoSpaceDE w:val="0"/>
              <w:autoSpaceDN w:val="0"/>
              <w:adjustRightInd w:val="0"/>
              <w:spacing w:after="0" w:line="240" w:lineRule="auto"/>
              <w:ind w:left="-53"/>
              <w:contextualSpacing/>
              <w:jc w:val="right"/>
              <w:rPr>
                <w:rFonts w:ascii="Verdana" w:eastAsia="Times New Roman" w:hAnsi="Verdana"/>
                <w:sz w:val="20"/>
                <w:szCs w:val="20"/>
              </w:rPr>
            </w:pPr>
            <w:r>
              <w:rPr>
                <w:rFonts w:ascii="Verdana" w:eastAsia="Times New Roman" w:hAnsi="Verdana"/>
                <w:sz w:val="20"/>
                <w:szCs w:val="20"/>
              </w:rPr>
              <w:t>$12.44 B</w:t>
            </w:r>
          </w:p>
        </w:tc>
        <w:tc>
          <w:tcPr>
            <w:tcW w:w="115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E676353" w14:textId="75660C1F"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+11.9%</w:t>
            </w:r>
          </w:p>
        </w:tc>
        <w:tc>
          <w:tcPr>
            <w:tcW w:w="1152"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7F5A384C" w14:textId="3DE1B7E6"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+21.1%</w:t>
            </w:r>
          </w:p>
        </w:tc>
        <w:tc>
          <w:tcPr>
            <w:tcW w:w="226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432EB0F2" w14:textId="4A17D1B0" w:rsidR="00830C0A"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October 2021</w:t>
            </w:r>
          </w:p>
        </w:tc>
        <w:tc>
          <w:tcPr>
            <w:tcW w:w="1152"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71471F22" w14:textId="58BF5BBA"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$1.22 B</w:t>
            </w:r>
          </w:p>
        </w:tc>
        <w:tc>
          <w:tcPr>
            <w:tcW w:w="1152"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508258C8" w14:textId="6A966E98"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+12.4%</w:t>
            </w:r>
          </w:p>
        </w:tc>
        <w:tc>
          <w:tcPr>
            <w:tcW w:w="1152"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3394CD32" w14:textId="1647AB44"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+52.5%</w:t>
            </w:r>
          </w:p>
        </w:tc>
      </w:tr>
      <w:tr w:rsidR="00830C0A" w:rsidRPr="00CC1ECE" w14:paraId="0CCD3E01" w14:textId="77777777" w:rsidTr="00833418">
        <w:trPr>
          <w:trHeight w:val="243"/>
          <w:jc w:val="center"/>
        </w:trPr>
        <w:tc>
          <w:tcPr>
            <w:tcW w:w="226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40CF31A7" w14:textId="624B404F" w:rsidR="00830C0A"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November 2021</w:t>
            </w:r>
          </w:p>
        </w:tc>
        <w:tc>
          <w:tcPr>
            <w:tcW w:w="1152" w:type="dxa"/>
            <w:tcBorders>
              <w:top w:val="single" w:sz="4" w:space="0" w:color="auto"/>
              <w:left w:val="single" w:sz="12" w:space="0" w:color="0070C0"/>
              <w:bottom w:val="single" w:sz="4" w:space="0" w:color="000000"/>
              <w:right w:val="single" w:sz="8" w:space="0" w:color="0070C0"/>
            </w:tcBorders>
            <w:shd w:val="clear" w:color="auto" w:fill="auto"/>
            <w:vAlign w:val="center"/>
          </w:tcPr>
          <w:p w14:paraId="67B0AF74" w14:textId="7258FE88"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$13.34 B</w:t>
            </w:r>
          </w:p>
        </w:tc>
        <w:tc>
          <w:tcPr>
            <w:tcW w:w="1152"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047E28A" w14:textId="557EFC49"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+19.2%</w:t>
            </w:r>
          </w:p>
        </w:tc>
        <w:tc>
          <w:tcPr>
            <w:tcW w:w="1152"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0CA831A" w14:textId="61FD3DA8"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+20.8%</w:t>
            </w:r>
          </w:p>
        </w:tc>
        <w:tc>
          <w:tcPr>
            <w:tcW w:w="226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4145469" w14:textId="0ED42BCD" w:rsidR="00830C0A"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November 2021</w:t>
            </w:r>
          </w:p>
        </w:tc>
        <w:tc>
          <w:tcPr>
            <w:tcW w:w="1152"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2AF731D0" w14:textId="2D31AAC4"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$1.11 B</w:t>
            </w:r>
          </w:p>
        </w:tc>
        <w:tc>
          <w:tcPr>
            <w:tcW w:w="1152"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683EC117" w14:textId="1797245A"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+9.7%</w:t>
            </w:r>
          </w:p>
        </w:tc>
        <w:tc>
          <w:tcPr>
            <w:tcW w:w="1152"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4A8288F7" w14:textId="58D4BE83" w:rsidR="00830C0A"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+18.1%</w:t>
            </w:r>
          </w:p>
        </w:tc>
      </w:tr>
      <w:tr w:rsidR="00833418" w:rsidRPr="00CC1ECE" w14:paraId="59FBD4B8" w14:textId="77777777" w:rsidTr="00833418">
        <w:trPr>
          <w:trHeight w:val="54"/>
          <w:jc w:val="center"/>
        </w:trPr>
        <w:tc>
          <w:tcPr>
            <w:tcW w:w="2265"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2B4C4C2D" w14:textId="2982C053" w:rsidR="00830C0A" w:rsidRPr="00CC1ECE"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December 2021</w:t>
            </w:r>
          </w:p>
        </w:tc>
        <w:tc>
          <w:tcPr>
            <w:tcW w:w="1152"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29132248" w14:textId="53DBD764"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$13.26 B</w:t>
            </w:r>
          </w:p>
        </w:tc>
        <w:tc>
          <w:tcPr>
            <w:tcW w:w="1152"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5E16E604" w14:textId="5BFD943E"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w:t>
            </w:r>
          </w:p>
        </w:tc>
        <w:tc>
          <w:tcPr>
            <w:tcW w:w="1152"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2F831AB2" w14:textId="3D63CDAA"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+18.5%</w:t>
            </w:r>
          </w:p>
        </w:tc>
        <w:tc>
          <w:tcPr>
            <w:tcW w:w="2261"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53A3E013" w14:textId="7CA1094C" w:rsidR="00830C0A" w:rsidRPr="00CC1ECE" w:rsidRDefault="00830C0A" w:rsidP="00830C0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December 2021</w:t>
            </w:r>
          </w:p>
        </w:tc>
        <w:tc>
          <w:tcPr>
            <w:tcW w:w="1152"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50D828B2" w14:textId="05B7BE70"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$1.01 B</w:t>
            </w:r>
          </w:p>
        </w:tc>
        <w:tc>
          <w:tcPr>
            <w:tcW w:w="1152"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tcPr>
          <w:p w14:paraId="0F9E0ECE" w14:textId="700274B4" w:rsidR="00830C0A" w:rsidRPr="00CC1ECE" w:rsidRDefault="00A52999"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+7.3%</w:t>
            </w:r>
          </w:p>
        </w:tc>
        <w:tc>
          <w:tcPr>
            <w:tcW w:w="1152"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3DAABC05" w14:textId="3C86D40E" w:rsidR="00830C0A" w:rsidRPr="00CC1ECE" w:rsidRDefault="00D26C44" w:rsidP="00830C0A">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+22.3%</w:t>
            </w:r>
          </w:p>
        </w:tc>
      </w:tr>
    </w:tbl>
    <w:p w14:paraId="2D1C8CEF" w14:textId="6CC9744F" w:rsidR="00830C0A" w:rsidRDefault="00D26C44" w:rsidP="00830C0A">
      <w:pPr>
        <w:spacing w:after="0" w:line="240" w:lineRule="auto"/>
        <w:ind w:hanging="900"/>
        <w:contextualSpacing/>
        <w:mirrorIndents/>
        <w:rPr>
          <w:rFonts w:ascii="Verdana" w:hAnsi="Verdana"/>
          <w:sz w:val="20"/>
          <w:szCs w:val="20"/>
        </w:rPr>
      </w:pPr>
      <w:r>
        <w:rPr>
          <w:rFonts w:ascii="Verdana" w:hAnsi="Verdana"/>
          <w:sz w:val="16"/>
          <w:szCs w:val="16"/>
        </w:rPr>
        <w:t>US Census Bureau, March 2022</w:t>
      </w:r>
    </w:p>
    <w:p w14:paraId="652A88E3" w14:textId="77777777" w:rsidR="00227C11" w:rsidRDefault="00227C11" w:rsidP="00227C11">
      <w:pPr>
        <w:spacing w:after="0" w:line="240" w:lineRule="auto"/>
        <w:contextualSpacing/>
        <w:mirrorIndents/>
        <w:rPr>
          <w:rFonts w:ascii="Verdana" w:hAnsi="Verdana"/>
          <w:sz w:val="20"/>
          <w:szCs w:val="20"/>
        </w:rPr>
      </w:pPr>
    </w:p>
    <w:p w14:paraId="0EE0B84F" w14:textId="7FC5DFE0" w:rsidR="00227C11" w:rsidRPr="00676183" w:rsidRDefault="00227C11" w:rsidP="00676183">
      <w:pPr>
        <w:spacing w:after="0" w:line="240" w:lineRule="auto"/>
        <w:contextualSpacing/>
        <w:mirrorIndents/>
        <w:jc w:val="center"/>
        <w:rPr>
          <w:rFonts w:ascii="Verdana" w:hAnsi="Verdana"/>
          <w:b/>
          <w:bCs/>
          <w:color w:val="0070C0"/>
          <w:sz w:val="20"/>
          <w:szCs w:val="20"/>
        </w:rPr>
      </w:pPr>
      <w:r w:rsidRPr="00676183">
        <w:rPr>
          <w:rFonts w:ascii="Verdana" w:hAnsi="Verdana"/>
          <w:b/>
          <w:bCs/>
          <w:color w:val="0070C0"/>
          <w:sz w:val="20"/>
          <w:szCs w:val="20"/>
        </w:rPr>
        <w:t>The Impact of the Housing Market</w:t>
      </w:r>
    </w:p>
    <w:p w14:paraId="5E0B6C24" w14:textId="486CEBCF" w:rsidR="00227C11" w:rsidRDefault="00227C11" w:rsidP="00227C11">
      <w:pPr>
        <w:spacing w:after="0" w:line="240" w:lineRule="auto"/>
        <w:contextualSpacing/>
        <w:mirrorIndents/>
        <w:rPr>
          <w:rFonts w:ascii="Verdana" w:hAnsi="Verdana"/>
          <w:sz w:val="20"/>
          <w:szCs w:val="20"/>
        </w:rPr>
      </w:pPr>
    </w:p>
    <w:p w14:paraId="18B45BF7" w14:textId="3D9F703C" w:rsidR="00676183" w:rsidRDefault="00676183" w:rsidP="00676183">
      <w:pPr>
        <w:spacing w:after="0" w:line="240" w:lineRule="auto"/>
        <w:contextualSpacing/>
        <w:mirrorIndents/>
        <w:rPr>
          <w:rFonts w:ascii="Verdana" w:hAnsi="Verdana"/>
          <w:sz w:val="20"/>
          <w:szCs w:val="20"/>
        </w:rPr>
      </w:pPr>
      <w:r>
        <w:rPr>
          <w:rFonts w:ascii="Verdana" w:hAnsi="Verdana"/>
          <w:sz w:val="20"/>
          <w:szCs w:val="20"/>
        </w:rPr>
        <w:t>January 2022 existing home sales decreased 16.5% YOY, but sales increased 6.7% from December 2021. Most of the available homes are priced at more than $500K, which are the homebuyers more likely to spend for home living products and services.</w:t>
      </w:r>
    </w:p>
    <w:p w14:paraId="159F3B58" w14:textId="77777777" w:rsidR="00676183" w:rsidRPr="00227C11" w:rsidRDefault="00676183" w:rsidP="00227C11">
      <w:pPr>
        <w:spacing w:after="0" w:line="240" w:lineRule="auto"/>
        <w:contextualSpacing/>
        <w:mirrorIndents/>
        <w:rPr>
          <w:rFonts w:ascii="Verdana" w:hAnsi="Verdana"/>
          <w:sz w:val="20"/>
          <w:szCs w:val="20"/>
        </w:rPr>
      </w:pPr>
    </w:p>
    <w:p w14:paraId="577B8E48" w14:textId="77777777" w:rsidR="00676183" w:rsidRPr="000834FC" w:rsidRDefault="00676183" w:rsidP="00676183">
      <w:pPr>
        <w:spacing w:after="0" w:line="240" w:lineRule="auto"/>
        <w:contextualSpacing/>
        <w:mirrorIndents/>
        <w:rPr>
          <w:rFonts w:ascii="Verdana" w:hAnsi="Verdana"/>
          <w:sz w:val="20"/>
          <w:szCs w:val="20"/>
        </w:rPr>
      </w:pPr>
      <w:r>
        <w:rPr>
          <w:rFonts w:ascii="Verdana" w:hAnsi="Verdana"/>
          <w:sz w:val="20"/>
          <w:szCs w:val="20"/>
        </w:rPr>
        <w:t>January 2022 single-family housing starts increased 0.8% YOY; however, housing completions decreased 6.2% YOY and new, single-family home sales decreased 19.3% YOY.</w:t>
      </w:r>
    </w:p>
    <w:p w14:paraId="53B17F76" w14:textId="364FC18A" w:rsidR="00676183" w:rsidRDefault="00676183" w:rsidP="00227C11">
      <w:pPr>
        <w:spacing w:after="0" w:line="240" w:lineRule="auto"/>
        <w:contextualSpacing/>
        <w:mirrorIndents/>
        <w:rPr>
          <w:rFonts w:ascii="Verdana" w:hAnsi="Verdana"/>
          <w:sz w:val="20"/>
          <w:szCs w:val="20"/>
        </w:rPr>
      </w:pPr>
    </w:p>
    <w:p w14:paraId="2CC08DAC" w14:textId="65D2BFBB" w:rsidR="001E62B0" w:rsidRDefault="001E62B0" w:rsidP="00227C11">
      <w:pPr>
        <w:spacing w:after="0" w:line="240" w:lineRule="auto"/>
        <w:contextualSpacing/>
        <w:mirrorIndents/>
        <w:rPr>
          <w:rFonts w:ascii="Verdana" w:hAnsi="Verdana"/>
          <w:sz w:val="20"/>
          <w:szCs w:val="20"/>
        </w:rPr>
      </w:pPr>
      <w:r>
        <w:rPr>
          <w:rFonts w:ascii="Verdana" w:hAnsi="Verdana"/>
          <w:sz w:val="20"/>
          <w:szCs w:val="20"/>
        </w:rPr>
        <w:t>According to data from Redfin, the housing market remains hot and chaotic as 60% of all homes that were under contract during the four</w:t>
      </w:r>
      <w:r w:rsidR="00FC3B80">
        <w:rPr>
          <w:rFonts w:ascii="Verdana" w:hAnsi="Verdana"/>
          <w:sz w:val="20"/>
          <w:szCs w:val="20"/>
        </w:rPr>
        <w:t xml:space="preserve"> </w:t>
      </w:r>
      <w:r>
        <w:rPr>
          <w:rFonts w:ascii="Verdana" w:hAnsi="Verdana"/>
          <w:sz w:val="20"/>
          <w:szCs w:val="20"/>
        </w:rPr>
        <w:t>week</w:t>
      </w:r>
      <w:r w:rsidR="00FC3B80">
        <w:rPr>
          <w:rFonts w:ascii="Verdana" w:hAnsi="Verdana"/>
          <w:sz w:val="20"/>
          <w:szCs w:val="20"/>
        </w:rPr>
        <w:t>s</w:t>
      </w:r>
      <w:r>
        <w:rPr>
          <w:rFonts w:ascii="Verdana" w:hAnsi="Verdana"/>
          <w:sz w:val="20"/>
          <w:szCs w:val="20"/>
        </w:rPr>
        <w:t xml:space="preserve"> ending 3/6/22 were sold within two weeks, a record.</w:t>
      </w:r>
    </w:p>
    <w:p w14:paraId="0BD6D720" w14:textId="4C07AB7C" w:rsidR="001E62B0" w:rsidRDefault="001E62B0" w:rsidP="00227C11">
      <w:pPr>
        <w:spacing w:after="0" w:line="240" w:lineRule="auto"/>
        <w:contextualSpacing/>
        <w:mirrorIndents/>
        <w:rPr>
          <w:rFonts w:ascii="Verdana" w:hAnsi="Verdana"/>
          <w:sz w:val="20"/>
          <w:szCs w:val="20"/>
        </w:rPr>
      </w:pPr>
    </w:p>
    <w:p w14:paraId="36EB25E2" w14:textId="706F8433" w:rsidR="001F28F8" w:rsidRPr="000668B3" w:rsidRDefault="001F28F8" w:rsidP="001F28F8">
      <w:pPr>
        <w:pStyle w:val="Header"/>
        <w:jc w:val="center"/>
        <w:rPr>
          <w:b/>
          <w:sz w:val="20"/>
          <w:szCs w:val="20"/>
        </w:rPr>
      </w:pPr>
      <w:r>
        <w:rPr>
          <w:b/>
          <w:sz w:val="20"/>
          <w:szCs w:val="20"/>
        </w:rPr>
        <w:t>Current Housing Trends*</w:t>
      </w:r>
      <w:r w:rsidRPr="00FA1897">
        <w:rPr>
          <w:b/>
          <w:sz w:val="20"/>
          <w:szCs w:val="20"/>
        </w:rPr>
        <w:t xml:space="preserve">, </w:t>
      </w:r>
      <w:r>
        <w:rPr>
          <w:b/>
          <w:sz w:val="20"/>
          <w:szCs w:val="20"/>
        </w:rPr>
        <w:t>March 2022</w:t>
      </w:r>
    </w:p>
    <w:tbl>
      <w:tblPr>
        <w:tblW w:w="764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315"/>
        <w:gridCol w:w="1328"/>
      </w:tblGrid>
      <w:tr w:rsidR="001F28F8" w:rsidRPr="00FA1897" w14:paraId="34462DC4" w14:textId="77777777" w:rsidTr="004E17F6">
        <w:trPr>
          <w:trHeight w:val="249"/>
          <w:jc w:val="center"/>
        </w:trPr>
        <w:tc>
          <w:tcPr>
            <w:tcW w:w="631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76192DF5" w14:textId="3DD409E3" w:rsidR="001F28F8" w:rsidRPr="00FA1897" w:rsidRDefault="001F28F8" w:rsidP="008728C9">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Trend</w:t>
            </w:r>
          </w:p>
        </w:tc>
        <w:tc>
          <w:tcPr>
            <w:tcW w:w="1328"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400C55D9" w14:textId="2F02C83C" w:rsidR="001F28F8" w:rsidRPr="00FA1897" w:rsidRDefault="001F28F8" w:rsidP="008728C9">
            <w:pPr>
              <w:widowControl w:val="0"/>
              <w:tabs>
                <w:tab w:val="left" w:pos="220"/>
                <w:tab w:val="left" w:pos="720"/>
              </w:tabs>
              <w:autoSpaceDE w:val="0"/>
              <w:autoSpaceDN w:val="0"/>
              <w:adjustRightInd w:val="0"/>
              <w:spacing w:after="0" w:line="240" w:lineRule="auto"/>
              <w:jc w:val="center"/>
              <w:rPr>
                <w:rFonts w:ascii="Verdana" w:eastAsia="Times New Roman" w:hAnsi="Verdana"/>
                <w:sz w:val="20"/>
                <w:szCs w:val="20"/>
              </w:rPr>
            </w:pPr>
            <w:r>
              <w:rPr>
                <w:rFonts w:ascii="Verdana" w:eastAsia="Times New Roman" w:hAnsi="Verdana"/>
                <w:sz w:val="20"/>
                <w:szCs w:val="20"/>
              </w:rPr>
              <w:t>YOY Change</w:t>
            </w:r>
          </w:p>
        </w:tc>
      </w:tr>
      <w:tr w:rsidR="001F28F8" w:rsidRPr="00FA1897" w14:paraId="4CA36CEE" w14:textId="77777777" w:rsidTr="004E17F6">
        <w:tblPrEx>
          <w:tblBorders>
            <w:top w:val="none" w:sz="0" w:space="0" w:color="auto"/>
          </w:tblBorders>
        </w:tblPrEx>
        <w:trPr>
          <w:trHeight w:val="249"/>
          <w:jc w:val="center"/>
        </w:trPr>
        <w:tc>
          <w:tcPr>
            <w:tcW w:w="6315"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3567A12" w14:textId="1217EDC2" w:rsidR="001F28F8" w:rsidRPr="00FA1897" w:rsidRDefault="001F28F8" w:rsidP="008728C9">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Median home sale price</w:t>
            </w:r>
          </w:p>
        </w:tc>
        <w:tc>
          <w:tcPr>
            <w:tcW w:w="1328" w:type="dxa"/>
            <w:tcBorders>
              <w:top w:val="single" w:sz="18" w:space="0" w:color="C0504D" w:themeColor="accent2"/>
              <w:left w:val="single" w:sz="8" w:space="0" w:color="0070C0"/>
              <w:bottom w:val="single" w:sz="4" w:space="0" w:color="000000"/>
              <w:right w:val="single" w:sz="12" w:space="0" w:color="auto"/>
            </w:tcBorders>
            <w:shd w:val="clear" w:color="auto" w:fill="D6E3BC" w:themeFill="accent3" w:themeFillTint="66"/>
            <w:vAlign w:val="center"/>
          </w:tcPr>
          <w:p w14:paraId="33CFF980" w14:textId="74260A6B" w:rsidR="001F28F8" w:rsidRPr="00FA1897" w:rsidRDefault="001F28F8" w:rsidP="008728C9">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+16.0%</w:t>
            </w:r>
          </w:p>
        </w:tc>
      </w:tr>
      <w:tr w:rsidR="001F28F8" w:rsidRPr="00FA1897" w14:paraId="4C0365EA" w14:textId="77777777" w:rsidTr="004E17F6">
        <w:tblPrEx>
          <w:tblBorders>
            <w:top w:val="none" w:sz="0" w:space="0" w:color="auto"/>
          </w:tblBorders>
        </w:tblPrEx>
        <w:trPr>
          <w:trHeight w:val="249"/>
          <w:jc w:val="center"/>
        </w:trPr>
        <w:tc>
          <w:tcPr>
            <w:tcW w:w="631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496C09A" w14:textId="47F9721A" w:rsidR="001F28F8" w:rsidRPr="00FA1897" w:rsidRDefault="001F28F8" w:rsidP="008728C9">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Mortgage rate</w:t>
            </w:r>
          </w:p>
        </w:tc>
        <w:tc>
          <w:tcPr>
            <w:tcW w:w="1328" w:type="dxa"/>
            <w:tcBorders>
              <w:top w:val="single" w:sz="4" w:space="0" w:color="000000"/>
              <w:left w:val="single" w:sz="8" w:space="0" w:color="0070C0"/>
              <w:bottom w:val="single" w:sz="4" w:space="0" w:color="000000"/>
              <w:right w:val="single" w:sz="12" w:space="0" w:color="auto"/>
            </w:tcBorders>
            <w:shd w:val="clear" w:color="auto" w:fill="C2D69B" w:themeFill="accent3" w:themeFillTint="99"/>
            <w:vAlign w:val="center"/>
          </w:tcPr>
          <w:p w14:paraId="1FB709E5" w14:textId="40E92971" w:rsidR="001F28F8" w:rsidRPr="00FA1897" w:rsidRDefault="001F28F8" w:rsidP="008728C9">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+22.0%</w:t>
            </w:r>
          </w:p>
        </w:tc>
      </w:tr>
      <w:tr w:rsidR="001F28F8" w:rsidRPr="00FA1897" w14:paraId="57646A6A" w14:textId="77777777" w:rsidTr="004E17F6">
        <w:tblPrEx>
          <w:tblBorders>
            <w:top w:val="none" w:sz="0" w:space="0" w:color="auto"/>
          </w:tblBorders>
        </w:tblPrEx>
        <w:trPr>
          <w:trHeight w:val="249"/>
          <w:jc w:val="center"/>
        </w:trPr>
        <w:tc>
          <w:tcPr>
            <w:tcW w:w="631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969A60A" w14:textId="037D3E9B" w:rsidR="001F28F8" w:rsidRPr="00FA1897" w:rsidRDefault="001F28F8" w:rsidP="008728C9">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New listings of homes for sale</w:t>
            </w:r>
          </w:p>
        </w:tc>
        <w:tc>
          <w:tcPr>
            <w:tcW w:w="1328" w:type="dxa"/>
            <w:tcBorders>
              <w:top w:val="single" w:sz="4" w:space="0" w:color="000000"/>
              <w:left w:val="single" w:sz="8" w:space="0" w:color="0070C0"/>
              <w:bottom w:val="single" w:sz="4" w:space="0" w:color="000000"/>
              <w:right w:val="single" w:sz="12" w:space="0" w:color="auto"/>
            </w:tcBorders>
            <w:shd w:val="clear" w:color="auto" w:fill="F2DBDB" w:themeFill="accent2" w:themeFillTint="33"/>
            <w:vAlign w:val="center"/>
          </w:tcPr>
          <w:p w14:paraId="7B1E6061" w14:textId="79733AE1" w:rsidR="001F28F8" w:rsidRPr="00FA1897" w:rsidRDefault="001F28F8" w:rsidP="008728C9">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-1.4%</w:t>
            </w:r>
          </w:p>
        </w:tc>
      </w:tr>
      <w:tr w:rsidR="001F28F8" w:rsidRPr="00FA1897" w14:paraId="3485CAC0" w14:textId="77777777" w:rsidTr="004E17F6">
        <w:tblPrEx>
          <w:tblBorders>
            <w:top w:val="none" w:sz="0" w:space="0" w:color="auto"/>
          </w:tblBorders>
        </w:tblPrEx>
        <w:trPr>
          <w:trHeight w:val="249"/>
          <w:jc w:val="center"/>
        </w:trPr>
        <w:tc>
          <w:tcPr>
            <w:tcW w:w="6315"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253440B" w14:textId="5DEE0015" w:rsidR="001F28F8" w:rsidRPr="00FA1897" w:rsidRDefault="001F28F8" w:rsidP="008728C9">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Homes sold at more than list price</w:t>
            </w:r>
          </w:p>
        </w:tc>
        <w:tc>
          <w:tcPr>
            <w:tcW w:w="1328" w:type="dxa"/>
            <w:tcBorders>
              <w:top w:val="single" w:sz="4" w:space="0" w:color="000000"/>
              <w:left w:val="single" w:sz="8" w:space="0" w:color="0070C0"/>
              <w:bottom w:val="single" w:sz="4" w:space="0" w:color="000000"/>
              <w:right w:val="single" w:sz="12" w:space="0" w:color="auto"/>
            </w:tcBorders>
            <w:shd w:val="clear" w:color="auto" w:fill="00B050"/>
            <w:vAlign w:val="center"/>
          </w:tcPr>
          <w:p w14:paraId="5C86A571" w14:textId="3B892978" w:rsidR="001F28F8" w:rsidRPr="00FA1897" w:rsidRDefault="001F28F8" w:rsidP="008728C9">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+36%</w:t>
            </w:r>
          </w:p>
        </w:tc>
      </w:tr>
      <w:tr w:rsidR="001F28F8" w:rsidRPr="00FA1897" w14:paraId="312917DD" w14:textId="77777777" w:rsidTr="004E17F6">
        <w:tblPrEx>
          <w:tblBorders>
            <w:top w:val="none" w:sz="0" w:space="0" w:color="auto"/>
          </w:tblBorders>
        </w:tblPrEx>
        <w:trPr>
          <w:trHeight w:val="249"/>
          <w:jc w:val="center"/>
        </w:trPr>
        <w:tc>
          <w:tcPr>
            <w:tcW w:w="631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BBFF468" w14:textId="0978C1C3" w:rsidR="001F28F8" w:rsidRPr="00FA1897" w:rsidRDefault="001F28F8" w:rsidP="008728C9">
            <w:pPr>
              <w:widowControl w:val="0"/>
              <w:tabs>
                <w:tab w:val="left" w:pos="220"/>
                <w:tab w:val="left" w:pos="720"/>
              </w:tabs>
              <w:autoSpaceDE w:val="0"/>
              <w:autoSpaceDN w:val="0"/>
              <w:adjustRightInd w:val="0"/>
              <w:spacing w:after="0" w:line="240" w:lineRule="auto"/>
              <w:rPr>
                <w:rFonts w:ascii="Verdana" w:eastAsia="Times New Roman" w:hAnsi="Verdana"/>
                <w:sz w:val="20"/>
                <w:szCs w:val="20"/>
              </w:rPr>
            </w:pPr>
            <w:r>
              <w:rPr>
                <w:rFonts w:ascii="Verdana" w:eastAsia="Times New Roman" w:hAnsi="Verdana"/>
                <w:sz w:val="20"/>
                <w:szCs w:val="20"/>
              </w:rPr>
              <w:t xml:space="preserve">Homes with </w:t>
            </w:r>
            <w:r w:rsidR="004E17F6">
              <w:rPr>
                <w:rFonts w:ascii="Verdana" w:eastAsia="Times New Roman" w:hAnsi="Verdana"/>
                <w:sz w:val="20"/>
                <w:szCs w:val="20"/>
              </w:rPr>
              <w:t xml:space="preserve">an </w:t>
            </w:r>
            <w:r>
              <w:rPr>
                <w:rFonts w:ascii="Verdana" w:eastAsia="Times New Roman" w:hAnsi="Verdana"/>
                <w:sz w:val="20"/>
                <w:szCs w:val="20"/>
              </w:rPr>
              <w:t>accepted offer</w:t>
            </w:r>
            <w:r w:rsidR="004E17F6">
              <w:rPr>
                <w:rFonts w:ascii="Verdana" w:eastAsia="Times New Roman" w:hAnsi="Verdana"/>
                <w:sz w:val="20"/>
                <w:szCs w:val="20"/>
              </w:rPr>
              <w:t xml:space="preserve"> after one week on the market</w:t>
            </w:r>
          </w:p>
        </w:tc>
        <w:tc>
          <w:tcPr>
            <w:tcW w:w="1328" w:type="dxa"/>
            <w:tcBorders>
              <w:top w:val="single" w:sz="4" w:space="0" w:color="000000"/>
              <w:left w:val="single" w:sz="8" w:space="0" w:color="0070C0"/>
              <w:bottom w:val="single" w:sz="12" w:space="0" w:color="000000"/>
              <w:right w:val="single" w:sz="12" w:space="0" w:color="auto"/>
            </w:tcBorders>
            <w:shd w:val="clear" w:color="auto" w:fill="00B050"/>
            <w:vAlign w:val="center"/>
          </w:tcPr>
          <w:p w14:paraId="23027AAE" w14:textId="48BAA4DE" w:rsidR="001F28F8" w:rsidRPr="00FA1897" w:rsidRDefault="004E17F6" w:rsidP="008728C9">
            <w:pPr>
              <w:widowControl w:val="0"/>
              <w:tabs>
                <w:tab w:val="left" w:pos="220"/>
                <w:tab w:val="left" w:pos="720"/>
              </w:tabs>
              <w:autoSpaceDE w:val="0"/>
              <w:autoSpaceDN w:val="0"/>
              <w:adjustRightInd w:val="0"/>
              <w:spacing w:after="0" w:line="240" w:lineRule="auto"/>
              <w:jc w:val="right"/>
              <w:rPr>
                <w:rFonts w:ascii="Verdana" w:eastAsia="Times New Roman" w:hAnsi="Verdana"/>
                <w:sz w:val="20"/>
                <w:szCs w:val="20"/>
              </w:rPr>
            </w:pPr>
            <w:r>
              <w:rPr>
                <w:rFonts w:ascii="Verdana" w:eastAsia="Times New Roman" w:hAnsi="Verdana"/>
                <w:sz w:val="20"/>
                <w:szCs w:val="20"/>
              </w:rPr>
              <w:t>+39%</w:t>
            </w:r>
          </w:p>
        </w:tc>
      </w:tr>
    </w:tbl>
    <w:p w14:paraId="10854B09" w14:textId="3B53B795" w:rsidR="001F28F8" w:rsidRPr="00FA1897" w:rsidRDefault="001F28F8" w:rsidP="004E17F6">
      <w:pPr>
        <w:tabs>
          <w:tab w:val="left" w:pos="900"/>
        </w:tabs>
        <w:spacing w:after="0" w:line="240" w:lineRule="auto"/>
        <w:contextualSpacing/>
        <w:mirrorIndents/>
        <w:rPr>
          <w:rFonts w:ascii="Verdana" w:hAnsi="Verdana"/>
          <w:sz w:val="20"/>
          <w:szCs w:val="20"/>
        </w:rPr>
      </w:pPr>
      <w:r>
        <w:rPr>
          <w:rFonts w:ascii="Verdana" w:hAnsi="Verdana"/>
          <w:sz w:val="16"/>
          <w:szCs w:val="16"/>
        </w:rPr>
        <w:tab/>
        <w:t>Redfin</w:t>
      </w:r>
      <w:r w:rsidRPr="00FA1897">
        <w:rPr>
          <w:rFonts w:ascii="Verdana" w:hAnsi="Verdana"/>
          <w:sz w:val="16"/>
          <w:szCs w:val="16"/>
        </w:rPr>
        <w:t xml:space="preserve">, </w:t>
      </w:r>
      <w:r>
        <w:rPr>
          <w:rFonts w:ascii="Verdana" w:hAnsi="Verdana"/>
          <w:sz w:val="16"/>
          <w:szCs w:val="16"/>
        </w:rPr>
        <w:t xml:space="preserve">March 2022 </w:t>
      </w:r>
      <w:r>
        <w:rPr>
          <w:rFonts w:ascii="Verdana" w:hAnsi="Verdana"/>
          <w:sz w:val="16"/>
          <w:szCs w:val="16"/>
        </w:rPr>
        <w:tab/>
      </w:r>
      <w:r w:rsidR="004E17F6">
        <w:rPr>
          <w:rFonts w:ascii="Verdana" w:hAnsi="Verdana"/>
          <w:sz w:val="16"/>
          <w:szCs w:val="16"/>
        </w:rPr>
        <w:tab/>
      </w:r>
      <w:r>
        <w:rPr>
          <w:rFonts w:ascii="Verdana" w:hAnsi="Verdana"/>
          <w:sz w:val="16"/>
          <w:szCs w:val="16"/>
        </w:rPr>
        <w:t>*for four weeks ending 3/6/22</w:t>
      </w:r>
    </w:p>
    <w:p w14:paraId="774078D1" w14:textId="0BD93B1A" w:rsidR="00227C11" w:rsidRPr="00020A36" w:rsidRDefault="00227C11" w:rsidP="00020A36">
      <w:pPr>
        <w:spacing w:after="0" w:line="240" w:lineRule="auto"/>
        <w:contextualSpacing/>
        <w:mirrorIndents/>
        <w:jc w:val="center"/>
        <w:rPr>
          <w:rFonts w:ascii="Verdana" w:hAnsi="Verdana"/>
          <w:b/>
          <w:bCs/>
          <w:color w:val="0070C0"/>
          <w:sz w:val="20"/>
          <w:szCs w:val="20"/>
        </w:rPr>
      </w:pPr>
      <w:r w:rsidRPr="00020A36">
        <w:rPr>
          <w:rFonts w:ascii="Verdana" w:hAnsi="Verdana"/>
          <w:b/>
          <w:bCs/>
          <w:color w:val="0070C0"/>
          <w:sz w:val="20"/>
          <w:szCs w:val="20"/>
        </w:rPr>
        <w:lastRenderedPageBreak/>
        <w:t xml:space="preserve">Outdoor Living Spaces </w:t>
      </w:r>
      <w:r w:rsidR="00B238FB">
        <w:rPr>
          <w:rFonts w:ascii="Verdana" w:hAnsi="Verdana"/>
          <w:b/>
          <w:bCs/>
          <w:color w:val="0070C0"/>
          <w:sz w:val="20"/>
          <w:szCs w:val="20"/>
        </w:rPr>
        <w:t>Are</w:t>
      </w:r>
      <w:r w:rsidRPr="00020A36">
        <w:rPr>
          <w:rFonts w:ascii="Verdana" w:hAnsi="Verdana"/>
          <w:b/>
          <w:bCs/>
          <w:color w:val="0070C0"/>
          <w:sz w:val="20"/>
          <w:szCs w:val="20"/>
        </w:rPr>
        <w:t xml:space="preserve"> a Priority</w:t>
      </w:r>
    </w:p>
    <w:p w14:paraId="7F67DEA9" w14:textId="77777777" w:rsidR="00227C11" w:rsidRPr="00227C11" w:rsidRDefault="00227C11" w:rsidP="00227C11">
      <w:pPr>
        <w:spacing w:after="0" w:line="240" w:lineRule="auto"/>
        <w:contextualSpacing/>
        <w:mirrorIndents/>
        <w:rPr>
          <w:rFonts w:ascii="Verdana" w:hAnsi="Verdana"/>
          <w:sz w:val="20"/>
          <w:szCs w:val="20"/>
        </w:rPr>
      </w:pPr>
    </w:p>
    <w:p w14:paraId="6B9E8E13" w14:textId="0D2880F5" w:rsidR="00020A36" w:rsidRDefault="00020A36" w:rsidP="00227C11">
      <w:pPr>
        <w:spacing w:after="0" w:line="240" w:lineRule="auto"/>
        <w:contextualSpacing/>
        <w:mirrorIndents/>
        <w:rPr>
          <w:rFonts w:ascii="Verdana" w:hAnsi="Verdana"/>
          <w:sz w:val="20"/>
          <w:szCs w:val="20"/>
        </w:rPr>
      </w:pPr>
      <w:r>
        <w:rPr>
          <w:rFonts w:ascii="Verdana" w:hAnsi="Verdana"/>
          <w:sz w:val="20"/>
          <w:szCs w:val="20"/>
        </w:rPr>
        <w:t>According to Trex Company’s Outdoor Living Forecast for 2022, outdoor dens and sunken outdoor living areas will regain their popularity with homeowners</w:t>
      </w:r>
      <w:r w:rsidR="00BF7FC9">
        <w:rPr>
          <w:rFonts w:ascii="Verdana" w:hAnsi="Verdana"/>
          <w:sz w:val="20"/>
          <w:szCs w:val="20"/>
        </w:rPr>
        <w:t>. They’ll opt for upholstered furniture, complete kitchens and all the entertainment features found inside the home.</w:t>
      </w:r>
    </w:p>
    <w:p w14:paraId="65E7F5CB" w14:textId="0ECD4ED5" w:rsidR="00BF7FC9" w:rsidRDefault="00BF7FC9" w:rsidP="00227C11">
      <w:pPr>
        <w:spacing w:after="0" w:line="240" w:lineRule="auto"/>
        <w:contextualSpacing/>
        <w:mirrorIndents/>
        <w:rPr>
          <w:rFonts w:ascii="Verdana" w:hAnsi="Verdana"/>
          <w:sz w:val="20"/>
          <w:szCs w:val="20"/>
        </w:rPr>
      </w:pPr>
    </w:p>
    <w:p w14:paraId="7555EBEF" w14:textId="19EA1D19" w:rsidR="00BF7FC9" w:rsidRDefault="00BF7FC9" w:rsidP="00227C11">
      <w:pPr>
        <w:spacing w:after="0" w:line="240" w:lineRule="auto"/>
        <w:contextualSpacing/>
        <w:mirrorIndents/>
        <w:rPr>
          <w:rFonts w:ascii="Verdana" w:hAnsi="Verdana"/>
          <w:sz w:val="20"/>
          <w:szCs w:val="20"/>
        </w:rPr>
      </w:pPr>
      <w:r>
        <w:rPr>
          <w:rFonts w:ascii="Verdana" w:hAnsi="Verdana"/>
          <w:sz w:val="20"/>
          <w:szCs w:val="20"/>
        </w:rPr>
        <w:t xml:space="preserve">Other major trends include a desire for more backyard privacy, sustainable products and materials that are easily maintained, outdoor kitchens equipped with pizza ovens and smokers and the integration of indoor and outdoor spaces. </w:t>
      </w:r>
    </w:p>
    <w:p w14:paraId="456B0273" w14:textId="3549E2B9" w:rsidR="00BF7FC9" w:rsidRDefault="00BF7FC9" w:rsidP="00227C11">
      <w:pPr>
        <w:spacing w:after="0" w:line="240" w:lineRule="auto"/>
        <w:contextualSpacing/>
        <w:mirrorIndents/>
        <w:rPr>
          <w:rFonts w:ascii="Verdana" w:hAnsi="Verdana"/>
          <w:sz w:val="20"/>
          <w:szCs w:val="20"/>
        </w:rPr>
      </w:pPr>
    </w:p>
    <w:p w14:paraId="6E8BB117" w14:textId="01249F80" w:rsidR="00BF7FC9" w:rsidRDefault="00544970" w:rsidP="00227C11">
      <w:pPr>
        <w:spacing w:after="0" w:line="240" w:lineRule="auto"/>
        <w:contextualSpacing/>
        <w:mirrorIndents/>
        <w:rPr>
          <w:rFonts w:ascii="Verdana" w:hAnsi="Verdana"/>
          <w:sz w:val="20"/>
          <w:szCs w:val="20"/>
        </w:rPr>
      </w:pPr>
      <w:r>
        <w:rPr>
          <w:rFonts w:ascii="Verdana" w:hAnsi="Verdana"/>
          <w:sz w:val="20"/>
          <w:szCs w:val="20"/>
        </w:rPr>
        <w:t>Outdoor grilling was so popular during 2021 that the season extended into the colder months. According to The NPD Group, grill sales increased 14% YOY during 2021 and more than 21 million grills and smokers had been purchased since July 2020.</w:t>
      </w:r>
    </w:p>
    <w:p w14:paraId="19807BB8" w14:textId="77777777" w:rsidR="00020A36" w:rsidRDefault="00020A36" w:rsidP="00227C11">
      <w:pPr>
        <w:spacing w:after="0" w:line="240" w:lineRule="auto"/>
        <w:contextualSpacing/>
        <w:mirrorIndents/>
        <w:rPr>
          <w:rFonts w:ascii="Verdana" w:hAnsi="Verdana"/>
          <w:sz w:val="20"/>
          <w:szCs w:val="20"/>
        </w:rPr>
      </w:pPr>
    </w:p>
    <w:p w14:paraId="41EC68AC" w14:textId="77777777" w:rsidR="00740742" w:rsidRDefault="00740742" w:rsidP="00740742">
      <w:pPr>
        <w:spacing w:after="0" w:line="240" w:lineRule="auto"/>
        <w:contextualSpacing/>
        <w:mirrorIndents/>
        <w:jc w:val="center"/>
        <w:rPr>
          <w:b/>
          <w:bCs/>
          <w:sz w:val="20"/>
          <w:szCs w:val="20"/>
        </w:rPr>
      </w:pPr>
      <w:r>
        <w:rPr>
          <w:b/>
          <w:bCs/>
          <w:sz w:val="20"/>
          <w:szCs w:val="20"/>
        </w:rPr>
        <w:t xml:space="preserve">Indices of Adults 18+ Who Plan an Exterior Home Improvement Paint </w:t>
      </w:r>
    </w:p>
    <w:p w14:paraId="0F3BE296" w14:textId="0A997B9E" w:rsidR="00740742" w:rsidRPr="005D1511" w:rsidRDefault="00740742" w:rsidP="00740742">
      <w:pPr>
        <w:spacing w:after="0" w:line="240" w:lineRule="auto"/>
        <w:contextualSpacing/>
        <w:mirrorIndents/>
        <w:jc w:val="center"/>
        <w:rPr>
          <w:b/>
          <w:bCs/>
          <w:sz w:val="20"/>
          <w:szCs w:val="20"/>
        </w:rPr>
      </w:pPr>
      <w:r>
        <w:rPr>
          <w:b/>
          <w:bCs/>
          <w:sz w:val="20"/>
          <w:szCs w:val="20"/>
        </w:rPr>
        <w:t xml:space="preserve">Project* by Their Homes’ </w:t>
      </w:r>
      <w:r w:rsidR="00466091">
        <w:rPr>
          <w:b/>
          <w:bCs/>
          <w:sz w:val="20"/>
          <w:szCs w:val="20"/>
        </w:rPr>
        <w:t xml:space="preserve">Market </w:t>
      </w:r>
      <w:r>
        <w:rPr>
          <w:b/>
          <w:bCs/>
          <w:sz w:val="20"/>
          <w:szCs w:val="20"/>
        </w:rPr>
        <w:t>Value, in Selected Markets</w:t>
      </w:r>
      <w:r w:rsidRPr="005D1511">
        <w:rPr>
          <w:b/>
          <w:bCs/>
          <w:sz w:val="20"/>
          <w:szCs w:val="20"/>
        </w:rPr>
        <w:t>, 202</w:t>
      </w:r>
      <w:r>
        <w:rPr>
          <w:b/>
          <w:bCs/>
          <w:sz w:val="20"/>
          <w:szCs w:val="20"/>
        </w:rPr>
        <w:t>1</w:t>
      </w:r>
    </w:p>
    <w:tbl>
      <w:tblPr>
        <w:tblW w:w="920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363"/>
        <w:gridCol w:w="1368"/>
        <w:gridCol w:w="1368"/>
        <w:gridCol w:w="1368"/>
        <w:gridCol w:w="1368"/>
        <w:gridCol w:w="1368"/>
      </w:tblGrid>
      <w:tr w:rsidR="00740742" w:rsidRPr="005D1511" w14:paraId="1DFE3888" w14:textId="77777777" w:rsidTr="00466091">
        <w:trPr>
          <w:jc w:val="center"/>
        </w:trPr>
        <w:tc>
          <w:tcPr>
            <w:tcW w:w="236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7704E0A" w14:textId="35C9407C" w:rsidR="00740742" w:rsidRPr="004815C1" w:rsidRDefault="00740742"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Home Value</w:t>
            </w:r>
          </w:p>
        </w:tc>
        <w:tc>
          <w:tcPr>
            <w:tcW w:w="136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A6E9C49" w14:textId="612C720A" w:rsidR="00740742" w:rsidRPr="004815C1" w:rsidRDefault="00740742"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06EA7BE" w14:textId="5B80F738" w:rsidR="00740742" w:rsidRPr="004815C1" w:rsidRDefault="0046609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Detroit</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025C405" w14:textId="36D000D9" w:rsidR="00740742" w:rsidRPr="004815C1" w:rsidRDefault="0046609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3DDBCCC" w14:textId="1EBF205D" w:rsidR="00740742" w:rsidRPr="004815C1" w:rsidRDefault="0046609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San Francisco</w:t>
            </w:r>
          </w:p>
        </w:tc>
        <w:tc>
          <w:tcPr>
            <w:tcW w:w="136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CA0C04D" w14:textId="2959BDE9" w:rsidR="00740742" w:rsidRPr="004815C1" w:rsidRDefault="0046609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3868E7" w:rsidRPr="005D1511" w14:paraId="09BA32A2" w14:textId="77777777" w:rsidTr="003868E7">
        <w:tblPrEx>
          <w:tblBorders>
            <w:top w:val="none" w:sz="0" w:space="0" w:color="auto"/>
          </w:tblBorders>
        </w:tblPrEx>
        <w:trPr>
          <w:jc w:val="center"/>
        </w:trPr>
        <w:tc>
          <w:tcPr>
            <w:tcW w:w="236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3CCB8070" w14:textId="304C3F27"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$100,000–$199,999</w:t>
            </w:r>
          </w:p>
        </w:tc>
        <w:tc>
          <w:tcPr>
            <w:tcW w:w="1368" w:type="dxa"/>
            <w:tcBorders>
              <w:top w:val="single" w:sz="18" w:space="0" w:color="C0504D" w:themeColor="accent2"/>
              <w:left w:val="single" w:sz="18" w:space="0" w:color="0070C0"/>
              <w:bottom w:val="single" w:sz="4" w:space="0" w:color="auto"/>
              <w:right w:val="single" w:sz="8" w:space="0" w:color="0070C0"/>
            </w:tcBorders>
            <w:shd w:val="clear" w:color="auto" w:fill="D99594" w:themeFill="accent2" w:themeFillTint="99"/>
            <w:vAlign w:val="center"/>
          </w:tcPr>
          <w:p w14:paraId="660B2A04" w14:textId="3B4FE27B" w:rsidR="00740742" w:rsidRPr="004815C1" w:rsidRDefault="00740742"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56</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5557D9C8" w14:textId="734E32B4"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89</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264AB0F0" w14:textId="4FA6937B"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179</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1A72B484" w14:textId="13607090"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368" w:type="dxa"/>
            <w:tcBorders>
              <w:top w:val="single" w:sz="18" w:space="0" w:color="C0504D" w:themeColor="accent2"/>
              <w:left w:val="single" w:sz="8" w:space="0" w:color="0070C0"/>
              <w:bottom w:val="single" w:sz="4" w:space="0" w:color="auto"/>
              <w:right w:val="single" w:sz="12" w:space="0" w:color="000000"/>
            </w:tcBorders>
            <w:shd w:val="clear" w:color="auto" w:fill="92D050"/>
            <w:vAlign w:val="center"/>
          </w:tcPr>
          <w:p w14:paraId="3D83F0D0" w14:textId="7D626FF0" w:rsidR="00740742" w:rsidRPr="004815C1" w:rsidRDefault="00466091" w:rsidP="008728C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196</w:t>
            </w:r>
          </w:p>
        </w:tc>
      </w:tr>
      <w:tr w:rsidR="003868E7" w:rsidRPr="005D1511" w14:paraId="75ED59B3" w14:textId="77777777" w:rsidTr="003868E7">
        <w:tblPrEx>
          <w:tblBorders>
            <w:top w:val="none" w:sz="0" w:space="0" w:color="auto"/>
          </w:tblBorders>
        </w:tblPrEx>
        <w:trPr>
          <w:jc w:val="center"/>
        </w:trPr>
        <w:tc>
          <w:tcPr>
            <w:tcW w:w="23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473526E0" w14:textId="1755D11E"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$200,000–$299,999</w:t>
            </w:r>
          </w:p>
        </w:tc>
        <w:tc>
          <w:tcPr>
            <w:tcW w:w="136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D2137CA" w14:textId="79D55FF1" w:rsidR="00740742" w:rsidRPr="004815C1" w:rsidRDefault="00740742"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117</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5E66271C" w14:textId="6F334347"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36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0FF73823" w14:textId="4A8184BB"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A315DD3" w14:textId="241830D3"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2E92996" w14:textId="421D571D" w:rsidR="00740742" w:rsidRPr="00B00624"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155</w:t>
            </w:r>
          </w:p>
        </w:tc>
      </w:tr>
      <w:tr w:rsidR="00740742" w:rsidRPr="005D1511" w14:paraId="3F810C66" w14:textId="77777777" w:rsidTr="003868E7">
        <w:tblPrEx>
          <w:tblBorders>
            <w:top w:val="none" w:sz="0" w:space="0" w:color="auto"/>
          </w:tblBorders>
        </w:tblPrEx>
        <w:trPr>
          <w:jc w:val="center"/>
        </w:trPr>
        <w:tc>
          <w:tcPr>
            <w:tcW w:w="23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FE5E1C9" w14:textId="2DDE22A2"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$300,000–$399,999</w:t>
            </w:r>
          </w:p>
        </w:tc>
        <w:tc>
          <w:tcPr>
            <w:tcW w:w="1368"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6113CFB5" w14:textId="09CDAF40" w:rsidR="00740742" w:rsidRPr="004815C1" w:rsidRDefault="00740742"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123</w:t>
            </w:r>
          </w:p>
        </w:tc>
        <w:tc>
          <w:tcPr>
            <w:tcW w:w="136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50143DFA" w14:textId="4D914DA4"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168</w:t>
            </w:r>
          </w:p>
        </w:tc>
        <w:tc>
          <w:tcPr>
            <w:tcW w:w="136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39A76E3" w14:textId="72AC7C9F"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c>
          <w:tcPr>
            <w:tcW w:w="136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47CFBEDA" w14:textId="797DFE76"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185</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07D9899D" w14:textId="553BDE26" w:rsidR="00740742" w:rsidRPr="00B00624"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740742" w:rsidRPr="005D1511" w14:paraId="08F15779" w14:textId="77777777" w:rsidTr="003868E7">
        <w:tblPrEx>
          <w:tblBorders>
            <w:top w:val="none" w:sz="0" w:space="0" w:color="auto"/>
          </w:tblBorders>
        </w:tblPrEx>
        <w:trPr>
          <w:jc w:val="center"/>
        </w:trPr>
        <w:tc>
          <w:tcPr>
            <w:tcW w:w="23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966BF01" w14:textId="79A3FBBF"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$400,000–$499,999</w:t>
            </w:r>
          </w:p>
        </w:tc>
        <w:tc>
          <w:tcPr>
            <w:tcW w:w="1368" w:type="dxa"/>
            <w:tcBorders>
              <w:top w:val="single" w:sz="4" w:space="0" w:color="auto"/>
              <w:left w:val="single" w:sz="18" w:space="0" w:color="0070C0"/>
              <w:bottom w:val="single" w:sz="4" w:space="0" w:color="000000"/>
              <w:right w:val="single" w:sz="8" w:space="0" w:color="0070C0"/>
            </w:tcBorders>
            <w:shd w:val="clear" w:color="auto" w:fill="92D050"/>
            <w:vAlign w:val="center"/>
          </w:tcPr>
          <w:p w14:paraId="45BA42E8" w14:textId="6352A6BB" w:rsidR="00740742" w:rsidRPr="004815C1" w:rsidRDefault="00740742"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187</w:t>
            </w:r>
          </w:p>
        </w:tc>
        <w:tc>
          <w:tcPr>
            <w:tcW w:w="136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5A5AB4E" w14:textId="752B6349"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245</w:t>
            </w:r>
          </w:p>
        </w:tc>
        <w:tc>
          <w:tcPr>
            <w:tcW w:w="1368" w:type="dxa"/>
            <w:tcBorders>
              <w:top w:val="single" w:sz="4" w:space="0" w:color="auto"/>
              <w:left w:val="single" w:sz="8" w:space="0" w:color="0070C0"/>
              <w:bottom w:val="single" w:sz="4" w:space="0" w:color="000000"/>
              <w:right w:val="single" w:sz="8" w:space="0" w:color="0070C0"/>
            </w:tcBorders>
            <w:shd w:val="clear" w:color="auto" w:fill="F2F2F2" w:themeFill="background1" w:themeFillShade="F2"/>
            <w:vAlign w:val="center"/>
          </w:tcPr>
          <w:p w14:paraId="0FA98DD4" w14:textId="654F3BE8"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c>
          <w:tcPr>
            <w:tcW w:w="136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6B2C438" w14:textId="0866C043"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167</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31EA01D" w14:textId="383729F6" w:rsidR="00740742" w:rsidRPr="00B00624"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r>
      <w:tr w:rsidR="003868E7" w:rsidRPr="005D1511" w14:paraId="7085EE38" w14:textId="77777777" w:rsidTr="003868E7">
        <w:tblPrEx>
          <w:tblBorders>
            <w:top w:val="none" w:sz="0" w:space="0" w:color="auto"/>
          </w:tblBorders>
        </w:tblPrEx>
        <w:trPr>
          <w:jc w:val="center"/>
        </w:trPr>
        <w:tc>
          <w:tcPr>
            <w:tcW w:w="236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D970BC2" w14:textId="4CF90BAD"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$500,000–$999,999</w:t>
            </w:r>
          </w:p>
        </w:tc>
        <w:tc>
          <w:tcPr>
            <w:tcW w:w="136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6AAE254" w14:textId="47413A71" w:rsidR="00740742" w:rsidRPr="004815C1" w:rsidRDefault="00740742" w:rsidP="008728C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4B9639E" w14:textId="55829FDA"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72F7997" w14:textId="484690FF"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36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35883DB" w14:textId="09F54F39"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36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75C70E8B" w14:textId="4D2B4EDC"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r>
      <w:tr w:rsidR="003868E7" w:rsidRPr="005D1511" w14:paraId="61909794" w14:textId="77777777" w:rsidTr="003868E7">
        <w:tblPrEx>
          <w:tblBorders>
            <w:top w:val="none" w:sz="0" w:space="0" w:color="auto"/>
          </w:tblBorders>
        </w:tblPrEx>
        <w:trPr>
          <w:jc w:val="center"/>
        </w:trPr>
        <w:tc>
          <w:tcPr>
            <w:tcW w:w="236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5D10C0C5" w14:textId="0FE4AC7E" w:rsidR="00740742" w:rsidRPr="004815C1" w:rsidRDefault="00740742"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$1,000,000 or more</w:t>
            </w:r>
          </w:p>
        </w:tc>
        <w:tc>
          <w:tcPr>
            <w:tcW w:w="1368" w:type="dxa"/>
            <w:tcBorders>
              <w:top w:val="single" w:sz="4" w:space="0" w:color="000000"/>
              <w:left w:val="single" w:sz="18" w:space="0" w:color="0070C0"/>
              <w:bottom w:val="single" w:sz="12" w:space="0" w:color="auto"/>
              <w:right w:val="single" w:sz="8" w:space="0" w:color="0070C0"/>
            </w:tcBorders>
            <w:shd w:val="clear" w:color="auto" w:fill="C2D69B" w:themeFill="accent3" w:themeFillTint="99"/>
            <w:vAlign w:val="center"/>
          </w:tcPr>
          <w:p w14:paraId="66C02B18" w14:textId="2557C3BF" w:rsidR="00740742" w:rsidRPr="004815C1" w:rsidRDefault="00740742"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169</w:t>
            </w:r>
          </w:p>
        </w:tc>
        <w:tc>
          <w:tcPr>
            <w:tcW w:w="136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75421646" w14:textId="38DAB3ED"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368" w:type="dxa"/>
            <w:tcBorders>
              <w:top w:val="single" w:sz="4" w:space="0" w:color="000000"/>
              <w:left w:val="single" w:sz="8" w:space="0" w:color="0070C0"/>
              <w:bottom w:val="single" w:sz="12" w:space="0" w:color="auto"/>
              <w:right w:val="single" w:sz="8" w:space="0" w:color="0070C0"/>
            </w:tcBorders>
            <w:shd w:val="clear" w:color="auto" w:fill="00B050"/>
            <w:vAlign w:val="center"/>
          </w:tcPr>
          <w:p w14:paraId="035D847A" w14:textId="551B6484" w:rsidR="00740742" w:rsidRPr="00B00624"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221</w:t>
            </w:r>
          </w:p>
        </w:tc>
        <w:tc>
          <w:tcPr>
            <w:tcW w:w="1368"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35AFF857" w14:textId="1B28A5F9"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368" w:type="dxa"/>
            <w:tcBorders>
              <w:top w:val="single" w:sz="4" w:space="0" w:color="000000"/>
              <w:left w:val="single" w:sz="8" w:space="0" w:color="0070C0"/>
              <w:bottom w:val="single" w:sz="12" w:space="0" w:color="auto"/>
              <w:right w:val="single" w:sz="12" w:space="0" w:color="000000"/>
            </w:tcBorders>
            <w:shd w:val="clear" w:color="auto" w:fill="C2D69B" w:themeFill="accent3" w:themeFillTint="99"/>
            <w:vAlign w:val="center"/>
          </w:tcPr>
          <w:p w14:paraId="3AD6E80A" w14:textId="3A1B4FCD" w:rsidR="00740742" w:rsidRPr="004815C1" w:rsidRDefault="00466091"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167</w:t>
            </w:r>
          </w:p>
        </w:tc>
      </w:tr>
    </w:tbl>
    <w:p w14:paraId="031401B4" w14:textId="77777777" w:rsidR="00740742" w:rsidRPr="00F74B23" w:rsidRDefault="00740742" w:rsidP="00466091">
      <w:pPr>
        <w:spacing w:after="0" w:line="240" w:lineRule="auto"/>
        <w:ind w:firstLine="90"/>
        <w:contextualSpacing/>
        <w:mirrorIndents/>
        <w:rPr>
          <w:rFonts w:ascii="Verdana" w:hAnsi="Verdana"/>
          <w:sz w:val="16"/>
          <w:szCs w:val="16"/>
        </w:rPr>
      </w:pPr>
      <w:r w:rsidRPr="00573142">
        <w:rPr>
          <w:sz w:val="16"/>
          <w:szCs w:val="16"/>
        </w:rPr>
        <w:t xml:space="preserve">Based on The Media Audit’s 2021 surveys  </w:t>
      </w:r>
      <w:r w:rsidRPr="00573142">
        <w:rPr>
          <w:sz w:val="16"/>
          <w:szCs w:val="16"/>
        </w:rPr>
        <w:tab/>
      </w:r>
      <w:r>
        <w:rPr>
          <w:sz w:val="16"/>
          <w:szCs w:val="16"/>
        </w:rPr>
        <w:tab/>
      </w:r>
      <w:r>
        <w:rPr>
          <w:sz w:val="16"/>
          <w:szCs w:val="16"/>
        </w:rPr>
        <w:tab/>
      </w:r>
      <w:r w:rsidRPr="00573142">
        <w:rPr>
          <w:sz w:val="16"/>
          <w:szCs w:val="16"/>
        </w:rPr>
        <w:t>*</w:t>
      </w:r>
      <w:r>
        <w:rPr>
          <w:rFonts w:ascii="Verdana" w:eastAsia="Times New Roman" w:hAnsi="Verdana"/>
          <w:sz w:val="16"/>
          <w:szCs w:val="16"/>
        </w:rPr>
        <w:t>during the next 12 months</w:t>
      </w:r>
    </w:p>
    <w:p w14:paraId="1CB66F75" w14:textId="77777777" w:rsidR="00020A36" w:rsidRDefault="00020A36" w:rsidP="00227C11">
      <w:pPr>
        <w:spacing w:after="0" w:line="240" w:lineRule="auto"/>
        <w:contextualSpacing/>
        <w:mirrorIndents/>
        <w:rPr>
          <w:rFonts w:ascii="Verdana" w:hAnsi="Verdana"/>
          <w:sz w:val="20"/>
          <w:szCs w:val="20"/>
        </w:rPr>
      </w:pPr>
    </w:p>
    <w:p w14:paraId="4ED5F999" w14:textId="71170F64" w:rsidR="00227C11" w:rsidRPr="00EA77A2" w:rsidRDefault="00227C11" w:rsidP="00EA77A2">
      <w:pPr>
        <w:spacing w:after="0" w:line="240" w:lineRule="auto"/>
        <w:contextualSpacing/>
        <w:mirrorIndents/>
        <w:jc w:val="center"/>
        <w:rPr>
          <w:rFonts w:ascii="Verdana" w:hAnsi="Verdana"/>
          <w:b/>
          <w:bCs/>
          <w:color w:val="0070C0"/>
          <w:sz w:val="20"/>
          <w:szCs w:val="20"/>
        </w:rPr>
      </w:pPr>
      <w:r w:rsidRPr="00EA77A2">
        <w:rPr>
          <w:rFonts w:ascii="Verdana" w:hAnsi="Verdana"/>
          <w:b/>
          <w:bCs/>
          <w:color w:val="0070C0"/>
          <w:sz w:val="20"/>
          <w:szCs w:val="20"/>
        </w:rPr>
        <w:t>Improving Conditions for Architects and Interior Designers</w:t>
      </w:r>
    </w:p>
    <w:p w14:paraId="01D53455" w14:textId="77777777" w:rsidR="00227C11" w:rsidRPr="00227C11" w:rsidRDefault="00227C11" w:rsidP="00227C11">
      <w:pPr>
        <w:spacing w:after="0" w:line="240" w:lineRule="auto"/>
        <w:contextualSpacing/>
        <w:mirrorIndents/>
        <w:rPr>
          <w:rFonts w:ascii="Verdana" w:hAnsi="Verdana"/>
          <w:sz w:val="20"/>
          <w:szCs w:val="20"/>
        </w:rPr>
      </w:pPr>
    </w:p>
    <w:p w14:paraId="7E0EB853" w14:textId="5509DCB2" w:rsidR="00EA77A2" w:rsidRDefault="00063BFA" w:rsidP="00227C11">
      <w:pPr>
        <w:spacing w:after="0" w:line="240" w:lineRule="auto"/>
        <w:contextualSpacing/>
        <w:mirrorIndents/>
        <w:rPr>
          <w:sz w:val="20"/>
          <w:szCs w:val="20"/>
        </w:rPr>
      </w:pPr>
      <w:r>
        <w:rPr>
          <w:rFonts w:ascii="Verdana" w:hAnsi="Verdana"/>
          <w:sz w:val="20"/>
          <w:szCs w:val="20"/>
        </w:rPr>
        <w:t xml:space="preserve">According to the </w:t>
      </w:r>
      <w:r>
        <w:rPr>
          <w:sz w:val="20"/>
          <w:szCs w:val="20"/>
        </w:rPr>
        <w:t>2021 US Houzz Bathroom Trends Study and the 2022 US Houzz Kitchen Trends Study, 11% of consumers hired an interior designer/decorator for a bathroom renovation and 13% for a kitchen renovation, a 2% YOY increase in both categories.</w:t>
      </w:r>
    </w:p>
    <w:p w14:paraId="766473ED" w14:textId="06C04516" w:rsidR="00063BFA" w:rsidRDefault="00063BFA" w:rsidP="00227C11">
      <w:pPr>
        <w:spacing w:after="0" w:line="240" w:lineRule="auto"/>
        <w:contextualSpacing/>
        <w:mirrorIndents/>
        <w:rPr>
          <w:sz w:val="20"/>
          <w:szCs w:val="20"/>
        </w:rPr>
      </w:pPr>
    </w:p>
    <w:p w14:paraId="19270562" w14:textId="2E37B2BA" w:rsidR="00063BFA" w:rsidRDefault="00063BFA" w:rsidP="00227C11">
      <w:pPr>
        <w:spacing w:after="0" w:line="240" w:lineRule="auto"/>
        <w:contextualSpacing/>
        <w:mirrorIndents/>
        <w:rPr>
          <w:sz w:val="20"/>
          <w:szCs w:val="20"/>
        </w:rPr>
      </w:pPr>
      <w:r>
        <w:rPr>
          <w:sz w:val="20"/>
          <w:szCs w:val="20"/>
        </w:rPr>
        <w:t xml:space="preserve">Slightly fewer hired an architect, however, or 7% for a kitchen renovation and 10% for a bathroom renovation, both categories 1% less than 2020. </w:t>
      </w:r>
    </w:p>
    <w:p w14:paraId="29D0649C" w14:textId="3AB082BF" w:rsidR="00063BFA" w:rsidRDefault="00063BFA" w:rsidP="00BE37C6">
      <w:pPr>
        <w:spacing w:after="0" w:line="240" w:lineRule="auto"/>
        <w:contextualSpacing/>
        <w:mirrorIndents/>
        <w:rPr>
          <w:sz w:val="20"/>
          <w:szCs w:val="20"/>
        </w:rPr>
      </w:pPr>
    </w:p>
    <w:p w14:paraId="2094BD91" w14:textId="5233851F" w:rsidR="00063BFA" w:rsidRDefault="00063BFA" w:rsidP="00BE37C6">
      <w:pPr>
        <w:spacing w:after="0" w:line="240" w:lineRule="auto"/>
        <w:contextualSpacing/>
        <w:rPr>
          <w:sz w:val="20"/>
        </w:rPr>
      </w:pPr>
      <w:r>
        <w:rPr>
          <w:sz w:val="20"/>
        </w:rPr>
        <w:t>The American Institute of Architects</w:t>
      </w:r>
      <w:r w:rsidR="00EF59C2">
        <w:rPr>
          <w:sz w:val="20"/>
        </w:rPr>
        <w:t>’ monthly design contracts index was 55.8 in the November and December reports and then increased to 56.1 for January 2022. Any index greater than 50 is considered a positive trend.</w:t>
      </w:r>
    </w:p>
    <w:p w14:paraId="1D86D93F" w14:textId="77777777" w:rsidR="00BE37C6" w:rsidRPr="00EF59C2" w:rsidRDefault="00BE37C6" w:rsidP="00BE37C6">
      <w:pPr>
        <w:spacing w:after="0" w:line="240" w:lineRule="auto"/>
        <w:contextualSpacing/>
      </w:pPr>
    </w:p>
    <w:p w14:paraId="0AB478FF" w14:textId="3A16C798" w:rsidR="00EF59C2" w:rsidRPr="00192F64" w:rsidRDefault="00A55363" w:rsidP="00EF59C2">
      <w:pPr>
        <w:pStyle w:val="Header"/>
        <w:contextualSpacing/>
        <w:jc w:val="center"/>
        <w:rPr>
          <w:rFonts w:ascii="Verdana" w:hAnsi="Verdana"/>
          <w:b/>
          <w:noProof/>
          <w:sz w:val="20"/>
          <w:szCs w:val="20"/>
        </w:rPr>
      </w:pPr>
      <w:r>
        <w:rPr>
          <w:rFonts w:ascii="Verdana" w:hAnsi="Verdana"/>
          <w:b/>
          <w:noProof/>
          <w:sz w:val="20"/>
          <w:szCs w:val="20"/>
        </w:rPr>
        <w:t xml:space="preserve">Most-Recent </w:t>
      </w:r>
      <w:r w:rsidR="00EF59C2">
        <w:rPr>
          <w:rFonts w:ascii="Verdana" w:hAnsi="Verdana"/>
          <w:b/>
          <w:noProof/>
          <w:sz w:val="20"/>
          <w:szCs w:val="20"/>
        </w:rPr>
        <w:t>Architects’ and Interior Designers’ Billing Ind</w:t>
      </w:r>
      <w:r>
        <w:rPr>
          <w:rFonts w:ascii="Verdana" w:hAnsi="Verdana"/>
          <w:b/>
          <w:noProof/>
          <w:sz w:val="20"/>
          <w:szCs w:val="20"/>
        </w:rPr>
        <w:t>ices, March 2022</w:t>
      </w:r>
    </w:p>
    <w:tbl>
      <w:tblPr>
        <w:tblW w:w="6340"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905"/>
        <w:gridCol w:w="1267"/>
        <w:gridCol w:w="1901"/>
        <w:gridCol w:w="1267"/>
      </w:tblGrid>
      <w:tr w:rsidR="00A55363" w:rsidRPr="00192F64" w14:paraId="5974CA4C" w14:textId="77777777" w:rsidTr="00B238FB">
        <w:trPr>
          <w:jc w:val="center"/>
        </w:trPr>
        <w:tc>
          <w:tcPr>
            <w:tcW w:w="1905" w:type="dxa"/>
            <w:tcBorders>
              <w:top w:val="single" w:sz="12" w:space="0" w:color="000000"/>
              <w:left w:val="single" w:sz="12" w:space="0" w:color="000000"/>
              <w:bottom w:val="single" w:sz="18" w:space="0" w:color="C0504D" w:themeColor="accent2"/>
              <w:right w:val="single" w:sz="8" w:space="0" w:color="0070C0"/>
            </w:tcBorders>
            <w:vAlign w:val="center"/>
          </w:tcPr>
          <w:p w14:paraId="489280C3" w14:textId="3F4835A8" w:rsidR="00A55363" w:rsidRPr="00192F64" w:rsidRDefault="00A55363" w:rsidP="00B238F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Architects</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762A689" w14:textId="77777777" w:rsidR="00A55363" w:rsidRPr="00192F64" w:rsidRDefault="00A55363" w:rsidP="00B238F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Index</w:t>
            </w:r>
          </w:p>
        </w:tc>
        <w:tc>
          <w:tcPr>
            <w:tcW w:w="1901" w:type="dxa"/>
            <w:tcBorders>
              <w:top w:val="single" w:sz="12" w:space="0" w:color="000000"/>
              <w:left w:val="single" w:sz="18" w:space="0" w:color="0070C0"/>
              <w:bottom w:val="single" w:sz="18" w:space="0" w:color="C0504D" w:themeColor="accent2"/>
              <w:right w:val="single" w:sz="8" w:space="0" w:color="0070C0"/>
            </w:tcBorders>
            <w:vAlign w:val="center"/>
          </w:tcPr>
          <w:p w14:paraId="651B0EBB" w14:textId="5CDB4196" w:rsidR="00A55363" w:rsidRDefault="00A55363" w:rsidP="00B238F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Interior Designers</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5A110189" w14:textId="77777777" w:rsidR="00A55363" w:rsidRDefault="00A55363" w:rsidP="00B238FB">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Index</w:t>
            </w:r>
          </w:p>
        </w:tc>
      </w:tr>
      <w:tr w:rsidR="00A55363" w:rsidRPr="00192F64" w14:paraId="45870B72" w14:textId="77777777" w:rsidTr="00BE37C6">
        <w:tblPrEx>
          <w:tblBorders>
            <w:top w:val="none" w:sz="0" w:space="0" w:color="auto"/>
          </w:tblBorders>
        </w:tblPrEx>
        <w:trPr>
          <w:jc w:val="center"/>
        </w:trPr>
        <w:tc>
          <w:tcPr>
            <w:tcW w:w="1905" w:type="dxa"/>
            <w:tcBorders>
              <w:top w:val="single" w:sz="18" w:space="0" w:color="C0504D" w:themeColor="accent2"/>
              <w:left w:val="single" w:sz="12" w:space="0" w:color="000000"/>
              <w:bottom w:val="single" w:sz="4" w:space="0" w:color="000000"/>
              <w:right w:val="single" w:sz="8" w:space="0" w:color="0070C0"/>
            </w:tcBorders>
            <w:vAlign w:val="center"/>
          </w:tcPr>
          <w:p w14:paraId="7081A42B" w14:textId="264DE6D8" w:rsidR="00A55363" w:rsidRPr="00192F64" w:rsidRDefault="00A55363"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November 2021</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E5B8B7" w:themeFill="accent2" w:themeFillTint="66"/>
            <w:vAlign w:val="center"/>
          </w:tcPr>
          <w:p w14:paraId="3883E84D" w14:textId="3E9B9D02" w:rsidR="00A55363" w:rsidRPr="00192F64"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51.0</w:t>
            </w:r>
          </w:p>
        </w:tc>
        <w:tc>
          <w:tcPr>
            <w:tcW w:w="1901"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210A2AB9" w14:textId="06B25191" w:rsidR="00A55363"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October 2021</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F2DBDB" w:themeFill="accent2" w:themeFillTint="33"/>
            <w:vAlign w:val="center"/>
          </w:tcPr>
          <w:p w14:paraId="1E15CDDB" w14:textId="7395B603" w:rsidR="00A55363"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52.7</w:t>
            </w:r>
          </w:p>
        </w:tc>
      </w:tr>
      <w:tr w:rsidR="00A55363" w:rsidRPr="00192F64" w14:paraId="7C692576" w14:textId="77777777" w:rsidTr="00BE37C6">
        <w:tblPrEx>
          <w:tblBorders>
            <w:top w:val="none" w:sz="0" w:space="0" w:color="auto"/>
          </w:tblBorders>
        </w:tblPrEx>
        <w:trPr>
          <w:jc w:val="center"/>
        </w:trPr>
        <w:tc>
          <w:tcPr>
            <w:tcW w:w="1905" w:type="dxa"/>
            <w:tcBorders>
              <w:top w:val="single" w:sz="4" w:space="0" w:color="000000"/>
              <w:left w:val="single" w:sz="12" w:space="0" w:color="000000"/>
              <w:bottom w:val="single" w:sz="4" w:space="0" w:color="000000"/>
              <w:right w:val="single" w:sz="8" w:space="0" w:color="0070C0"/>
            </w:tcBorders>
            <w:vAlign w:val="center"/>
          </w:tcPr>
          <w:p w14:paraId="2E421B3B" w14:textId="6E39D6BD" w:rsidR="00A55363" w:rsidRPr="00192F64" w:rsidRDefault="00A55363"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December 2021</w:t>
            </w:r>
          </w:p>
        </w:tc>
        <w:tc>
          <w:tcPr>
            <w:tcW w:w="1267" w:type="dxa"/>
            <w:tcBorders>
              <w:top w:val="single" w:sz="4" w:space="0" w:color="auto"/>
              <w:left w:val="single" w:sz="8" w:space="0" w:color="0070C0"/>
              <w:bottom w:val="single" w:sz="4" w:space="0" w:color="000000"/>
              <w:right w:val="single" w:sz="18" w:space="0" w:color="0070C0"/>
            </w:tcBorders>
            <w:shd w:val="clear" w:color="auto" w:fill="EAF1DD" w:themeFill="accent3" w:themeFillTint="33"/>
            <w:vAlign w:val="center"/>
          </w:tcPr>
          <w:p w14:paraId="391B6D3E" w14:textId="5E218796" w:rsidR="00A55363" w:rsidRPr="00192F64"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52.0</w:t>
            </w:r>
          </w:p>
        </w:tc>
        <w:tc>
          <w:tcPr>
            <w:tcW w:w="1901" w:type="dxa"/>
            <w:tcBorders>
              <w:top w:val="single" w:sz="4" w:space="0" w:color="auto"/>
              <w:left w:val="single" w:sz="18" w:space="0" w:color="0070C0"/>
              <w:bottom w:val="single" w:sz="4" w:space="0" w:color="000000"/>
              <w:right w:val="single" w:sz="8" w:space="0" w:color="0070C0"/>
            </w:tcBorders>
            <w:shd w:val="clear" w:color="auto" w:fill="auto"/>
            <w:vAlign w:val="center"/>
          </w:tcPr>
          <w:p w14:paraId="2BE7D98B" w14:textId="0837FA39" w:rsidR="00A55363"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November 2021</w:t>
            </w:r>
          </w:p>
        </w:tc>
        <w:tc>
          <w:tcPr>
            <w:tcW w:w="1267" w:type="dxa"/>
            <w:tcBorders>
              <w:top w:val="single" w:sz="4" w:space="0" w:color="auto"/>
              <w:left w:val="single" w:sz="8" w:space="0" w:color="0070C0"/>
              <w:bottom w:val="single" w:sz="4" w:space="0" w:color="000000"/>
              <w:right w:val="single" w:sz="12" w:space="0" w:color="000000"/>
            </w:tcBorders>
            <w:shd w:val="clear" w:color="auto" w:fill="F2DBDB" w:themeFill="accent2" w:themeFillTint="33"/>
          </w:tcPr>
          <w:p w14:paraId="789161FD" w14:textId="2FA8F1EE" w:rsidR="00A55363" w:rsidRDefault="00BE37C6"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52.2</w:t>
            </w:r>
          </w:p>
        </w:tc>
      </w:tr>
      <w:tr w:rsidR="00A55363" w:rsidRPr="00192F64" w14:paraId="05447C8B" w14:textId="77777777" w:rsidTr="00BE37C6">
        <w:tblPrEx>
          <w:tblBorders>
            <w:top w:val="none" w:sz="0" w:space="0" w:color="auto"/>
          </w:tblBorders>
        </w:tblPrEx>
        <w:trPr>
          <w:jc w:val="center"/>
        </w:trPr>
        <w:tc>
          <w:tcPr>
            <w:tcW w:w="1905" w:type="dxa"/>
            <w:tcBorders>
              <w:top w:val="single" w:sz="4" w:space="0" w:color="000000"/>
              <w:left w:val="single" w:sz="12" w:space="0" w:color="000000"/>
              <w:bottom w:val="single" w:sz="12" w:space="0" w:color="000000"/>
              <w:right w:val="single" w:sz="8" w:space="0" w:color="0070C0"/>
            </w:tcBorders>
            <w:vAlign w:val="center"/>
          </w:tcPr>
          <w:p w14:paraId="68CF1820" w14:textId="124B1B45" w:rsidR="00A55363" w:rsidRPr="00192F64" w:rsidRDefault="00A55363"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January 2022</w:t>
            </w:r>
          </w:p>
        </w:tc>
        <w:tc>
          <w:tcPr>
            <w:tcW w:w="1267" w:type="dxa"/>
            <w:tcBorders>
              <w:top w:val="single" w:sz="4" w:space="0" w:color="000000"/>
              <w:left w:val="single" w:sz="8" w:space="0" w:color="0070C0"/>
              <w:bottom w:val="single" w:sz="12" w:space="0" w:color="000000"/>
              <w:right w:val="single" w:sz="18" w:space="0" w:color="0070C0"/>
            </w:tcBorders>
            <w:shd w:val="clear" w:color="auto" w:fill="F2DBDB" w:themeFill="accent2" w:themeFillTint="33"/>
            <w:vAlign w:val="center"/>
          </w:tcPr>
          <w:p w14:paraId="6BDD71FE" w14:textId="6E1BC8C5" w:rsidR="00A55363" w:rsidRPr="00192F64" w:rsidRDefault="00A55363"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51.0</w:t>
            </w:r>
          </w:p>
        </w:tc>
        <w:tc>
          <w:tcPr>
            <w:tcW w:w="1901"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747DE7C" w14:textId="568C191F" w:rsidR="00A55363" w:rsidRPr="00192F64" w:rsidRDefault="00BE37C6"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December 2021</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tcPr>
          <w:p w14:paraId="6B2F00F4" w14:textId="1E5DD706" w:rsidR="00A55363" w:rsidRPr="00192F64" w:rsidRDefault="00BE37C6"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52.8</w:t>
            </w:r>
          </w:p>
        </w:tc>
      </w:tr>
    </w:tbl>
    <w:p w14:paraId="2F6A8330" w14:textId="0DB7033A" w:rsidR="00EF59C2" w:rsidRDefault="00EF59C2" w:rsidP="00BE37C6">
      <w:pPr>
        <w:tabs>
          <w:tab w:val="left" w:pos="1530"/>
        </w:tabs>
        <w:spacing w:after="0" w:line="240" w:lineRule="auto"/>
        <w:contextualSpacing/>
        <w:mirrorIndents/>
        <w:rPr>
          <w:rFonts w:ascii="Verdana" w:hAnsi="Verdana"/>
          <w:noProof/>
          <w:sz w:val="16"/>
          <w:szCs w:val="16"/>
        </w:rPr>
      </w:pPr>
      <w:r>
        <w:rPr>
          <w:rFonts w:ascii="Verdana" w:hAnsi="Verdana"/>
          <w:noProof/>
          <w:sz w:val="16"/>
          <w:szCs w:val="16"/>
        </w:rPr>
        <w:tab/>
      </w:r>
      <w:r w:rsidRPr="00BE37C6">
        <w:rPr>
          <w:rFonts w:ascii="Verdana" w:hAnsi="Verdana"/>
          <w:noProof/>
          <w:sz w:val="16"/>
          <w:szCs w:val="16"/>
        </w:rPr>
        <w:t>The American Insitute of Architects</w:t>
      </w:r>
      <w:r w:rsidR="00BE37C6" w:rsidRPr="00BE37C6">
        <w:rPr>
          <w:rFonts w:ascii="Verdana" w:hAnsi="Verdana"/>
          <w:noProof/>
          <w:sz w:val="16"/>
          <w:szCs w:val="16"/>
        </w:rPr>
        <w:t xml:space="preserve"> </w:t>
      </w:r>
      <w:r w:rsidR="00BE37C6">
        <w:rPr>
          <w:rFonts w:ascii="Verdana" w:hAnsi="Verdana"/>
          <w:noProof/>
          <w:sz w:val="16"/>
          <w:szCs w:val="16"/>
        </w:rPr>
        <w:t xml:space="preserve"> and </w:t>
      </w:r>
      <w:r w:rsidR="00BE37C6" w:rsidRPr="00BE37C6">
        <w:rPr>
          <w:sz w:val="16"/>
          <w:szCs w:val="16"/>
        </w:rPr>
        <w:t>American Society of Interior Designers</w:t>
      </w:r>
      <w:r w:rsidRPr="00BE37C6">
        <w:rPr>
          <w:rFonts w:ascii="Verdana" w:hAnsi="Verdana"/>
          <w:noProof/>
          <w:sz w:val="16"/>
          <w:szCs w:val="16"/>
        </w:rPr>
        <w:t xml:space="preserve">, </w:t>
      </w:r>
      <w:r w:rsidR="00BE37C6">
        <w:rPr>
          <w:rFonts w:ascii="Verdana" w:hAnsi="Verdana"/>
          <w:noProof/>
          <w:sz w:val="16"/>
          <w:szCs w:val="16"/>
        </w:rPr>
        <w:t>March 2022</w:t>
      </w:r>
    </w:p>
    <w:p w14:paraId="41038AFB" w14:textId="65E690E2" w:rsidR="00BE37C6" w:rsidRPr="00BE37C6" w:rsidRDefault="00BE37C6" w:rsidP="00BE37C6">
      <w:pPr>
        <w:tabs>
          <w:tab w:val="left" w:pos="1530"/>
        </w:tabs>
        <w:spacing w:after="0" w:line="240" w:lineRule="auto"/>
        <w:contextualSpacing/>
        <w:mirrorIndents/>
        <w:rPr>
          <w:sz w:val="16"/>
          <w:szCs w:val="16"/>
        </w:rPr>
      </w:pPr>
      <w:r>
        <w:rPr>
          <w:rFonts w:ascii="Verdana" w:hAnsi="Verdana"/>
          <w:noProof/>
          <w:sz w:val="16"/>
          <w:szCs w:val="16"/>
        </w:rPr>
        <w:tab/>
        <w:t>(color represents the change from the previous month)</w:t>
      </w:r>
    </w:p>
    <w:p w14:paraId="5702F7F6" w14:textId="77777777" w:rsidR="00EA77A2" w:rsidRDefault="00EA77A2" w:rsidP="00227C11">
      <w:pPr>
        <w:spacing w:after="0" w:line="240" w:lineRule="auto"/>
        <w:contextualSpacing/>
        <w:mirrorIndents/>
        <w:rPr>
          <w:rFonts w:ascii="Verdana" w:hAnsi="Verdana"/>
          <w:sz w:val="20"/>
          <w:szCs w:val="20"/>
        </w:rPr>
      </w:pPr>
    </w:p>
    <w:p w14:paraId="2C2D5CB0" w14:textId="77777777" w:rsidR="00EA77A2" w:rsidRDefault="00EA77A2" w:rsidP="00227C11">
      <w:pPr>
        <w:spacing w:after="0" w:line="240" w:lineRule="auto"/>
        <w:contextualSpacing/>
        <w:mirrorIndents/>
        <w:rPr>
          <w:rFonts w:ascii="Verdana" w:hAnsi="Verdana"/>
          <w:sz w:val="20"/>
          <w:szCs w:val="20"/>
        </w:rPr>
      </w:pPr>
    </w:p>
    <w:p w14:paraId="6B455ADF" w14:textId="27EF8E28" w:rsidR="00227C11" w:rsidRPr="00776B02" w:rsidRDefault="00227C11" w:rsidP="00776B02">
      <w:pPr>
        <w:spacing w:after="0" w:line="240" w:lineRule="auto"/>
        <w:contextualSpacing/>
        <w:mirrorIndents/>
        <w:jc w:val="center"/>
        <w:rPr>
          <w:rFonts w:ascii="Verdana" w:hAnsi="Verdana"/>
          <w:b/>
          <w:bCs/>
          <w:color w:val="0070C0"/>
          <w:sz w:val="20"/>
          <w:szCs w:val="20"/>
        </w:rPr>
      </w:pPr>
      <w:r w:rsidRPr="00776B02">
        <w:rPr>
          <w:rFonts w:ascii="Verdana" w:hAnsi="Verdana"/>
          <w:b/>
          <w:bCs/>
          <w:color w:val="0070C0"/>
          <w:sz w:val="20"/>
          <w:szCs w:val="20"/>
        </w:rPr>
        <w:lastRenderedPageBreak/>
        <w:t>Consumers’ Home Improvement Plans</w:t>
      </w:r>
    </w:p>
    <w:p w14:paraId="5EBC0D7B" w14:textId="77777777" w:rsidR="00227C11" w:rsidRPr="00227C11" w:rsidRDefault="00227C11" w:rsidP="00227C11">
      <w:pPr>
        <w:spacing w:after="0" w:line="240" w:lineRule="auto"/>
        <w:contextualSpacing/>
        <w:mirrorIndents/>
        <w:rPr>
          <w:rFonts w:ascii="Verdana" w:hAnsi="Verdana"/>
          <w:sz w:val="20"/>
          <w:szCs w:val="20"/>
        </w:rPr>
      </w:pPr>
    </w:p>
    <w:p w14:paraId="3C29E8AA" w14:textId="2CC7443F" w:rsidR="00776B02" w:rsidRDefault="000F712F" w:rsidP="00227C11">
      <w:pPr>
        <w:spacing w:after="0" w:line="240" w:lineRule="auto"/>
        <w:contextualSpacing/>
        <w:mirrorIndents/>
        <w:rPr>
          <w:rFonts w:ascii="Verdana" w:hAnsi="Verdana"/>
          <w:sz w:val="20"/>
          <w:szCs w:val="20"/>
        </w:rPr>
      </w:pPr>
      <w:r>
        <w:rPr>
          <w:rFonts w:ascii="Verdana" w:hAnsi="Verdana"/>
          <w:sz w:val="20"/>
          <w:szCs w:val="20"/>
        </w:rPr>
        <w:t xml:space="preserve">Analyzing data from The Media Audit’s same five consumer/market surveys on page 2 finds the average age of adults 18+ planning any home improvement project during the next 12 months is 48 years of age and their </w:t>
      </w:r>
      <w:r w:rsidR="00D72316">
        <w:rPr>
          <w:rFonts w:ascii="Verdana" w:hAnsi="Verdana"/>
          <w:sz w:val="20"/>
          <w:szCs w:val="20"/>
        </w:rPr>
        <w:t xml:space="preserve">average </w:t>
      </w:r>
      <w:r>
        <w:rPr>
          <w:rFonts w:ascii="Verdana" w:hAnsi="Verdana"/>
          <w:sz w:val="20"/>
          <w:szCs w:val="20"/>
        </w:rPr>
        <w:t xml:space="preserve">household income is $80,200. </w:t>
      </w:r>
    </w:p>
    <w:p w14:paraId="6C605BF6" w14:textId="77777777" w:rsidR="00776B02" w:rsidRDefault="00776B02" w:rsidP="00227C11">
      <w:pPr>
        <w:spacing w:after="0" w:line="240" w:lineRule="auto"/>
        <w:contextualSpacing/>
        <w:mirrorIndents/>
        <w:rPr>
          <w:rFonts w:ascii="Verdana" w:hAnsi="Verdana"/>
          <w:sz w:val="20"/>
          <w:szCs w:val="20"/>
        </w:rPr>
      </w:pPr>
    </w:p>
    <w:p w14:paraId="7F4C982B" w14:textId="1795CA7F" w:rsidR="00776B02" w:rsidRDefault="000F712F" w:rsidP="00227C11">
      <w:pPr>
        <w:spacing w:after="0" w:line="240" w:lineRule="auto"/>
        <w:contextualSpacing/>
        <w:mirrorIndents/>
        <w:rPr>
          <w:rFonts w:ascii="Verdana" w:hAnsi="Verdana"/>
          <w:sz w:val="20"/>
          <w:szCs w:val="20"/>
        </w:rPr>
      </w:pPr>
      <w:r>
        <w:rPr>
          <w:rFonts w:ascii="Verdana" w:hAnsi="Verdana"/>
          <w:sz w:val="20"/>
          <w:szCs w:val="20"/>
        </w:rPr>
        <w:t xml:space="preserve">The largest percentage </w:t>
      </w:r>
      <w:r w:rsidR="00F87F5F">
        <w:rPr>
          <w:rFonts w:ascii="Verdana" w:hAnsi="Verdana"/>
          <w:sz w:val="20"/>
          <w:szCs w:val="20"/>
        </w:rPr>
        <w:t xml:space="preserve">of these adults </w:t>
      </w:r>
      <w:r>
        <w:rPr>
          <w:rFonts w:ascii="Verdana" w:hAnsi="Verdana"/>
          <w:sz w:val="20"/>
          <w:szCs w:val="20"/>
        </w:rPr>
        <w:t>are planning an interior paint project at an average of 37.4%, followed by carpeting or flooring at 33.4%, remodeling a bath at 26.7%, remodeling a kitchen at 20.6%, replacing or repairing a roof at 19.1% and siding at 14.1%.</w:t>
      </w:r>
    </w:p>
    <w:p w14:paraId="71718D69" w14:textId="2C4AE012" w:rsidR="002674D5" w:rsidRDefault="002674D5" w:rsidP="00227C11">
      <w:pPr>
        <w:spacing w:after="0" w:line="240" w:lineRule="auto"/>
        <w:contextualSpacing/>
        <w:mirrorIndents/>
        <w:rPr>
          <w:rFonts w:ascii="Verdana" w:hAnsi="Verdana"/>
          <w:sz w:val="20"/>
          <w:szCs w:val="20"/>
        </w:rPr>
      </w:pPr>
    </w:p>
    <w:p w14:paraId="4F82CDCF" w14:textId="537018C8" w:rsidR="002674D5" w:rsidRDefault="0097064E" w:rsidP="00227C11">
      <w:pPr>
        <w:spacing w:after="0" w:line="240" w:lineRule="auto"/>
        <w:contextualSpacing/>
        <w:mirrorIndents/>
        <w:rPr>
          <w:rFonts w:ascii="Verdana" w:hAnsi="Verdana"/>
          <w:sz w:val="20"/>
          <w:szCs w:val="20"/>
        </w:rPr>
      </w:pPr>
      <w:r>
        <w:rPr>
          <w:rFonts w:ascii="Verdana" w:hAnsi="Verdana"/>
          <w:sz w:val="20"/>
          <w:szCs w:val="20"/>
        </w:rPr>
        <w:t>Averaging the indices of these adults’ heavy exposure to different media reveals newspaper is first at 133, followed by podcast listening at 126, direct mail at 124, outdoor at 115, radio at 109, audio streaming and video streaming at 107 and social media at 105.</w:t>
      </w:r>
    </w:p>
    <w:p w14:paraId="6D49FEA4" w14:textId="77777777" w:rsidR="002674D5" w:rsidRDefault="002674D5" w:rsidP="00227C11">
      <w:pPr>
        <w:spacing w:after="0" w:line="240" w:lineRule="auto"/>
        <w:contextualSpacing/>
        <w:mirrorIndents/>
        <w:rPr>
          <w:rFonts w:ascii="Verdana" w:hAnsi="Verdana"/>
          <w:sz w:val="20"/>
          <w:szCs w:val="20"/>
        </w:rPr>
      </w:pPr>
    </w:p>
    <w:p w14:paraId="69EC7D0E" w14:textId="17D6AF20" w:rsidR="006B0FC1" w:rsidRDefault="006B0FC1" w:rsidP="006B0FC1">
      <w:pPr>
        <w:spacing w:after="0" w:line="240" w:lineRule="auto"/>
        <w:contextualSpacing/>
        <w:mirrorIndents/>
        <w:jc w:val="center"/>
        <w:rPr>
          <w:b/>
          <w:bCs/>
          <w:sz w:val="20"/>
          <w:szCs w:val="20"/>
        </w:rPr>
      </w:pPr>
      <w:r>
        <w:rPr>
          <w:b/>
          <w:bCs/>
          <w:sz w:val="20"/>
          <w:szCs w:val="20"/>
        </w:rPr>
        <w:t xml:space="preserve">Indices of Adults 18+ Who Plan </w:t>
      </w:r>
      <w:r>
        <w:rPr>
          <w:b/>
          <w:bCs/>
          <w:sz w:val="20"/>
          <w:szCs w:val="20"/>
        </w:rPr>
        <w:t>A</w:t>
      </w:r>
      <w:r>
        <w:rPr>
          <w:b/>
          <w:bCs/>
          <w:sz w:val="20"/>
          <w:szCs w:val="20"/>
        </w:rPr>
        <w:t>n</w:t>
      </w:r>
      <w:r>
        <w:rPr>
          <w:b/>
          <w:bCs/>
          <w:sz w:val="20"/>
          <w:szCs w:val="20"/>
        </w:rPr>
        <w:t>y</w:t>
      </w:r>
      <w:r>
        <w:rPr>
          <w:b/>
          <w:bCs/>
          <w:sz w:val="20"/>
          <w:szCs w:val="20"/>
        </w:rPr>
        <w:t xml:space="preserve"> Home Improvement </w:t>
      </w:r>
    </w:p>
    <w:p w14:paraId="3086630B" w14:textId="7AB90852" w:rsidR="006B0FC1" w:rsidRPr="005D1511" w:rsidRDefault="006B0FC1" w:rsidP="006B0FC1">
      <w:pPr>
        <w:spacing w:after="0" w:line="240" w:lineRule="auto"/>
        <w:contextualSpacing/>
        <w:mirrorIndents/>
        <w:jc w:val="center"/>
        <w:rPr>
          <w:b/>
          <w:bCs/>
          <w:sz w:val="20"/>
          <w:szCs w:val="20"/>
        </w:rPr>
      </w:pPr>
      <w:r>
        <w:rPr>
          <w:b/>
          <w:bCs/>
          <w:sz w:val="20"/>
          <w:szCs w:val="20"/>
        </w:rPr>
        <w:t xml:space="preserve">Project* by </w:t>
      </w:r>
      <w:r>
        <w:rPr>
          <w:b/>
          <w:bCs/>
          <w:sz w:val="20"/>
          <w:szCs w:val="20"/>
        </w:rPr>
        <w:t>Generation</w:t>
      </w:r>
      <w:r>
        <w:rPr>
          <w:b/>
          <w:bCs/>
          <w:sz w:val="20"/>
          <w:szCs w:val="20"/>
        </w:rPr>
        <w:t>, in Selected Markets</w:t>
      </w:r>
      <w:r w:rsidRPr="005D1511">
        <w:rPr>
          <w:b/>
          <w:bCs/>
          <w:sz w:val="20"/>
          <w:szCs w:val="20"/>
        </w:rPr>
        <w:t>, 202</w:t>
      </w:r>
      <w:r>
        <w:rPr>
          <w:b/>
          <w:bCs/>
          <w:sz w:val="20"/>
          <w:szCs w:val="20"/>
        </w:rPr>
        <w:t>1</w:t>
      </w:r>
    </w:p>
    <w:tbl>
      <w:tblPr>
        <w:tblW w:w="885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18"/>
        <w:gridCol w:w="1368"/>
        <w:gridCol w:w="1368"/>
        <w:gridCol w:w="1368"/>
        <w:gridCol w:w="1368"/>
        <w:gridCol w:w="1368"/>
      </w:tblGrid>
      <w:tr w:rsidR="006B0FC1" w:rsidRPr="005D1511" w14:paraId="11A7E67E" w14:textId="77777777" w:rsidTr="006B0FC1">
        <w:trPr>
          <w:jc w:val="center"/>
        </w:trPr>
        <w:tc>
          <w:tcPr>
            <w:tcW w:w="2018"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E92787C" w14:textId="7DA6806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36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4424FE92" w14:textId="7777777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West Palm Beach, FL</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A46F27E" w14:textId="7777777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Detroit</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6ED1A23D" w14:textId="7777777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Austin</w:t>
            </w:r>
          </w:p>
        </w:tc>
        <w:tc>
          <w:tcPr>
            <w:tcW w:w="136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B49EF86" w14:textId="7777777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San Francisco</w:t>
            </w:r>
          </w:p>
        </w:tc>
        <w:tc>
          <w:tcPr>
            <w:tcW w:w="136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E76E123" w14:textId="77777777" w:rsidR="006B0FC1" w:rsidRPr="004815C1" w:rsidRDefault="006B0FC1" w:rsidP="008728C9">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6B0FC1" w:rsidRPr="005D1511" w14:paraId="6713040B" w14:textId="77777777" w:rsidTr="00A20FB8">
        <w:tblPrEx>
          <w:tblBorders>
            <w:top w:val="none" w:sz="0" w:space="0" w:color="auto"/>
          </w:tblBorders>
        </w:tblPrEx>
        <w:trPr>
          <w:jc w:val="center"/>
        </w:trPr>
        <w:tc>
          <w:tcPr>
            <w:tcW w:w="2018"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1421D07" w14:textId="455FBCF9" w:rsidR="006B0FC1" w:rsidRPr="004815C1" w:rsidRDefault="006B0FC1"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368"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10608AA9" w14:textId="31D8DE4A"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110</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62B42546" w14:textId="62C0BC34"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F2DBDB" w:themeFill="accent2" w:themeFillTint="33"/>
            <w:vAlign w:val="center"/>
          </w:tcPr>
          <w:p w14:paraId="3406CAE4" w14:textId="1CC66916"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c>
          <w:tcPr>
            <w:tcW w:w="136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03A26C37" w14:textId="3263EB0D"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368" w:type="dxa"/>
            <w:tcBorders>
              <w:top w:val="single" w:sz="18" w:space="0" w:color="C0504D" w:themeColor="accent2"/>
              <w:left w:val="single" w:sz="8" w:space="0" w:color="0070C0"/>
              <w:bottom w:val="single" w:sz="4" w:space="0" w:color="auto"/>
              <w:right w:val="single" w:sz="12" w:space="0" w:color="000000"/>
            </w:tcBorders>
            <w:shd w:val="clear" w:color="auto" w:fill="D99594" w:themeFill="accent2" w:themeFillTint="99"/>
            <w:vAlign w:val="center"/>
          </w:tcPr>
          <w:p w14:paraId="091E363A" w14:textId="48B20808" w:rsidR="006B0FC1" w:rsidRPr="004815C1" w:rsidRDefault="00A20FB8" w:rsidP="008728C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71</w:t>
            </w:r>
          </w:p>
        </w:tc>
      </w:tr>
      <w:tr w:rsidR="00A20FB8" w:rsidRPr="005D1511" w14:paraId="1BBCC6B5" w14:textId="77777777" w:rsidTr="00A20FB8">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913726E" w14:textId="65614B71" w:rsidR="006B0FC1" w:rsidRPr="004815C1" w:rsidRDefault="006B0FC1"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368"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A19AC8B" w14:textId="08A87770"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36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5FD2E61" w14:textId="785054CD"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36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6CE92FEE" w14:textId="4A61B6F4"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8E09E7E" w14:textId="3AD697FA"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105</w:t>
            </w:r>
          </w:p>
        </w:tc>
        <w:tc>
          <w:tcPr>
            <w:tcW w:w="136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6C2D2A4D" w14:textId="3B36BBBC" w:rsidR="006B0FC1" w:rsidRPr="00B00624"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r>
      <w:tr w:rsidR="00A20FB8" w:rsidRPr="005D1511" w14:paraId="3DA00105" w14:textId="77777777" w:rsidTr="00A20FB8">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41FD59C" w14:textId="353BEF04" w:rsidR="006B0FC1" w:rsidRPr="004815C1" w:rsidRDefault="006B0FC1"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368"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4452A2EE" w14:textId="490FFE25"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1415576" w14:textId="689D4C57"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36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327850E8" w14:textId="45D0D332"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96</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4CC4A13B" w14:textId="0B248B20"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36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2E6A432E" w14:textId="2F224276" w:rsidR="006B0FC1" w:rsidRPr="00B00624"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114</w:t>
            </w:r>
          </w:p>
        </w:tc>
      </w:tr>
      <w:tr w:rsidR="00A20FB8" w:rsidRPr="005D1511" w14:paraId="41BAA9E1" w14:textId="77777777" w:rsidTr="00A20FB8">
        <w:tblPrEx>
          <w:tblBorders>
            <w:top w:val="none" w:sz="0" w:space="0" w:color="auto"/>
          </w:tblBorders>
        </w:tblPrEx>
        <w:trPr>
          <w:jc w:val="center"/>
        </w:trPr>
        <w:tc>
          <w:tcPr>
            <w:tcW w:w="2018"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3E53F755" w14:textId="7C1C9671" w:rsidR="006B0FC1" w:rsidRPr="004815C1" w:rsidRDefault="006B0FC1"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368"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6443B8A" w14:textId="04B0D23A" w:rsidR="006B0FC1" w:rsidRPr="004815C1" w:rsidRDefault="00A20FB8" w:rsidP="008728C9">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94</w:t>
            </w:r>
          </w:p>
        </w:tc>
        <w:tc>
          <w:tcPr>
            <w:tcW w:w="136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72ACF7CB" w14:textId="30F2683C"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36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70AB1EB4" w14:textId="2A0F04F0"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36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6FC5D83F" w14:textId="0EA59F44"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95</w:t>
            </w:r>
          </w:p>
        </w:tc>
        <w:tc>
          <w:tcPr>
            <w:tcW w:w="136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1405E8A4" w14:textId="33F36ADB"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r>
      <w:tr w:rsidR="006B0FC1" w:rsidRPr="005D1511" w14:paraId="0D4F0E07" w14:textId="77777777" w:rsidTr="00A20FB8">
        <w:tblPrEx>
          <w:tblBorders>
            <w:top w:val="none" w:sz="0" w:space="0" w:color="auto"/>
          </w:tblBorders>
        </w:tblPrEx>
        <w:trPr>
          <w:jc w:val="center"/>
        </w:trPr>
        <w:tc>
          <w:tcPr>
            <w:tcW w:w="2018"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3113EF76" w14:textId="1932D8F3" w:rsidR="006B0FC1" w:rsidRPr="004815C1" w:rsidRDefault="006B0FC1" w:rsidP="008728C9">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368" w:type="dxa"/>
            <w:tcBorders>
              <w:top w:val="single" w:sz="4" w:space="0" w:color="000000"/>
              <w:left w:val="single" w:sz="18" w:space="0" w:color="0070C0"/>
              <w:bottom w:val="single" w:sz="12" w:space="0" w:color="auto"/>
              <w:right w:val="single" w:sz="8" w:space="0" w:color="0070C0"/>
            </w:tcBorders>
            <w:shd w:val="clear" w:color="auto" w:fill="F2DBDB" w:themeFill="accent2" w:themeFillTint="33"/>
            <w:vAlign w:val="center"/>
          </w:tcPr>
          <w:p w14:paraId="64D649B9" w14:textId="56C33BBE"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c>
          <w:tcPr>
            <w:tcW w:w="1368"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0BD71F78" w14:textId="65EF6205"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68</w:t>
            </w:r>
          </w:p>
        </w:tc>
        <w:tc>
          <w:tcPr>
            <w:tcW w:w="1368" w:type="dxa"/>
            <w:tcBorders>
              <w:top w:val="single" w:sz="4" w:space="0" w:color="000000"/>
              <w:left w:val="single" w:sz="8" w:space="0" w:color="0070C0"/>
              <w:bottom w:val="single" w:sz="12" w:space="0" w:color="auto"/>
              <w:right w:val="single" w:sz="8" w:space="0" w:color="0070C0"/>
            </w:tcBorders>
            <w:shd w:val="clear" w:color="auto" w:fill="D99594" w:themeFill="accent2" w:themeFillTint="99"/>
            <w:vAlign w:val="center"/>
          </w:tcPr>
          <w:p w14:paraId="56DEE93A" w14:textId="57F7B03C" w:rsidR="006B0FC1" w:rsidRPr="00B00624"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72</w:t>
            </w:r>
          </w:p>
        </w:tc>
        <w:tc>
          <w:tcPr>
            <w:tcW w:w="1368" w:type="dxa"/>
            <w:tcBorders>
              <w:top w:val="single" w:sz="4" w:space="0" w:color="000000"/>
              <w:left w:val="single" w:sz="8" w:space="0" w:color="0070C0"/>
              <w:bottom w:val="single" w:sz="12" w:space="0" w:color="auto"/>
              <w:right w:val="single" w:sz="8" w:space="0" w:color="0070C0"/>
            </w:tcBorders>
            <w:shd w:val="clear" w:color="auto" w:fill="EAF1DD" w:themeFill="accent3" w:themeFillTint="33"/>
            <w:vAlign w:val="center"/>
          </w:tcPr>
          <w:p w14:paraId="40A63D79" w14:textId="1342ECAC"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368" w:type="dxa"/>
            <w:tcBorders>
              <w:top w:val="single" w:sz="4" w:space="0" w:color="000000"/>
              <w:left w:val="single" w:sz="8" w:space="0" w:color="0070C0"/>
              <w:bottom w:val="single" w:sz="12" w:space="0" w:color="auto"/>
              <w:right w:val="single" w:sz="12" w:space="0" w:color="000000"/>
            </w:tcBorders>
            <w:shd w:val="clear" w:color="auto" w:fill="E5B8B7" w:themeFill="accent2" w:themeFillTint="66"/>
            <w:vAlign w:val="center"/>
          </w:tcPr>
          <w:p w14:paraId="449117E9" w14:textId="4B08631B" w:rsidR="006B0FC1" w:rsidRPr="004815C1" w:rsidRDefault="00A20FB8" w:rsidP="008728C9">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bl>
    <w:p w14:paraId="2CD9E7DA" w14:textId="1BCEE617" w:rsidR="006B0FC1" w:rsidRPr="00F74B23" w:rsidRDefault="00A20FB8" w:rsidP="00A20FB8">
      <w:pPr>
        <w:tabs>
          <w:tab w:val="left" w:pos="270"/>
        </w:tabs>
        <w:spacing w:after="0" w:line="240" w:lineRule="auto"/>
        <w:contextualSpacing/>
        <w:mirrorIndents/>
        <w:rPr>
          <w:rFonts w:ascii="Verdana" w:hAnsi="Verdana"/>
          <w:sz w:val="16"/>
          <w:szCs w:val="16"/>
        </w:rPr>
      </w:pPr>
      <w:r>
        <w:rPr>
          <w:sz w:val="16"/>
          <w:szCs w:val="16"/>
        </w:rPr>
        <w:tab/>
      </w:r>
      <w:r w:rsidR="006B0FC1" w:rsidRPr="00573142">
        <w:rPr>
          <w:sz w:val="16"/>
          <w:szCs w:val="16"/>
        </w:rPr>
        <w:t xml:space="preserve">Based on The Media Audit’s 2021 surveys  </w:t>
      </w:r>
      <w:r w:rsidR="006B0FC1" w:rsidRPr="00573142">
        <w:rPr>
          <w:sz w:val="16"/>
          <w:szCs w:val="16"/>
        </w:rPr>
        <w:tab/>
      </w:r>
      <w:r w:rsidR="006B0FC1">
        <w:rPr>
          <w:sz w:val="16"/>
          <w:szCs w:val="16"/>
        </w:rPr>
        <w:tab/>
      </w:r>
      <w:r w:rsidR="006B0FC1">
        <w:rPr>
          <w:sz w:val="16"/>
          <w:szCs w:val="16"/>
        </w:rPr>
        <w:tab/>
      </w:r>
      <w:r w:rsidR="006B0FC1" w:rsidRPr="00573142">
        <w:rPr>
          <w:sz w:val="16"/>
          <w:szCs w:val="16"/>
        </w:rPr>
        <w:t>*</w:t>
      </w:r>
      <w:r w:rsidR="006B0FC1">
        <w:rPr>
          <w:rFonts w:ascii="Verdana" w:eastAsia="Times New Roman" w:hAnsi="Verdana"/>
          <w:sz w:val="16"/>
          <w:szCs w:val="16"/>
        </w:rPr>
        <w:t>during the next 12 months</w:t>
      </w:r>
    </w:p>
    <w:p w14:paraId="38C0139C" w14:textId="77777777" w:rsidR="00776B02" w:rsidRDefault="00776B02" w:rsidP="00227C11">
      <w:pPr>
        <w:spacing w:after="0" w:line="240" w:lineRule="auto"/>
        <w:contextualSpacing/>
        <w:mirrorIndents/>
        <w:rPr>
          <w:rFonts w:ascii="Verdana" w:hAnsi="Verdana"/>
          <w:sz w:val="20"/>
          <w:szCs w:val="20"/>
        </w:rPr>
      </w:pPr>
    </w:p>
    <w:p w14:paraId="6F5E0AD0" w14:textId="641E4EC7" w:rsidR="00227C11" w:rsidRPr="000E00BA" w:rsidRDefault="00227C11" w:rsidP="000E00BA">
      <w:pPr>
        <w:spacing w:after="0" w:line="240" w:lineRule="auto"/>
        <w:contextualSpacing/>
        <w:mirrorIndents/>
        <w:jc w:val="center"/>
        <w:rPr>
          <w:rFonts w:ascii="Verdana" w:hAnsi="Verdana"/>
          <w:b/>
          <w:bCs/>
          <w:color w:val="0070C0"/>
          <w:sz w:val="20"/>
          <w:szCs w:val="20"/>
        </w:rPr>
      </w:pPr>
      <w:r w:rsidRPr="000E00BA">
        <w:rPr>
          <w:rFonts w:ascii="Verdana" w:hAnsi="Verdana"/>
          <w:b/>
          <w:bCs/>
          <w:color w:val="0070C0"/>
          <w:sz w:val="20"/>
          <w:szCs w:val="20"/>
        </w:rPr>
        <w:t xml:space="preserve">Homes Come Alive with New Paint </w:t>
      </w:r>
      <w:r w:rsidR="00D72316">
        <w:rPr>
          <w:rFonts w:ascii="Verdana" w:hAnsi="Verdana"/>
          <w:b/>
          <w:bCs/>
          <w:color w:val="0070C0"/>
          <w:sz w:val="20"/>
          <w:szCs w:val="20"/>
        </w:rPr>
        <w:t xml:space="preserve">and Wallpaper </w:t>
      </w:r>
      <w:r w:rsidRPr="000E00BA">
        <w:rPr>
          <w:rFonts w:ascii="Verdana" w:hAnsi="Verdana"/>
          <w:b/>
          <w:bCs/>
          <w:color w:val="0070C0"/>
          <w:sz w:val="20"/>
          <w:szCs w:val="20"/>
        </w:rPr>
        <w:t>Trends</w:t>
      </w:r>
    </w:p>
    <w:p w14:paraId="286AC9F6" w14:textId="77777777" w:rsidR="00F94CE8" w:rsidRPr="00227C11" w:rsidRDefault="00F94CE8" w:rsidP="00227C11">
      <w:pPr>
        <w:pStyle w:val="NoSpacing"/>
        <w:contextualSpacing/>
        <w:mirrorIndents/>
        <w:rPr>
          <w:rFonts w:ascii="Verdana" w:hAnsi="Verdana"/>
          <w:sz w:val="20"/>
          <w:szCs w:val="20"/>
        </w:rPr>
      </w:pPr>
    </w:p>
    <w:p w14:paraId="23D2BAA2" w14:textId="38C05484" w:rsidR="00F94CE8" w:rsidRDefault="00CA7594" w:rsidP="00227C11">
      <w:pPr>
        <w:pStyle w:val="NoSpacing"/>
        <w:contextualSpacing/>
        <w:mirrorIndents/>
        <w:rPr>
          <w:rFonts w:ascii="Verdana" w:hAnsi="Verdana"/>
          <w:sz w:val="20"/>
          <w:szCs w:val="20"/>
        </w:rPr>
      </w:pPr>
      <w:r>
        <w:rPr>
          <w:rFonts w:ascii="Verdana" w:hAnsi="Verdana"/>
          <w:sz w:val="20"/>
          <w:szCs w:val="20"/>
        </w:rPr>
        <w:t>According to the input of</w:t>
      </w:r>
      <w:r>
        <w:rPr>
          <w:rFonts w:ascii="Verdana" w:hAnsi="Verdana"/>
          <w:sz w:val="20"/>
          <w:szCs w:val="20"/>
        </w:rPr>
        <w:t xml:space="preserve"> industry influencers and interior designers</w:t>
      </w:r>
      <w:r>
        <w:rPr>
          <w:rFonts w:ascii="Verdana" w:hAnsi="Verdana"/>
          <w:sz w:val="20"/>
          <w:szCs w:val="20"/>
        </w:rPr>
        <w:t xml:space="preserve"> for </w:t>
      </w:r>
      <w:r w:rsidR="000E00BA">
        <w:rPr>
          <w:rFonts w:ascii="Verdana" w:hAnsi="Verdana"/>
          <w:sz w:val="20"/>
          <w:szCs w:val="20"/>
        </w:rPr>
        <w:t>Fixr’s 2022 Paint &amp; Color Trends Report</w:t>
      </w:r>
      <w:r>
        <w:rPr>
          <w:rFonts w:ascii="Verdana" w:hAnsi="Verdana"/>
          <w:sz w:val="20"/>
          <w:szCs w:val="20"/>
        </w:rPr>
        <w:t>, sage green is the first choice for living rooms and bedrooms, black for front doors and white and off-white for the interiors and exteriors of homes for sale.</w:t>
      </w:r>
    </w:p>
    <w:p w14:paraId="45772844" w14:textId="07508A27" w:rsidR="00CA7594" w:rsidRDefault="00CA7594" w:rsidP="00227C11">
      <w:pPr>
        <w:pStyle w:val="NoSpacing"/>
        <w:contextualSpacing/>
        <w:mirrorIndents/>
        <w:rPr>
          <w:rFonts w:ascii="Verdana" w:hAnsi="Verdana"/>
          <w:sz w:val="20"/>
          <w:szCs w:val="20"/>
        </w:rPr>
      </w:pPr>
    </w:p>
    <w:p w14:paraId="37D0BEA7" w14:textId="11CF54B5" w:rsidR="00CA7594" w:rsidRPr="00227C11" w:rsidRDefault="00CA7594" w:rsidP="00227C11">
      <w:pPr>
        <w:pStyle w:val="NoSpacing"/>
        <w:contextualSpacing/>
        <w:mirrorIndents/>
        <w:rPr>
          <w:rFonts w:ascii="Verdana" w:hAnsi="Verdana"/>
          <w:sz w:val="20"/>
          <w:szCs w:val="20"/>
        </w:rPr>
      </w:pPr>
      <w:r>
        <w:rPr>
          <w:rFonts w:ascii="Verdana" w:hAnsi="Verdana"/>
          <w:sz w:val="20"/>
          <w:szCs w:val="20"/>
        </w:rPr>
        <w:t>Warm neutrals w</w:t>
      </w:r>
      <w:r w:rsidR="00FC3B80">
        <w:rPr>
          <w:rFonts w:ascii="Verdana" w:hAnsi="Verdana"/>
          <w:sz w:val="20"/>
          <w:szCs w:val="20"/>
        </w:rPr>
        <w:t>ere</w:t>
      </w:r>
      <w:r>
        <w:rPr>
          <w:rFonts w:ascii="Verdana" w:hAnsi="Verdana"/>
          <w:sz w:val="20"/>
          <w:szCs w:val="20"/>
        </w:rPr>
        <w:t xml:space="preserve"> first for an interior color palette at 66%, followed by earthy tones at 59%, neutrals with pops of bold colors at 52%, black and white at 44%, jewel tones at 22%, cool neutrals at 17%, gray at 5% and other at 3%.</w:t>
      </w:r>
    </w:p>
    <w:p w14:paraId="664EB1A4" w14:textId="77777777" w:rsidR="00F94CE8" w:rsidRPr="00227C11" w:rsidRDefault="00F94CE8" w:rsidP="00227C11">
      <w:pPr>
        <w:pStyle w:val="NoSpacing"/>
        <w:contextualSpacing/>
        <w:mirrorIndents/>
        <w:rPr>
          <w:rFonts w:ascii="Verdana" w:hAnsi="Verdana"/>
          <w:sz w:val="20"/>
          <w:szCs w:val="20"/>
        </w:rPr>
      </w:pPr>
    </w:p>
    <w:p w14:paraId="7401C3C8" w14:textId="3D82A3D9" w:rsidR="00F94CE8" w:rsidRPr="00227C11" w:rsidRDefault="003B321E" w:rsidP="00227C11">
      <w:pPr>
        <w:pStyle w:val="NoSpacing"/>
        <w:contextualSpacing/>
        <w:mirrorIndents/>
        <w:rPr>
          <w:rFonts w:ascii="Verdana" w:hAnsi="Verdana"/>
          <w:sz w:val="20"/>
          <w:szCs w:val="20"/>
        </w:rPr>
      </w:pPr>
      <w:r>
        <w:rPr>
          <w:rFonts w:ascii="Verdana" w:hAnsi="Verdana"/>
          <w:sz w:val="20"/>
          <w:szCs w:val="20"/>
        </w:rPr>
        <w:t>The powder room was where designers said was the best place to introduce wallpaper at 88%, with ceilings and dining rooms both a distant second at 28%, and then bedroom</w:t>
      </w:r>
      <w:r w:rsidR="00D72316">
        <w:rPr>
          <w:rFonts w:ascii="Verdana" w:hAnsi="Verdana"/>
          <w:sz w:val="20"/>
          <w:szCs w:val="20"/>
        </w:rPr>
        <w:t>s</w:t>
      </w:r>
      <w:r>
        <w:rPr>
          <w:rFonts w:ascii="Verdana" w:hAnsi="Verdana"/>
          <w:sz w:val="20"/>
          <w:szCs w:val="20"/>
        </w:rPr>
        <w:t xml:space="preserve"> at 22%, foyer</w:t>
      </w:r>
      <w:r w:rsidR="00D72316">
        <w:rPr>
          <w:rFonts w:ascii="Verdana" w:hAnsi="Verdana"/>
          <w:sz w:val="20"/>
          <w:szCs w:val="20"/>
        </w:rPr>
        <w:t>s</w:t>
      </w:r>
      <w:r>
        <w:rPr>
          <w:rFonts w:ascii="Verdana" w:hAnsi="Verdana"/>
          <w:sz w:val="20"/>
          <w:szCs w:val="20"/>
        </w:rPr>
        <w:t xml:space="preserve"> at 16%, bathroom</w:t>
      </w:r>
      <w:r w:rsidR="00D72316">
        <w:rPr>
          <w:rFonts w:ascii="Verdana" w:hAnsi="Verdana"/>
          <w:sz w:val="20"/>
          <w:szCs w:val="20"/>
        </w:rPr>
        <w:t>s</w:t>
      </w:r>
      <w:r>
        <w:rPr>
          <w:rFonts w:ascii="Verdana" w:hAnsi="Verdana"/>
          <w:sz w:val="20"/>
          <w:szCs w:val="20"/>
        </w:rPr>
        <w:t xml:space="preserve"> at 8% and other at 4%.</w:t>
      </w:r>
    </w:p>
    <w:p w14:paraId="02C0BC62" w14:textId="77777777" w:rsidR="00F94CE8" w:rsidRPr="00227C11" w:rsidRDefault="00F94CE8" w:rsidP="00227C11">
      <w:pPr>
        <w:pStyle w:val="NoSpacing"/>
        <w:contextualSpacing/>
        <w:mirrorIndents/>
        <w:rPr>
          <w:rFonts w:ascii="Verdana" w:hAnsi="Verdana"/>
          <w:sz w:val="20"/>
          <w:szCs w:val="20"/>
        </w:rPr>
      </w:pPr>
    </w:p>
    <w:p w14:paraId="7880CF99" w14:textId="44ED0F2B" w:rsidR="003B321E" w:rsidRPr="00192F64" w:rsidRDefault="003B321E" w:rsidP="003B321E">
      <w:pPr>
        <w:pStyle w:val="Header"/>
        <w:contextualSpacing/>
        <w:jc w:val="center"/>
        <w:rPr>
          <w:rFonts w:ascii="Verdana" w:hAnsi="Verdana"/>
          <w:b/>
          <w:noProof/>
          <w:sz w:val="20"/>
          <w:szCs w:val="20"/>
        </w:rPr>
      </w:pPr>
      <w:r>
        <w:rPr>
          <w:rFonts w:ascii="Verdana" w:hAnsi="Verdana"/>
          <w:b/>
          <w:noProof/>
          <w:sz w:val="20"/>
          <w:szCs w:val="20"/>
        </w:rPr>
        <w:t xml:space="preserve">Designers’ </w:t>
      </w:r>
      <w:r w:rsidR="0079716D">
        <w:rPr>
          <w:rFonts w:ascii="Verdana" w:hAnsi="Verdana"/>
          <w:b/>
          <w:noProof/>
          <w:sz w:val="20"/>
          <w:szCs w:val="20"/>
        </w:rPr>
        <w:t xml:space="preserve">Top </w:t>
      </w:r>
      <w:r>
        <w:rPr>
          <w:rFonts w:ascii="Verdana" w:hAnsi="Verdana"/>
          <w:b/>
          <w:noProof/>
          <w:sz w:val="20"/>
          <w:szCs w:val="20"/>
        </w:rPr>
        <w:t>Choices for How to Introduce New Colors</w:t>
      </w:r>
      <w:r>
        <w:rPr>
          <w:rFonts w:ascii="Verdana" w:hAnsi="Verdana"/>
          <w:b/>
          <w:noProof/>
          <w:sz w:val="20"/>
          <w:szCs w:val="20"/>
        </w:rPr>
        <w:t xml:space="preserve">, </w:t>
      </w:r>
      <w:r>
        <w:rPr>
          <w:rFonts w:ascii="Verdana" w:hAnsi="Verdana"/>
          <w:b/>
          <w:noProof/>
          <w:sz w:val="20"/>
          <w:szCs w:val="20"/>
        </w:rPr>
        <w:t xml:space="preserve">January </w:t>
      </w:r>
      <w:r>
        <w:rPr>
          <w:rFonts w:ascii="Verdana" w:hAnsi="Verdana"/>
          <w:b/>
          <w:noProof/>
          <w:sz w:val="20"/>
          <w:szCs w:val="20"/>
        </w:rPr>
        <w:t>2022</w:t>
      </w:r>
    </w:p>
    <w:tbl>
      <w:tblPr>
        <w:tblW w:w="10833"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080"/>
        <w:gridCol w:w="1267"/>
        <w:gridCol w:w="4219"/>
        <w:gridCol w:w="1267"/>
      </w:tblGrid>
      <w:tr w:rsidR="003B321E" w:rsidRPr="00192F64" w14:paraId="0BCD83E7" w14:textId="77777777" w:rsidTr="00D72316">
        <w:trPr>
          <w:jc w:val="center"/>
        </w:trPr>
        <w:tc>
          <w:tcPr>
            <w:tcW w:w="4080" w:type="dxa"/>
            <w:tcBorders>
              <w:top w:val="single" w:sz="12" w:space="0" w:color="000000"/>
              <w:left w:val="single" w:sz="12" w:space="0" w:color="000000"/>
              <w:bottom w:val="single" w:sz="18" w:space="0" w:color="C0504D" w:themeColor="accent2"/>
              <w:right w:val="single" w:sz="8" w:space="0" w:color="0070C0"/>
            </w:tcBorders>
            <w:vAlign w:val="center"/>
          </w:tcPr>
          <w:p w14:paraId="00A91699" w14:textId="13629EB5" w:rsidR="003B321E" w:rsidRPr="00192F64" w:rsidRDefault="003B321E"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Method</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1D4A25A" w14:textId="17832937" w:rsidR="003B321E" w:rsidRPr="00192F64" w:rsidRDefault="0079716D"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c>
          <w:tcPr>
            <w:tcW w:w="4219" w:type="dxa"/>
            <w:tcBorders>
              <w:top w:val="single" w:sz="12" w:space="0" w:color="000000"/>
              <w:left w:val="single" w:sz="18" w:space="0" w:color="0070C0"/>
              <w:bottom w:val="single" w:sz="18" w:space="0" w:color="C0504D" w:themeColor="accent2"/>
              <w:right w:val="single" w:sz="8" w:space="0" w:color="0070C0"/>
            </w:tcBorders>
            <w:vAlign w:val="center"/>
          </w:tcPr>
          <w:p w14:paraId="05654E70" w14:textId="0B3B66E3" w:rsidR="003B321E" w:rsidRDefault="0079716D"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Method</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1A7EC162" w14:textId="0282A2F5" w:rsidR="003B321E" w:rsidRDefault="0079716D"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r>
      <w:tr w:rsidR="003B321E" w:rsidRPr="00192F64" w14:paraId="42A18BC0" w14:textId="77777777" w:rsidTr="00D72316">
        <w:tblPrEx>
          <w:tblBorders>
            <w:top w:val="none" w:sz="0" w:space="0" w:color="auto"/>
          </w:tblBorders>
        </w:tblPrEx>
        <w:trPr>
          <w:jc w:val="center"/>
        </w:trPr>
        <w:tc>
          <w:tcPr>
            <w:tcW w:w="4080"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6649EA57" w14:textId="03F95390" w:rsidR="003B321E" w:rsidRPr="00192F64"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#1: Textiles (pillows, bed linens, etc.)</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3CAFF900" w14:textId="0DD404CE" w:rsidR="003B321E" w:rsidRPr="00192F64"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55%</w:t>
            </w:r>
          </w:p>
        </w:tc>
        <w:tc>
          <w:tcPr>
            <w:tcW w:w="4219"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45F05655" w14:textId="1FD788A1" w:rsidR="003B321E" w:rsidRDefault="0079716D" w:rsidP="00D7231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 xml:space="preserve">#7: Accent wall </w:t>
            </w:r>
            <w:r>
              <w:rPr>
                <w:rFonts w:ascii="Verdana" w:eastAsia="Times New Roman" w:hAnsi="Verdana"/>
                <w:sz w:val="20"/>
                <w:szCs w:val="20"/>
              </w:rPr>
              <w:t>–</w:t>
            </w:r>
            <w:r>
              <w:rPr>
                <w:rFonts w:ascii="Verdana" w:eastAsia="Times New Roman" w:hAnsi="Verdana"/>
                <w:sz w:val="20"/>
                <w:szCs w:val="20"/>
              </w:rPr>
              <w:t xml:space="preserve"> paint</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302CD2D9" w14:textId="2A2B3690"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14%</w:t>
            </w:r>
          </w:p>
        </w:tc>
      </w:tr>
      <w:tr w:rsidR="003B321E" w:rsidRPr="00192F64" w14:paraId="6BA04A18" w14:textId="77777777" w:rsidTr="00D72316">
        <w:tblPrEx>
          <w:tblBorders>
            <w:top w:val="none" w:sz="0" w:space="0" w:color="auto"/>
          </w:tblBorders>
        </w:tblPrEx>
        <w:trPr>
          <w:jc w:val="center"/>
        </w:trPr>
        <w:tc>
          <w:tcPr>
            <w:tcW w:w="408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4A7B1213" w14:textId="51AD0FDB" w:rsidR="003B321E" w:rsidRPr="00192F64"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#2: Paint an entire room</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E714E1F" w14:textId="6E73BA34" w:rsidR="003B321E" w:rsidRPr="00192F64"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42%</w:t>
            </w:r>
          </w:p>
        </w:tc>
        <w:tc>
          <w:tcPr>
            <w:tcW w:w="4219" w:type="dxa"/>
            <w:tcBorders>
              <w:top w:val="single" w:sz="4" w:space="0" w:color="auto"/>
              <w:left w:val="single" w:sz="18" w:space="0" w:color="0070C0"/>
              <w:bottom w:val="single" w:sz="4" w:space="0" w:color="000000"/>
              <w:right w:val="single" w:sz="8" w:space="0" w:color="0070C0"/>
            </w:tcBorders>
            <w:shd w:val="clear" w:color="auto" w:fill="auto"/>
            <w:vAlign w:val="center"/>
          </w:tcPr>
          <w:p w14:paraId="0BCEF8B2" w14:textId="28A6DD1F" w:rsidR="003B321E" w:rsidRDefault="0079716D" w:rsidP="00D7231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#8: Kitchen island</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tcPr>
          <w:p w14:paraId="1E277AD7" w14:textId="48FED215"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13%</w:t>
            </w:r>
          </w:p>
        </w:tc>
      </w:tr>
      <w:tr w:rsidR="003B321E" w:rsidRPr="00192F64" w14:paraId="5F2A52BA" w14:textId="77777777" w:rsidTr="00D72316">
        <w:tblPrEx>
          <w:tblBorders>
            <w:top w:val="none" w:sz="0" w:space="0" w:color="auto"/>
          </w:tblBorders>
        </w:tblPrEx>
        <w:trPr>
          <w:jc w:val="center"/>
        </w:trPr>
        <w:tc>
          <w:tcPr>
            <w:tcW w:w="408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39C8A411" w14:textId="475A2B3A" w:rsidR="003B321E"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 Wallpaper an entire room</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14AF5F8" w14:textId="4470D498"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39%</w:t>
            </w:r>
          </w:p>
        </w:tc>
        <w:tc>
          <w:tcPr>
            <w:tcW w:w="4219" w:type="dxa"/>
            <w:tcBorders>
              <w:top w:val="single" w:sz="4" w:space="0" w:color="auto"/>
              <w:left w:val="single" w:sz="18" w:space="0" w:color="0070C0"/>
              <w:bottom w:val="single" w:sz="4" w:space="0" w:color="000000"/>
              <w:right w:val="single" w:sz="8" w:space="0" w:color="0070C0"/>
            </w:tcBorders>
            <w:shd w:val="clear" w:color="auto" w:fill="auto"/>
            <w:vAlign w:val="center"/>
          </w:tcPr>
          <w:p w14:paraId="13CB041D" w14:textId="63C95725" w:rsidR="003B321E" w:rsidRDefault="0079716D" w:rsidP="00D7231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#9: Tile</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tcPr>
          <w:p w14:paraId="6E6977EB" w14:textId="21D00A68"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13%</w:t>
            </w:r>
          </w:p>
        </w:tc>
      </w:tr>
      <w:tr w:rsidR="003B321E" w:rsidRPr="00192F64" w14:paraId="0E6D6476" w14:textId="77777777" w:rsidTr="00D72316">
        <w:tblPrEx>
          <w:tblBorders>
            <w:top w:val="none" w:sz="0" w:space="0" w:color="auto"/>
          </w:tblBorders>
        </w:tblPrEx>
        <w:trPr>
          <w:jc w:val="center"/>
        </w:trPr>
        <w:tc>
          <w:tcPr>
            <w:tcW w:w="408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0EBF6A61" w14:textId="0CC676C6" w:rsidR="003B321E"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#4: Two-toned kitchen cabinetry</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060CD2C" w14:textId="0BE494D8"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34%</w:t>
            </w:r>
          </w:p>
        </w:tc>
        <w:tc>
          <w:tcPr>
            <w:tcW w:w="4219" w:type="dxa"/>
            <w:tcBorders>
              <w:top w:val="single" w:sz="4" w:space="0" w:color="auto"/>
              <w:left w:val="single" w:sz="18" w:space="0" w:color="0070C0"/>
              <w:bottom w:val="single" w:sz="4" w:space="0" w:color="000000"/>
              <w:right w:val="single" w:sz="8" w:space="0" w:color="0070C0"/>
            </w:tcBorders>
            <w:shd w:val="clear" w:color="auto" w:fill="auto"/>
            <w:vAlign w:val="center"/>
          </w:tcPr>
          <w:p w14:paraId="7CAC0B30" w14:textId="3B689CF0" w:rsidR="003B321E" w:rsidRDefault="0079716D" w:rsidP="00D7231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#10: Décor (candles, artwork, etc.)</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6F363A74" w14:textId="7E3571B0"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9%</w:t>
            </w:r>
          </w:p>
        </w:tc>
      </w:tr>
      <w:tr w:rsidR="003B321E" w:rsidRPr="00192F64" w14:paraId="7A160499" w14:textId="77777777" w:rsidTr="00D72316">
        <w:tblPrEx>
          <w:tblBorders>
            <w:top w:val="none" w:sz="0" w:space="0" w:color="auto"/>
          </w:tblBorders>
        </w:tblPrEx>
        <w:trPr>
          <w:jc w:val="center"/>
        </w:trPr>
        <w:tc>
          <w:tcPr>
            <w:tcW w:w="4080"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7E2B9AE" w14:textId="739B518A" w:rsidR="003B321E"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 xml:space="preserve">#5: Accent wall </w:t>
            </w:r>
            <w:r>
              <w:rPr>
                <w:rFonts w:ascii="Verdana" w:eastAsia="Times New Roman" w:hAnsi="Verdana"/>
                <w:sz w:val="20"/>
                <w:szCs w:val="20"/>
              </w:rPr>
              <w:t>–</w:t>
            </w:r>
            <w:r>
              <w:rPr>
                <w:rFonts w:ascii="Verdana" w:eastAsia="Times New Roman" w:hAnsi="Verdana"/>
                <w:noProof/>
                <w:sz w:val="20"/>
                <w:szCs w:val="20"/>
              </w:rPr>
              <w:t xml:space="preserve"> wallpaper</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FFA0713" w14:textId="338013CE"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30%</w:t>
            </w:r>
          </w:p>
        </w:tc>
        <w:tc>
          <w:tcPr>
            <w:tcW w:w="4219" w:type="dxa"/>
            <w:tcBorders>
              <w:top w:val="single" w:sz="4" w:space="0" w:color="auto"/>
              <w:left w:val="single" w:sz="18" w:space="0" w:color="0070C0"/>
              <w:bottom w:val="single" w:sz="4" w:space="0" w:color="000000"/>
              <w:right w:val="single" w:sz="8" w:space="0" w:color="0070C0"/>
            </w:tcBorders>
            <w:shd w:val="clear" w:color="auto" w:fill="auto"/>
            <w:vAlign w:val="center"/>
          </w:tcPr>
          <w:p w14:paraId="65EE4CF3" w14:textId="62A3FFA9" w:rsidR="003B321E" w:rsidRDefault="0079716D" w:rsidP="00D72316">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#11: Other</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020AF999" w14:textId="6ECFC41B" w:rsidR="003B321E"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w:t>
            </w:r>
          </w:p>
        </w:tc>
      </w:tr>
      <w:tr w:rsidR="003B321E" w:rsidRPr="00192F64" w14:paraId="0A7FA34A" w14:textId="77777777" w:rsidTr="001A6195">
        <w:tblPrEx>
          <w:tblBorders>
            <w:top w:val="none" w:sz="0" w:space="0" w:color="auto"/>
          </w:tblBorders>
        </w:tblPrEx>
        <w:trPr>
          <w:jc w:val="center"/>
        </w:trPr>
        <w:tc>
          <w:tcPr>
            <w:tcW w:w="408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F475933" w14:textId="7A01C922" w:rsidR="003B321E" w:rsidRPr="00192F64" w:rsidRDefault="0079716D"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#6: Furniture</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6F35FBAD" w14:textId="6BD43872" w:rsidR="003B321E" w:rsidRPr="00192F64" w:rsidRDefault="0079716D"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22%</w:t>
            </w:r>
          </w:p>
        </w:tc>
        <w:tc>
          <w:tcPr>
            <w:tcW w:w="4219"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05050952" w14:textId="59DA870E" w:rsidR="003B321E" w:rsidRPr="00192F64" w:rsidRDefault="003B321E"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tcPr>
          <w:p w14:paraId="2D4350CD" w14:textId="0D283088" w:rsidR="003B321E" w:rsidRPr="00192F64" w:rsidRDefault="003B321E"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p>
        </w:tc>
      </w:tr>
    </w:tbl>
    <w:p w14:paraId="5DA8070D" w14:textId="3A6DE909" w:rsidR="003B321E" w:rsidRDefault="0079716D" w:rsidP="0079716D">
      <w:pPr>
        <w:spacing w:after="0" w:line="240" w:lineRule="auto"/>
        <w:ind w:hanging="720"/>
        <w:contextualSpacing/>
        <w:mirrorIndents/>
        <w:rPr>
          <w:rFonts w:ascii="Verdana" w:hAnsi="Verdana"/>
          <w:noProof/>
          <w:sz w:val="16"/>
          <w:szCs w:val="16"/>
        </w:rPr>
      </w:pPr>
      <w:r>
        <w:rPr>
          <w:rFonts w:ascii="Verdana" w:hAnsi="Verdana"/>
          <w:noProof/>
          <w:sz w:val="16"/>
          <w:szCs w:val="16"/>
        </w:rPr>
        <w:t>Fixr</w:t>
      </w:r>
      <w:r w:rsidR="003B321E" w:rsidRPr="00BE37C6">
        <w:rPr>
          <w:rFonts w:ascii="Verdana" w:hAnsi="Verdana"/>
          <w:noProof/>
          <w:sz w:val="16"/>
          <w:szCs w:val="16"/>
        </w:rPr>
        <w:t xml:space="preserve">, </w:t>
      </w:r>
      <w:r w:rsidR="003B321E">
        <w:rPr>
          <w:rFonts w:ascii="Verdana" w:hAnsi="Verdana"/>
          <w:noProof/>
          <w:sz w:val="16"/>
          <w:szCs w:val="16"/>
        </w:rPr>
        <w:t>March 2022</w:t>
      </w:r>
    </w:p>
    <w:p w14:paraId="37079E4B" w14:textId="77777777" w:rsidR="00F94CE8" w:rsidRPr="00227C11" w:rsidRDefault="00F94CE8" w:rsidP="00227C11">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769E2363" w:rsidR="00F94CE8" w:rsidRDefault="008D2E8B" w:rsidP="00F94CE8">
      <w:pPr>
        <w:pStyle w:val="NoSpacing"/>
        <w:contextualSpacing/>
        <w:rPr>
          <w:sz w:val="20"/>
          <w:szCs w:val="20"/>
        </w:rPr>
      </w:pPr>
      <w:r>
        <w:rPr>
          <w:rFonts w:ascii="Verdana" w:hAnsi="Verdana"/>
          <w:sz w:val="20"/>
          <w:szCs w:val="20"/>
        </w:rPr>
        <w:t xml:space="preserve">The </w:t>
      </w:r>
      <w:r>
        <w:rPr>
          <w:rFonts w:ascii="Verdana" w:hAnsi="Verdana"/>
          <w:sz w:val="20"/>
          <w:szCs w:val="20"/>
        </w:rPr>
        <w:t>Fixr 2022 Paint &amp; Color Trends Report</w:t>
      </w:r>
      <w:r>
        <w:rPr>
          <w:rFonts w:ascii="Verdana" w:hAnsi="Verdana"/>
          <w:sz w:val="20"/>
          <w:szCs w:val="20"/>
        </w:rPr>
        <w:t xml:space="preserve"> includes many more insights from industry influencers and interior designers to help local retailers advertise and promote the home living products and services more likely to attract consumer dollars.</w:t>
      </w:r>
    </w:p>
    <w:p w14:paraId="72A9D893" w14:textId="77777777" w:rsidR="00F94CE8" w:rsidRDefault="00F94CE8" w:rsidP="00F94CE8">
      <w:pPr>
        <w:pStyle w:val="NoSpacing"/>
        <w:contextualSpacing/>
        <w:rPr>
          <w:sz w:val="20"/>
          <w:szCs w:val="20"/>
        </w:rPr>
      </w:pPr>
    </w:p>
    <w:p w14:paraId="2C8429AB" w14:textId="53DBFA27" w:rsidR="008D2E8B" w:rsidRPr="00192F64" w:rsidRDefault="008D2E8B" w:rsidP="008D2E8B">
      <w:pPr>
        <w:pStyle w:val="Header"/>
        <w:contextualSpacing/>
        <w:jc w:val="center"/>
        <w:rPr>
          <w:rFonts w:ascii="Verdana" w:hAnsi="Verdana"/>
          <w:b/>
          <w:noProof/>
          <w:sz w:val="20"/>
          <w:szCs w:val="20"/>
        </w:rPr>
      </w:pPr>
      <w:r>
        <w:rPr>
          <w:rFonts w:ascii="Verdana" w:hAnsi="Verdana"/>
          <w:b/>
          <w:noProof/>
          <w:sz w:val="20"/>
          <w:szCs w:val="20"/>
        </w:rPr>
        <w:t xml:space="preserve">Designers’ </w:t>
      </w:r>
      <w:r>
        <w:rPr>
          <w:rFonts w:ascii="Verdana" w:hAnsi="Verdana"/>
          <w:b/>
          <w:noProof/>
          <w:sz w:val="20"/>
          <w:szCs w:val="20"/>
        </w:rPr>
        <w:t>Most Popular Wallpaper Patterns</w:t>
      </w:r>
      <w:r>
        <w:rPr>
          <w:rFonts w:ascii="Verdana" w:hAnsi="Verdana"/>
          <w:b/>
          <w:noProof/>
          <w:sz w:val="20"/>
          <w:szCs w:val="20"/>
        </w:rPr>
        <w:t>, January 2022</w:t>
      </w:r>
    </w:p>
    <w:tbl>
      <w:tblPr>
        <w:tblW w:w="9646"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3555"/>
        <w:gridCol w:w="1267"/>
        <w:gridCol w:w="3557"/>
        <w:gridCol w:w="1267"/>
      </w:tblGrid>
      <w:tr w:rsidR="008D2E8B" w:rsidRPr="00192F64" w14:paraId="5D094CEC" w14:textId="77777777" w:rsidTr="00D72316">
        <w:trPr>
          <w:jc w:val="center"/>
        </w:trPr>
        <w:tc>
          <w:tcPr>
            <w:tcW w:w="3555" w:type="dxa"/>
            <w:tcBorders>
              <w:top w:val="single" w:sz="12" w:space="0" w:color="000000"/>
              <w:left w:val="single" w:sz="12" w:space="0" w:color="000000"/>
              <w:bottom w:val="single" w:sz="18" w:space="0" w:color="C0504D" w:themeColor="accent2"/>
              <w:right w:val="single" w:sz="8" w:space="0" w:color="0070C0"/>
            </w:tcBorders>
            <w:vAlign w:val="center"/>
          </w:tcPr>
          <w:p w14:paraId="653F53DE" w14:textId="3FF2A72F" w:rsidR="008D2E8B" w:rsidRPr="00192F64" w:rsidRDefault="008D2E8B"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Pattern</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4981682E" w14:textId="77777777" w:rsidR="008D2E8B" w:rsidRPr="00192F64" w:rsidRDefault="008D2E8B"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c>
          <w:tcPr>
            <w:tcW w:w="3557" w:type="dxa"/>
            <w:tcBorders>
              <w:top w:val="single" w:sz="12" w:space="0" w:color="000000"/>
              <w:left w:val="single" w:sz="18" w:space="0" w:color="0070C0"/>
              <w:bottom w:val="single" w:sz="18" w:space="0" w:color="C0504D" w:themeColor="accent2"/>
              <w:right w:val="single" w:sz="8" w:space="0" w:color="0070C0"/>
            </w:tcBorders>
            <w:vAlign w:val="center"/>
          </w:tcPr>
          <w:p w14:paraId="04868235" w14:textId="0AB48EE3" w:rsidR="008D2E8B" w:rsidRDefault="008D2E8B"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Pattern</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73DE865" w14:textId="77777777" w:rsidR="008D2E8B" w:rsidRDefault="008D2E8B" w:rsidP="00D72316">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r>
      <w:tr w:rsidR="002B32F4" w:rsidRPr="00192F64" w14:paraId="16718C6F" w14:textId="77777777" w:rsidTr="002B32F4">
        <w:tblPrEx>
          <w:tblBorders>
            <w:top w:val="none" w:sz="0" w:space="0" w:color="auto"/>
          </w:tblBorders>
        </w:tblPrEx>
        <w:trPr>
          <w:jc w:val="center"/>
        </w:trPr>
        <w:tc>
          <w:tcPr>
            <w:tcW w:w="3555"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48D8D898" w14:textId="16F50C48" w:rsidR="002B32F4" w:rsidRPr="00192F6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#1: Green/Nature-inspired</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41FA1769" w14:textId="2E5E4385" w:rsidR="002B32F4" w:rsidRPr="00192F6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56%</w:t>
            </w:r>
          </w:p>
        </w:tc>
        <w:tc>
          <w:tcPr>
            <w:tcW w:w="3557"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3260E8F8" w14:textId="4EF6C560"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w:t>
            </w:r>
            <w:r>
              <w:rPr>
                <w:rFonts w:ascii="Verdana" w:eastAsia="Times New Roman" w:hAnsi="Verdana"/>
                <w:noProof/>
                <w:sz w:val="20"/>
                <w:szCs w:val="20"/>
              </w:rPr>
              <w:t>9</w:t>
            </w:r>
            <w:r>
              <w:rPr>
                <w:rFonts w:ascii="Verdana" w:eastAsia="Times New Roman" w:hAnsi="Verdana"/>
                <w:noProof/>
                <w:sz w:val="20"/>
                <w:szCs w:val="20"/>
              </w:rPr>
              <w:t>: Animal patterns</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4AD6330E" w14:textId="0FF44D96"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14%</w:t>
            </w:r>
          </w:p>
        </w:tc>
      </w:tr>
      <w:tr w:rsidR="002B32F4" w:rsidRPr="00192F64" w14:paraId="60B46F4E"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1D254AD4" w14:textId="66D7BA3A" w:rsidR="002B32F4" w:rsidRPr="00192F6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#2: Chinoiserie design</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3AB46BF3" w14:textId="227CF5BC" w:rsidR="002B32F4" w:rsidRPr="00192F6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28%</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369E2750" w14:textId="021C97B8"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w:t>
            </w:r>
            <w:r>
              <w:rPr>
                <w:rFonts w:ascii="Verdana" w:eastAsia="Times New Roman" w:hAnsi="Verdana"/>
                <w:noProof/>
                <w:sz w:val="20"/>
                <w:szCs w:val="20"/>
              </w:rPr>
              <w:t>10</w:t>
            </w:r>
            <w:r>
              <w:rPr>
                <w:rFonts w:ascii="Verdana" w:eastAsia="Times New Roman" w:hAnsi="Verdana"/>
                <w:noProof/>
                <w:sz w:val="20"/>
                <w:szCs w:val="20"/>
              </w:rPr>
              <w:t>: Tropical/Jungle</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6C570053" w14:textId="591EC737"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14%</w:t>
            </w:r>
          </w:p>
        </w:tc>
      </w:tr>
      <w:tr w:rsidR="002B32F4" w:rsidRPr="00192F64" w14:paraId="70CDFBED"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051EE69F" w14:textId="150CED72" w:rsidR="002B32F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 Geometric</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0D8208BA" w14:textId="2161EEE2"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28%</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50958C6E" w14:textId="5FAD3CBB"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w:t>
            </w:r>
            <w:r>
              <w:rPr>
                <w:rFonts w:ascii="Verdana" w:eastAsia="Times New Roman" w:hAnsi="Verdana"/>
                <w:noProof/>
                <w:sz w:val="20"/>
                <w:szCs w:val="20"/>
              </w:rPr>
              <w:t>1</w:t>
            </w:r>
            <w:r>
              <w:rPr>
                <w:rFonts w:ascii="Verdana" w:eastAsia="Times New Roman" w:hAnsi="Verdana"/>
                <w:noProof/>
                <w:sz w:val="20"/>
                <w:szCs w:val="20"/>
              </w:rPr>
              <w:t>: Terrazzo</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tcPr>
          <w:p w14:paraId="14392F08" w14:textId="3F6E974A"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13%</w:t>
            </w:r>
          </w:p>
        </w:tc>
      </w:tr>
      <w:tr w:rsidR="002B32F4" w:rsidRPr="00192F64" w14:paraId="1C8DCA34"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794C580C" w14:textId="58A93788" w:rsidR="002B32F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#4: Murals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00DAC577" w14:textId="7CDB5CEF"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27%</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63D61881" w14:textId="533113CE"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w:t>
            </w:r>
            <w:r>
              <w:rPr>
                <w:rFonts w:ascii="Verdana" w:eastAsia="Times New Roman" w:hAnsi="Verdana"/>
                <w:noProof/>
                <w:sz w:val="20"/>
                <w:szCs w:val="20"/>
              </w:rPr>
              <w:t>2</w:t>
            </w:r>
            <w:r>
              <w:rPr>
                <w:rFonts w:ascii="Verdana" w:eastAsia="Times New Roman" w:hAnsi="Verdana"/>
                <w:noProof/>
                <w:sz w:val="20"/>
                <w:szCs w:val="20"/>
              </w:rPr>
              <w:t>: Textured brush strokes</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tcPr>
          <w:p w14:paraId="2777087F" w14:textId="19B0ED93"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13%</w:t>
            </w:r>
          </w:p>
        </w:tc>
      </w:tr>
      <w:tr w:rsidR="002B32F4" w:rsidRPr="00192F64" w14:paraId="0E17C92D"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0812522C" w14:textId="5133A209" w:rsidR="002B32F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#5: Art deco</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41E72220" w14:textId="16D75D7F"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23%</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5B14EBAE" w14:textId="34D59442"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w:t>
            </w:r>
            <w:r>
              <w:rPr>
                <w:rFonts w:ascii="Verdana" w:eastAsia="Times New Roman" w:hAnsi="Verdana"/>
                <w:noProof/>
                <w:sz w:val="20"/>
                <w:szCs w:val="20"/>
              </w:rPr>
              <w:t>3</w:t>
            </w:r>
            <w:r>
              <w:rPr>
                <w:rFonts w:ascii="Verdana" w:eastAsia="Times New Roman" w:hAnsi="Verdana"/>
                <w:noProof/>
                <w:sz w:val="20"/>
                <w:szCs w:val="20"/>
              </w:rPr>
              <w:t>: Blue wallpaper</w:t>
            </w:r>
          </w:p>
        </w:tc>
        <w:tc>
          <w:tcPr>
            <w:tcW w:w="1267" w:type="dxa"/>
            <w:tcBorders>
              <w:top w:val="single" w:sz="4" w:space="0" w:color="auto"/>
              <w:left w:val="single" w:sz="8" w:space="0" w:color="0070C0"/>
              <w:bottom w:val="single" w:sz="4" w:space="0" w:color="000000"/>
              <w:right w:val="single" w:sz="12" w:space="0" w:color="000000"/>
            </w:tcBorders>
            <w:shd w:val="clear" w:color="auto" w:fill="D6E3BC" w:themeFill="accent3" w:themeFillTint="66"/>
          </w:tcPr>
          <w:p w14:paraId="4CA26C0B" w14:textId="3FF44640"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11%</w:t>
            </w:r>
          </w:p>
        </w:tc>
      </w:tr>
      <w:tr w:rsidR="002B32F4" w:rsidRPr="00192F64" w14:paraId="0F60AF8E"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2946B1E1" w14:textId="0CAE84B5" w:rsidR="002B32F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#6: Earthy brown/orange colors</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1822C51B" w14:textId="0E649732"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19%</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08F05169" w14:textId="42851494"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w:t>
            </w:r>
            <w:r>
              <w:rPr>
                <w:rFonts w:ascii="Verdana" w:eastAsia="Times New Roman" w:hAnsi="Verdana"/>
                <w:noProof/>
                <w:sz w:val="20"/>
                <w:szCs w:val="20"/>
              </w:rPr>
              <w:t>4</w:t>
            </w:r>
            <w:r>
              <w:rPr>
                <w:rFonts w:ascii="Verdana" w:eastAsia="Times New Roman" w:hAnsi="Verdana"/>
                <w:noProof/>
                <w:sz w:val="20"/>
                <w:szCs w:val="20"/>
              </w:rPr>
              <w:t>:</w:t>
            </w:r>
            <w:r>
              <w:rPr>
                <w:rFonts w:ascii="Verdana" w:eastAsia="Times New Roman" w:hAnsi="Verdana"/>
                <w:noProof/>
                <w:sz w:val="20"/>
                <w:szCs w:val="20"/>
              </w:rPr>
              <w:t xml:space="preserve"> Wallpaper inserts</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066FF041" w14:textId="10A6C54B"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8%</w:t>
            </w:r>
          </w:p>
        </w:tc>
      </w:tr>
      <w:tr w:rsidR="002B32F4" w:rsidRPr="00192F64" w14:paraId="79D86C3D"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0B3B8812" w14:textId="66896702" w:rsidR="002B32F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#7: Retro</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05DFD7D6" w14:textId="0DF9133B"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17%</w:t>
            </w:r>
          </w:p>
        </w:tc>
        <w:tc>
          <w:tcPr>
            <w:tcW w:w="3557" w:type="dxa"/>
            <w:tcBorders>
              <w:top w:val="single" w:sz="4" w:space="0" w:color="auto"/>
              <w:left w:val="single" w:sz="18" w:space="0" w:color="0070C0"/>
              <w:bottom w:val="single" w:sz="4" w:space="0" w:color="000000"/>
              <w:right w:val="single" w:sz="8" w:space="0" w:color="0070C0"/>
            </w:tcBorders>
            <w:shd w:val="clear" w:color="auto" w:fill="auto"/>
            <w:vAlign w:val="center"/>
          </w:tcPr>
          <w:p w14:paraId="7767D02E" w14:textId="00290C9C"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#15: Other</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64AA71B0" w14:textId="35B7A268" w:rsidR="002B32F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w:t>
            </w:r>
          </w:p>
        </w:tc>
      </w:tr>
      <w:tr w:rsidR="002B32F4" w:rsidRPr="00192F64" w14:paraId="7D6B56C0" w14:textId="77777777" w:rsidTr="002B32F4">
        <w:tblPrEx>
          <w:tblBorders>
            <w:top w:val="none" w:sz="0" w:space="0" w:color="auto"/>
          </w:tblBorders>
        </w:tblPrEx>
        <w:trPr>
          <w:jc w:val="center"/>
        </w:trPr>
        <w:tc>
          <w:tcPr>
            <w:tcW w:w="3555"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EBD514C" w14:textId="7CC1B937" w:rsidR="002B32F4" w:rsidRPr="00192F64" w:rsidRDefault="002B32F4" w:rsidP="002B32F4">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#8: Playful patterns</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3FE4DB9A" w14:textId="193373C4" w:rsidR="002B32F4" w:rsidRPr="00192F6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17%</w:t>
            </w:r>
          </w:p>
        </w:tc>
        <w:tc>
          <w:tcPr>
            <w:tcW w:w="3557" w:type="dxa"/>
            <w:tcBorders>
              <w:top w:val="single" w:sz="4" w:space="0" w:color="000000"/>
              <w:left w:val="single" w:sz="18" w:space="0" w:color="0070C0"/>
              <w:bottom w:val="single" w:sz="12" w:space="0" w:color="000000"/>
              <w:right w:val="single" w:sz="8" w:space="0" w:color="0070C0"/>
            </w:tcBorders>
            <w:shd w:val="clear" w:color="auto" w:fill="F2F2F2" w:themeFill="background1" w:themeFillShade="F2"/>
            <w:vAlign w:val="center"/>
          </w:tcPr>
          <w:p w14:paraId="49C97AB0" w14:textId="77777777" w:rsidR="002B32F4" w:rsidRPr="00192F6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F2F2F2" w:themeFill="background1" w:themeFillShade="F2"/>
          </w:tcPr>
          <w:p w14:paraId="51748050" w14:textId="77777777" w:rsidR="002B32F4" w:rsidRPr="00192F64" w:rsidRDefault="002B32F4" w:rsidP="002B32F4">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p>
        </w:tc>
      </w:tr>
    </w:tbl>
    <w:p w14:paraId="19EBEDDA" w14:textId="77777777" w:rsidR="008D2E8B" w:rsidRDefault="008D2E8B" w:rsidP="002B32F4">
      <w:pPr>
        <w:spacing w:after="0" w:line="240" w:lineRule="auto"/>
        <w:contextualSpacing/>
        <w:mirrorIndents/>
        <w:rPr>
          <w:rFonts w:ascii="Verdana" w:hAnsi="Verdana"/>
          <w:noProof/>
          <w:sz w:val="16"/>
          <w:szCs w:val="16"/>
        </w:rPr>
      </w:pPr>
      <w:r>
        <w:rPr>
          <w:rFonts w:ascii="Verdana" w:hAnsi="Verdana"/>
          <w:noProof/>
          <w:sz w:val="16"/>
          <w:szCs w:val="16"/>
        </w:rPr>
        <w:t>Fixr</w:t>
      </w:r>
      <w:r w:rsidRPr="00BE37C6">
        <w:rPr>
          <w:rFonts w:ascii="Verdana" w:hAnsi="Verdana"/>
          <w:noProof/>
          <w:sz w:val="16"/>
          <w:szCs w:val="16"/>
        </w:rPr>
        <w:t xml:space="preserve">, </w:t>
      </w:r>
      <w:r>
        <w:rPr>
          <w:rFonts w:ascii="Verdana" w:hAnsi="Verdana"/>
          <w:noProof/>
          <w:sz w:val="16"/>
          <w:szCs w:val="16"/>
        </w:rPr>
        <w:t>March 2022</w:t>
      </w:r>
    </w:p>
    <w:p w14:paraId="78E679E8" w14:textId="77777777" w:rsidR="00F94CE8" w:rsidRDefault="00F94CE8" w:rsidP="00F94CE8">
      <w:pPr>
        <w:pStyle w:val="NoSpacing"/>
        <w:contextualSpacing/>
        <w:rPr>
          <w:sz w:val="20"/>
          <w:szCs w:val="20"/>
        </w:rPr>
      </w:pPr>
    </w:p>
    <w:p w14:paraId="74DDABE4" w14:textId="59B24D11" w:rsidR="00CD2855" w:rsidRPr="00192F64" w:rsidRDefault="00CD2855" w:rsidP="00CD2855">
      <w:pPr>
        <w:pStyle w:val="Header"/>
        <w:contextualSpacing/>
        <w:jc w:val="center"/>
        <w:rPr>
          <w:rFonts w:ascii="Verdana" w:hAnsi="Verdana"/>
          <w:b/>
          <w:noProof/>
          <w:sz w:val="20"/>
          <w:szCs w:val="20"/>
        </w:rPr>
      </w:pPr>
      <w:r>
        <w:rPr>
          <w:rFonts w:ascii="Verdana" w:hAnsi="Verdana"/>
          <w:b/>
          <w:noProof/>
          <w:sz w:val="20"/>
          <w:szCs w:val="20"/>
        </w:rPr>
        <w:t xml:space="preserve">Designers’ Top Choices for </w:t>
      </w:r>
      <w:r>
        <w:rPr>
          <w:rFonts w:ascii="Verdana" w:hAnsi="Verdana"/>
          <w:b/>
          <w:noProof/>
          <w:sz w:val="20"/>
          <w:szCs w:val="20"/>
        </w:rPr>
        <w:t>Front Door</w:t>
      </w:r>
      <w:r>
        <w:rPr>
          <w:rFonts w:ascii="Verdana" w:hAnsi="Verdana"/>
          <w:b/>
          <w:noProof/>
          <w:sz w:val="20"/>
          <w:szCs w:val="20"/>
        </w:rPr>
        <w:t xml:space="preserve"> Colors, January 2022</w:t>
      </w:r>
    </w:p>
    <w:tbl>
      <w:tblPr>
        <w:tblW w:w="6568"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16"/>
        <w:gridCol w:w="1267"/>
        <w:gridCol w:w="2018"/>
        <w:gridCol w:w="1267"/>
      </w:tblGrid>
      <w:tr w:rsidR="00CD2855" w:rsidRPr="00192F64" w14:paraId="68A3032E" w14:textId="77777777" w:rsidTr="00CD2855">
        <w:trPr>
          <w:jc w:val="center"/>
        </w:trPr>
        <w:tc>
          <w:tcPr>
            <w:tcW w:w="2016" w:type="dxa"/>
            <w:tcBorders>
              <w:top w:val="single" w:sz="12" w:space="0" w:color="000000"/>
              <w:left w:val="single" w:sz="12" w:space="0" w:color="000000"/>
              <w:bottom w:val="single" w:sz="18" w:space="0" w:color="C0504D" w:themeColor="accent2"/>
              <w:right w:val="single" w:sz="8" w:space="0" w:color="0070C0"/>
            </w:tcBorders>
            <w:vAlign w:val="center"/>
          </w:tcPr>
          <w:p w14:paraId="7718399E" w14:textId="3F72302B" w:rsidR="00CD2855" w:rsidRPr="00192F64" w:rsidRDefault="00CD2855" w:rsidP="008728C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Color</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776762E6" w14:textId="77777777" w:rsidR="00CD2855" w:rsidRPr="00192F64" w:rsidRDefault="00CD2855" w:rsidP="008728C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c>
          <w:tcPr>
            <w:tcW w:w="2018" w:type="dxa"/>
            <w:tcBorders>
              <w:top w:val="single" w:sz="12" w:space="0" w:color="000000"/>
              <w:left w:val="single" w:sz="18" w:space="0" w:color="0070C0"/>
              <w:bottom w:val="single" w:sz="18" w:space="0" w:color="C0504D" w:themeColor="accent2"/>
              <w:right w:val="single" w:sz="8" w:space="0" w:color="0070C0"/>
            </w:tcBorders>
            <w:vAlign w:val="center"/>
          </w:tcPr>
          <w:p w14:paraId="5449FF2D" w14:textId="58169A30" w:rsidR="00CD2855" w:rsidRDefault="00CD2855" w:rsidP="008728C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Color</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5CF314C" w14:textId="77777777" w:rsidR="00CD2855" w:rsidRDefault="00CD2855" w:rsidP="008728C9">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r>
      <w:tr w:rsidR="00CD2855" w:rsidRPr="00192F64" w14:paraId="5663BB8C" w14:textId="77777777" w:rsidTr="00CD2855">
        <w:tblPrEx>
          <w:tblBorders>
            <w:top w:val="none" w:sz="0" w:space="0" w:color="auto"/>
          </w:tblBorders>
        </w:tblPrEx>
        <w:trPr>
          <w:jc w:val="center"/>
        </w:trPr>
        <w:tc>
          <w:tcPr>
            <w:tcW w:w="2016" w:type="dxa"/>
            <w:tcBorders>
              <w:top w:val="single" w:sz="18" w:space="0" w:color="C0504D" w:themeColor="accent2"/>
              <w:left w:val="single" w:sz="12" w:space="0" w:color="000000"/>
              <w:bottom w:val="single" w:sz="4" w:space="0" w:color="000000"/>
              <w:right w:val="single" w:sz="8" w:space="0" w:color="0070C0"/>
            </w:tcBorders>
            <w:shd w:val="clear" w:color="auto" w:fill="auto"/>
            <w:vAlign w:val="center"/>
          </w:tcPr>
          <w:p w14:paraId="50BDDBFE" w14:textId="1AFFD783" w:rsidR="00CD2855" w:rsidRPr="00192F64" w:rsidRDefault="00CD2855"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#1: Black</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1EAD88C6" w14:textId="5B23B7B4" w:rsidR="00CD2855" w:rsidRPr="00192F64"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56%</w:t>
            </w:r>
          </w:p>
        </w:tc>
        <w:tc>
          <w:tcPr>
            <w:tcW w:w="2018"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0264E42F" w14:textId="586F0C74"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#6: Burnt orange</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EAF1DD" w:themeFill="accent3" w:themeFillTint="33"/>
            <w:vAlign w:val="center"/>
          </w:tcPr>
          <w:p w14:paraId="739280CA" w14:textId="5936375A"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9%</w:t>
            </w:r>
          </w:p>
        </w:tc>
      </w:tr>
      <w:tr w:rsidR="00CD2855" w:rsidRPr="00192F64" w14:paraId="01F716A6" w14:textId="77777777" w:rsidTr="00CD2855">
        <w:tblPrEx>
          <w:tblBorders>
            <w:top w:val="none" w:sz="0" w:space="0" w:color="auto"/>
          </w:tblBorders>
        </w:tblPrEx>
        <w:trPr>
          <w:jc w:val="center"/>
        </w:trPr>
        <w:tc>
          <w:tcPr>
            <w:tcW w:w="2016"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2F15455E" w14:textId="165D25D0" w:rsidR="00CD2855" w:rsidRDefault="00CD2855"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#2: Wood tones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5E12E8A2" w14:textId="1A4670A2"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36%</w:t>
            </w:r>
          </w:p>
        </w:tc>
        <w:tc>
          <w:tcPr>
            <w:tcW w:w="2018" w:type="dxa"/>
            <w:tcBorders>
              <w:top w:val="single" w:sz="4" w:space="0" w:color="auto"/>
              <w:left w:val="single" w:sz="18" w:space="0" w:color="0070C0"/>
              <w:bottom w:val="single" w:sz="4" w:space="0" w:color="000000"/>
              <w:right w:val="single" w:sz="8" w:space="0" w:color="0070C0"/>
            </w:tcBorders>
            <w:shd w:val="clear" w:color="auto" w:fill="auto"/>
            <w:vAlign w:val="center"/>
          </w:tcPr>
          <w:p w14:paraId="1673859E" w14:textId="504FD19D"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#7: Red</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68D9AE0D" w14:textId="16C2201F"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8%</w:t>
            </w:r>
          </w:p>
        </w:tc>
      </w:tr>
      <w:tr w:rsidR="00CD2855" w:rsidRPr="00192F64" w14:paraId="6C4A1BAD" w14:textId="77777777" w:rsidTr="00CD2855">
        <w:tblPrEx>
          <w:tblBorders>
            <w:top w:val="none" w:sz="0" w:space="0" w:color="auto"/>
          </w:tblBorders>
        </w:tblPrEx>
        <w:trPr>
          <w:jc w:val="center"/>
        </w:trPr>
        <w:tc>
          <w:tcPr>
            <w:tcW w:w="2016"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7F2C7D52" w14:textId="18E76997" w:rsidR="00CD2855" w:rsidRDefault="00CD2855"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#3: Royal blue</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68D0BAA2" w14:textId="23D893F5"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22%</w:t>
            </w:r>
          </w:p>
        </w:tc>
        <w:tc>
          <w:tcPr>
            <w:tcW w:w="2018" w:type="dxa"/>
            <w:tcBorders>
              <w:top w:val="single" w:sz="4" w:space="0" w:color="auto"/>
              <w:left w:val="single" w:sz="18" w:space="0" w:color="0070C0"/>
              <w:bottom w:val="single" w:sz="4" w:space="0" w:color="000000"/>
              <w:right w:val="single" w:sz="8" w:space="0" w:color="0070C0"/>
            </w:tcBorders>
            <w:shd w:val="clear" w:color="auto" w:fill="auto"/>
            <w:vAlign w:val="center"/>
          </w:tcPr>
          <w:p w14:paraId="2A94D5C2" w14:textId="4B1B7F56"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#8: Yellow</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2AD94573" w14:textId="76FB77AA"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w:t>
            </w:r>
          </w:p>
        </w:tc>
      </w:tr>
      <w:tr w:rsidR="00CD2855" w:rsidRPr="00192F64" w14:paraId="13B5FED5" w14:textId="77777777" w:rsidTr="00CD2855">
        <w:tblPrEx>
          <w:tblBorders>
            <w:top w:val="none" w:sz="0" w:space="0" w:color="auto"/>
          </w:tblBorders>
        </w:tblPrEx>
        <w:trPr>
          <w:jc w:val="center"/>
        </w:trPr>
        <w:tc>
          <w:tcPr>
            <w:tcW w:w="2016" w:type="dxa"/>
            <w:tcBorders>
              <w:top w:val="single" w:sz="4" w:space="0" w:color="000000"/>
              <w:left w:val="single" w:sz="12" w:space="0" w:color="000000"/>
              <w:bottom w:val="single" w:sz="4" w:space="0" w:color="000000"/>
              <w:right w:val="single" w:sz="8" w:space="0" w:color="0070C0"/>
            </w:tcBorders>
            <w:shd w:val="clear" w:color="auto" w:fill="auto"/>
            <w:vAlign w:val="center"/>
          </w:tcPr>
          <w:p w14:paraId="72149FF3" w14:textId="2793ABBC" w:rsidR="00CD2855" w:rsidRDefault="00CD2855"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#4: Hunter green</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1C4920E5" w14:textId="6C51660B"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19%</w:t>
            </w:r>
          </w:p>
        </w:tc>
        <w:tc>
          <w:tcPr>
            <w:tcW w:w="2018" w:type="dxa"/>
            <w:tcBorders>
              <w:top w:val="single" w:sz="4" w:space="0" w:color="auto"/>
              <w:left w:val="single" w:sz="18" w:space="0" w:color="0070C0"/>
              <w:bottom w:val="single" w:sz="4" w:space="0" w:color="000000"/>
              <w:right w:val="single" w:sz="8" w:space="0" w:color="0070C0"/>
            </w:tcBorders>
            <w:shd w:val="clear" w:color="auto" w:fill="auto"/>
            <w:vAlign w:val="center"/>
          </w:tcPr>
          <w:p w14:paraId="3C7FAF28" w14:textId="1DD49C4C"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#9: Other</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096F73B1" w14:textId="5100EA60" w:rsidR="00CD2855"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w:t>
            </w:r>
          </w:p>
        </w:tc>
      </w:tr>
      <w:tr w:rsidR="00CD2855" w:rsidRPr="00192F64" w14:paraId="7951C568" w14:textId="77777777" w:rsidTr="00CD2855">
        <w:tblPrEx>
          <w:tblBorders>
            <w:top w:val="none" w:sz="0" w:space="0" w:color="auto"/>
          </w:tblBorders>
        </w:tblPrEx>
        <w:trPr>
          <w:jc w:val="center"/>
        </w:trPr>
        <w:tc>
          <w:tcPr>
            <w:tcW w:w="2016"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47FDE754" w14:textId="72C91D75" w:rsidR="00CD2855" w:rsidRPr="00192F64" w:rsidRDefault="00CD2855" w:rsidP="008728C9">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#5: Sage green</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72A052F6" w14:textId="59DEAF0B" w:rsidR="00CD2855" w:rsidRPr="00192F64"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16%</w:t>
            </w:r>
          </w:p>
        </w:tc>
        <w:tc>
          <w:tcPr>
            <w:tcW w:w="2018"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0B9B9238" w14:textId="77777777" w:rsidR="00CD2855" w:rsidRPr="00192F64"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tcPr>
          <w:p w14:paraId="6A4522B7" w14:textId="77777777" w:rsidR="00CD2855" w:rsidRPr="00192F64" w:rsidRDefault="00CD2855" w:rsidP="008728C9">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p>
        </w:tc>
      </w:tr>
    </w:tbl>
    <w:p w14:paraId="510F1B72" w14:textId="05BB9BB7" w:rsidR="00CD2855" w:rsidRDefault="00CD2855" w:rsidP="00CD2855">
      <w:pPr>
        <w:tabs>
          <w:tab w:val="left" w:pos="1440"/>
        </w:tabs>
        <w:spacing w:after="0" w:line="240" w:lineRule="auto"/>
        <w:contextualSpacing/>
        <w:mirrorIndents/>
        <w:rPr>
          <w:rFonts w:ascii="Verdana" w:hAnsi="Verdana"/>
          <w:noProof/>
          <w:sz w:val="16"/>
          <w:szCs w:val="16"/>
        </w:rPr>
      </w:pPr>
      <w:r>
        <w:rPr>
          <w:rFonts w:ascii="Verdana" w:hAnsi="Verdana"/>
          <w:noProof/>
          <w:sz w:val="16"/>
          <w:szCs w:val="16"/>
        </w:rPr>
        <w:tab/>
      </w:r>
      <w:r>
        <w:rPr>
          <w:rFonts w:ascii="Verdana" w:hAnsi="Verdana"/>
          <w:noProof/>
          <w:sz w:val="16"/>
          <w:szCs w:val="16"/>
        </w:rPr>
        <w:t>Fixr</w:t>
      </w:r>
      <w:r w:rsidRPr="00BE37C6">
        <w:rPr>
          <w:rFonts w:ascii="Verdana" w:hAnsi="Verdana"/>
          <w:noProof/>
          <w:sz w:val="16"/>
          <w:szCs w:val="16"/>
        </w:rPr>
        <w:t xml:space="preserve">, </w:t>
      </w:r>
      <w:r>
        <w:rPr>
          <w:rFonts w:ascii="Verdana" w:hAnsi="Verdana"/>
          <w:noProof/>
          <w:sz w:val="16"/>
          <w:szCs w:val="16"/>
        </w:rPr>
        <w:t>March 2022</w:t>
      </w:r>
    </w:p>
    <w:p w14:paraId="3CDFB8E2" w14:textId="77777777" w:rsidR="00F94CE8" w:rsidRDefault="00F94CE8" w:rsidP="00F94CE8">
      <w:pPr>
        <w:pStyle w:val="NoSpacing"/>
        <w:contextualSpacing/>
        <w:rPr>
          <w:sz w:val="20"/>
          <w:szCs w:val="20"/>
        </w:rPr>
      </w:pPr>
    </w:p>
    <w:p w14:paraId="6DC49CD3" w14:textId="77777777" w:rsidR="00F94CE8" w:rsidRDefault="00F94CE8" w:rsidP="00F94CE8">
      <w:pPr>
        <w:pStyle w:val="NoSpacing"/>
        <w:contextualSpacing/>
        <w:rPr>
          <w:sz w:val="20"/>
          <w:szCs w:val="20"/>
        </w:rPr>
      </w:pPr>
    </w:p>
    <w:p w14:paraId="2AC14BFB" w14:textId="77777777" w:rsidR="00F94CE8" w:rsidRDefault="00F94CE8" w:rsidP="00F94CE8">
      <w:pPr>
        <w:pStyle w:val="NoSpacing"/>
        <w:contextualSpacing/>
        <w:rPr>
          <w:sz w:val="20"/>
          <w:szCs w:val="20"/>
        </w:rPr>
      </w:pP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14500FC4" w14:textId="1568BB27" w:rsidR="00F94CE8" w:rsidRDefault="00F94CE8" w:rsidP="00F94CE8">
      <w:pPr>
        <w:pStyle w:val="NoSpacing"/>
        <w:contextualSpacing/>
        <w:rPr>
          <w:sz w:val="20"/>
          <w:szCs w:val="20"/>
        </w:rPr>
      </w:pPr>
    </w:p>
    <w:p w14:paraId="59061F11" w14:textId="77777777" w:rsidR="00CD2855" w:rsidRDefault="00CD2855" w:rsidP="00F94CE8">
      <w:pPr>
        <w:pStyle w:val="NoSpacing"/>
        <w:contextualSpacing/>
        <w:rPr>
          <w:sz w:val="20"/>
          <w:szCs w:val="20"/>
        </w:rPr>
      </w:pPr>
    </w:p>
    <w:p w14:paraId="5E798886" w14:textId="77777777" w:rsidR="00F94CE8" w:rsidRDefault="00F94CE8" w:rsidP="00F94CE8">
      <w:pPr>
        <w:pStyle w:val="NoSpacing"/>
        <w:contextualSpacing/>
        <w:rPr>
          <w:sz w:val="20"/>
          <w:szCs w:val="20"/>
        </w:rPr>
      </w:pPr>
    </w:p>
    <w:p w14:paraId="777770F7"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62FB7369" w:rsidR="00F94CE8" w:rsidRPr="00754E4A" w:rsidRDefault="00F94CE8" w:rsidP="00F94CE8">
      <w:pPr>
        <w:spacing w:after="0" w:line="240" w:lineRule="auto"/>
        <w:rPr>
          <w:rFonts w:ascii="Verdana" w:hAnsi="Verdana"/>
          <w:sz w:val="16"/>
          <w:szCs w:val="16"/>
        </w:rPr>
      </w:pPr>
      <w:r w:rsidRPr="00754E4A">
        <w:rPr>
          <w:rFonts w:ascii="Verdana" w:hAnsi="Verdana"/>
          <w:i/>
          <w:sz w:val="16"/>
          <w:szCs w:val="16"/>
        </w:rPr>
        <w:t>Sources:</w:t>
      </w:r>
      <w:r w:rsidRPr="00754E4A">
        <w:rPr>
          <w:rFonts w:ascii="Verdana" w:hAnsi="Verdana"/>
          <w:sz w:val="16"/>
          <w:szCs w:val="16"/>
        </w:rPr>
        <w:t xml:space="preserve"> </w:t>
      </w:r>
      <w:r w:rsidR="00754E4A" w:rsidRPr="00754E4A">
        <w:rPr>
          <w:sz w:val="16"/>
          <w:szCs w:val="16"/>
        </w:rPr>
        <w:t xml:space="preserve">US Census Bureau </w:t>
      </w:r>
      <w:r w:rsidRPr="00754E4A">
        <w:rPr>
          <w:rFonts w:ascii="Verdana" w:hAnsi="Verdana"/>
          <w:sz w:val="16"/>
          <w:szCs w:val="16"/>
        </w:rPr>
        <w:t xml:space="preserve">Website, </w:t>
      </w:r>
      <w:r w:rsidR="0045797F" w:rsidRPr="00754E4A">
        <w:rPr>
          <w:rFonts w:ascii="Verdana" w:hAnsi="Verdana"/>
          <w:sz w:val="16"/>
          <w:szCs w:val="16"/>
        </w:rPr>
        <w:t>3</w:t>
      </w:r>
      <w:r w:rsidR="00306D88" w:rsidRPr="00754E4A">
        <w:rPr>
          <w:rFonts w:ascii="Verdana" w:hAnsi="Verdana"/>
          <w:sz w:val="16"/>
          <w:szCs w:val="16"/>
        </w:rPr>
        <w:t>/</w:t>
      </w:r>
      <w:r w:rsidR="00AE6B2A" w:rsidRPr="00754E4A">
        <w:rPr>
          <w:rFonts w:ascii="Verdana" w:hAnsi="Verdana"/>
          <w:sz w:val="16"/>
          <w:szCs w:val="16"/>
        </w:rPr>
        <w:t>2</w:t>
      </w:r>
      <w:r w:rsidR="00C8473A" w:rsidRPr="00754E4A">
        <w:rPr>
          <w:rFonts w:ascii="Verdana" w:hAnsi="Verdana"/>
          <w:sz w:val="16"/>
          <w:szCs w:val="16"/>
        </w:rPr>
        <w:t>2</w:t>
      </w:r>
      <w:r w:rsidRPr="00754E4A">
        <w:rPr>
          <w:rFonts w:ascii="Verdana" w:hAnsi="Verdana"/>
          <w:sz w:val="16"/>
          <w:szCs w:val="16"/>
        </w:rPr>
        <w:t xml:space="preserve">; </w:t>
      </w:r>
      <w:r w:rsidR="00754E4A" w:rsidRPr="00754E4A">
        <w:rPr>
          <w:i/>
          <w:iCs/>
          <w:sz w:val="16"/>
          <w:szCs w:val="16"/>
        </w:rPr>
        <w:t>Home Accents Today</w:t>
      </w:r>
      <w:r w:rsidR="00754E4A" w:rsidRPr="00754E4A">
        <w:rPr>
          <w:sz w:val="16"/>
          <w:szCs w:val="16"/>
        </w:rPr>
        <w:t xml:space="preserve"> </w:t>
      </w:r>
      <w:r w:rsidRPr="00754E4A">
        <w:rPr>
          <w:rFonts w:ascii="Verdana" w:hAnsi="Verdana"/>
          <w:sz w:val="16"/>
          <w:szCs w:val="16"/>
        </w:rPr>
        <w:t xml:space="preserve">Website, </w:t>
      </w:r>
      <w:r w:rsidR="0045797F" w:rsidRPr="00754E4A">
        <w:rPr>
          <w:rFonts w:ascii="Verdana" w:hAnsi="Verdana"/>
          <w:sz w:val="16"/>
          <w:szCs w:val="16"/>
        </w:rPr>
        <w:t>3</w:t>
      </w:r>
      <w:r w:rsidR="004E421A" w:rsidRPr="00754E4A">
        <w:rPr>
          <w:rFonts w:ascii="Verdana" w:hAnsi="Verdana"/>
          <w:sz w:val="16"/>
          <w:szCs w:val="16"/>
        </w:rPr>
        <w:t>/</w:t>
      </w:r>
      <w:r w:rsidR="00AE6B2A" w:rsidRPr="00754E4A">
        <w:rPr>
          <w:rFonts w:ascii="Verdana" w:hAnsi="Verdana"/>
          <w:sz w:val="16"/>
          <w:szCs w:val="16"/>
        </w:rPr>
        <w:t>2</w:t>
      </w:r>
      <w:r w:rsidR="00C8473A" w:rsidRPr="00754E4A">
        <w:rPr>
          <w:rFonts w:ascii="Verdana" w:hAnsi="Verdana"/>
          <w:sz w:val="16"/>
          <w:szCs w:val="16"/>
        </w:rPr>
        <w:t>2</w:t>
      </w:r>
      <w:r w:rsidRPr="00754E4A">
        <w:rPr>
          <w:rFonts w:ascii="Verdana" w:hAnsi="Verdana"/>
          <w:sz w:val="16"/>
          <w:szCs w:val="16"/>
        </w:rPr>
        <w:t xml:space="preserve">; </w:t>
      </w:r>
      <w:r w:rsidR="00754E4A" w:rsidRPr="00754E4A">
        <w:rPr>
          <w:sz w:val="16"/>
          <w:szCs w:val="16"/>
        </w:rPr>
        <w:t>Reuters</w:t>
      </w:r>
      <w:r w:rsidR="00754E4A" w:rsidRPr="00754E4A">
        <w:rPr>
          <w:rFonts w:ascii="Verdana" w:hAnsi="Verdana"/>
          <w:sz w:val="16"/>
          <w:szCs w:val="16"/>
        </w:rPr>
        <w:t xml:space="preserve"> </w:t>
      </w:r>
      <w:r w:rsidRPr="00754E4A">
        <w:rPr>
          <w:rFonts w:ascii="Verdana" w:hAnsi="Verdana"/>
          <w:sz w:val="16"/>
          <w:szCs w:val="16"/>
        </w:rPr>
        <w:t>Website</w:t>
      </w:r>
      <w:r w:rsidR="00A00453" w:rsidRPr="00754E4A">
        <w:rPr>
          <w:rFonts w:ascii="Verdana" w:hAnsi="Verdana"/>
          <w:sz w:val="16"/>
          <w:szCs w:val="16"/>
        </w:rPr>
        <w:t xml:space="preserve">, </w:t>
      </w:r>
      <w:r w:rsidR="0045797F" w:rsidRPr="00754E4A">
        <w:rPr>
          <w:rFonts w:ascii="Verdana" w:hAnsi="Verdana"/>
          <w:sz w:val="16"/>
          <w:szCs w:val="16"/>
        </w:rPr>
        <w:t>3</w:t>
      </w:r>
      <w:r w:rsidR="00306D88" w:rsidRPr="00754E4A">
        <w:rPr>
          <w:rFonts w:ascii="Verdana" w:hAnsi="Verdana"/>
          <w:sz w:val="16"/>
          <w:szCs w:val="16"/>
        </w:rPr>
        <w:t>/</w:t>
      </w:r>
      <w:r w:rsidR="00AE6B2A" w:rsidRPr="00754E4A">
        <w:rPr>
          <w:rFonts w:ascii="Verdana" w:hAnsi="Verdana"/>
          <w:sz w:val="16"/>
          <w:szCs w:val="16"/>
        </w:rPr>
        <w:t>2</w:t>
      </w:r>
      <w:r w:rsidR="00C8473A" w:rsidRPr="00754E4A">
        <w:rPr>
          <w:rFonts w:ascii="Verdana" w:hAnsi="Verdana"/>
          <w:sz w:val="16"/>
          <w:szCs w:val="16"/>
        </w:rPr>
        <w:t>2</w:t>
      </w:r>
      <w:r w:rsidR="00754E4A">
        <w:rPr>
          <w:rFonts w:ascii="Verdana" w:hAnsi="Verdana"/>
          <w:sz w:val="16"/>
          <w:szCs w:val="16"/>
        </w:rPr>
        <w:t>;</w:t>
      </w:r>
      <w:r w:rsidR="00754E4A" w:rsidRPr="00754E4A">
        <w:rPr>
          <w:rFonts w:ascii="Verdana" w:hAnsi="Verdana"/>
          <w:sz w:val="16"/>
          <w:szCs w:val="16"/>
        </w:rPr>
        <w:t xml:space="preserve"> </w:t>
      </w:r>
      <w:r w:rsidR="00754E4A" w:rsidRPr="00754E4A">
        <w:rPr>
          <w:sz w:val="16"/>
          <w:szCs w:val="16"/>
        </w:rPr>
        <w:t>Builder Website</w:t>
      </w:r>
      <w:r w:rsidR="00754E4A" w:rsidRPr="00754E4A">
        <w:rPr>
          <w:rFonts w:ascii="Verdana" w:hAnsi="Verdana"/>
          <w:sz w:val="16"/>
          <w:szCs w:val="16"/>
        </w:rPr>
        <w:t>, 3/22</w:t>
      </w:r>
      <w:r w:rsidR="00754E4A">
        <w:rPr>
          <w:rFonts w:ascii="Verdana" w:hAnsi="Verdana"/>
          <w:sz w:val="16"/>
          <w:szCs w:val="16"/>
        </w:rPr>
        <w:t>;</w:t>
      </w:r>
      <w:r w:rsidR="00754E4A" w:rsidRPr="00754E4A">
        <w:rPr>
          <w:rFonts w:ascii="Verdana" w:hAnsi="Verdana"/>
          <w:sz w:val="16"/>
          <w:szCs w:val="16"/>
        </w:rPr>
        <w:t xml:space="preserve"> </w:t>
      </w:r>
      <w:r w:rsidR="00754E4A" w:rsidRPr="00754E4A">
        <w:rPr>
          <w:sz w:val="16"/>
          <w:szCs w:val="16"/>
        </w:rPr>
        <w:t xml:space="preserve"> </w:t>
      </w:r>
      <w:r w:rsidR="00754E4A" w:rsidRPr="00754E4A">
        <w:rPr>
          <w:sz w:val="16"/>
          <w:szCs w:val="16"/>
        </w:rPr>
        <w:t>Redfin Website</w:t>
      </w:r>
      <w:r w:rsidR="00754E4A" w:rsidRPr="00754E4A">
        <w:rPr>
          <w:rFonts w:ascii="Verdana" w:hAnsi="Verdana"/>
          <w:sz w:val="16"/>
          <w:szCs w:val="16"/>
        </w:rPr>
        <w:t>, 3/22</w:t>
      </w:r>
      <w:r w:rsidR="00754E4A">
        <w:rPr>
          <w:rFonts w:ascii="Verdana" w:hAnsi="Verdana"/>
          <w:sz w:val="16"/>
          <w:szCs w:val="16"/>
        </w:rPr>
        <w:t>;</w:t>
      </w:r>
      <w:r w:rsidR="00754E4A" w:rsidRPr="00754E4A">
        <w:rPr>
          <w:rFonts w:ascii="Verdana" w:hAnsi="Verdana"/>
          <w:sz w:val="16"/>
          <w:szCs w:val="16"/>
        </w:rPr>
        <w:t xml:space="preserve"> </w:t>
      </w:r>
      <w:r w:rsidR="00754E4A" w:rsidRPr="00754E4A">
        <w:rPr>
          <w:sz w:val="16"/>
          <w:szCs w:val="16"/>
        </w:rPr>
        <w:t xml:space="preserve"> </w:t>
      </w:r>
      <w:r w:rsidR="00754E4A" w:rsidRPr="00754E4A">
        <w:rPr>
          <w:sz w:val="16"/>
          <w:szCs w:val="16"/>
        </w:rPr>
        <w:t>Trex Website</w:t>
      </w:r>
      <w:r w:rsidR="00754E4A" w:rsidRPr="00754E4A">
        <w:rPr>
          <w:rFonts w:ascii="Verdana" w:hAnsi="Verdana"/>
          <w:sz w:val="16"/>
          <w:szCs w:val="16"/>
        </w:rPr>
        <w:t>, 3/22</w:t>
      </w:r>
      <w:r w:rsidR="00754E4A">
        <w:rPr>
          <w:rFonts w:ascii="Verdana" w:hAnsi="Verdana"/>
          <w:sz w:val="16"/>
          <w:szCs w:val="16"/>
        </w:rPr>
        <w:t>;</w:t>
      </w:r>
      <w:r w:rsidR="00754E4A" w:rsidRPr="00754E4A">
        <w:rPr>
          <w:rFonts w:ascii="Verdana" w:hAnsi="Verdana"/>
          <w:sz w:val="16"/>
          <w:szCs w:val="16"/>
        </w:rPr>
        <w:t xml:space="preserve"> </w:t>
      </w:r>
      <w:r w:rsidR="00754E4A" w:rsidRPr="00754E4A">
        <w:rPr>
          <w:sz w:val="16"/>
          <w:szCs w:val="16"/>
        </w:rPr>
        <w:t>The NPD Group Website</w:t>
      </w:r>
      <w:r w:rsidR="00754E4A" w:rsidRPr="00754E4A">
        <w:rPr>
          <w:rFonts w:ascii="Verdana" w:hAnsi="Verdana"/>
          <w:sz w:val="16"/>
          <w:szCs w:val="16"/>
        </w:rPr>
        <w:t>, 3/22</w:t>
      </w:r>
      <w:r w:rsidR="00754E4A">
        <w:rPr>
          <w:rFonts w:ascii="Verdana" w:hAnsi="Verdana"/>
          <w:sz w:val="16"/>
          <w:szCs w:val="16"/>
        </w:rPr>
        <w:t>;</w:t>
      </w:r>
      <w:r w:rsidR="00754E4A" w:rsidRPr="00754E4A">
        <w:rPr>
          <w:sz w:val="16"/>
          <w:szCs w:val="16"/>
        </w:rPr>
        <w:t xml:space="preserve"> </w:t>
      </w:r>
      <w:r w:rsidR="00754E4A" w:rsidRPr="00754E4A">
        <w:rPr>
          <w:sz w:val="16"/>
          <w:szCs w:val="16"/>
        </w:rPr>
        <w:t>The Media Audit Website</w:t>
      </w:r>
      <w:r w:rsidR="00754E4A" w:rsidRPr="00754E4A">
        <w:rPr>
          <w:rFonts w:ascii="Verdana" w:hAnsi="Verdana"/>
          <w:sz w:val="16"/>
          <w:szCs w:val="16"/>
        </w:rPr>
        <w:t>, 3/22</w:t>
      </w:r>
      <w:r w:rsidR="00754E4A">
        <w:rPr>
          <w:rFonts w:ascii="Verdana" w:hAnsi="Verdana"/>
          <w:sz w:val="16"/>
          <w:szCs w:val="16"/>
        </w:rPr>
        <w:t>;</w:t>
      </w:r>
      <w:r w:rsidR="00754E4A" w:rsidRPr="00754E4A">
        <w:rPr>
          <w:sz w:val="16"/>
          <w:szCs w:val="16"/>
        </w:rPr>
        <w:t xml:space="preserve"> </w:t>
      </w:r>
      <w:r w:rsidR="00754E4A" w:rsidRPr="00754E4A">
        <w:rPr>
          <w:sz w:val="16"/>
          <w:szCs w:val="16"/>
        </w:rPr>
        <w:t>Houzz Website</w:t>
      </w:r>
      <w:r w:rsidR="00754E4A" w:rsidRPr="00754E4A">
        <w:rPr>
          <w:rFonts w:ascii="Verdana" w:hAnsi="Verdana"/>
          <w:sz w:val="16"/>
          <w:szCs w:val="16"/>
        </w:rPr>
        <w:t>, 3/22</w:t>
      </w:r>
      <w:r w:rsidR="00754E4A">
        <w:rPr>
          <w:rFonts w:ascii="Verdana" w:hAnsi="Verdana"/>
          <w:sz w:val="16"/>
          <w:szCs w:val="16"/>
        </w:rPr>
        <w:t>;</w:t>
      </w:r>
      <w:r w:rsidR="00754E4A" w:rsidRPr="00754E4A">
        <w:rPr>
          <w:sz w:val="16"/>
          <w:szCs w:val="16"/>
        </w:rPr>
        <w:t xml:space="preserve"> </w:t>
      </w:r>
      <w:r w:rsidR="00754E4A" w:rsidRPr="00754E4A">
        <w:rPr>
          <w:sz w:val="16"/>
          <w:szCs w:val="16"/>
        </w:rPr>
        <w:t>The American Institute of Architects Website</w:t>
      </w:r>
      <w:r w:rsidR="00754E4A" w:rsidRPr="00754E4A">
        <w:rPr>
          <w:rFonts w:ascii="Verdana" w:hAnsi="Verdana"/>
          <w:sz w:val="16"/>
          <w:szCs w:val="16"/>
        </w:rPr>
        <w:t>, 3/22</w:t>
      </w:r>
      <w:r w:rsidR="00754E4A">
        <w:rPr>
          <w:rFonts w:ascii="Verdana" w:hAnsi="Verdana"/>
          <w:sz w:val="16"/>
          <w:szCs w:val="16"/>
        </w:rPr>
        <w:t>;</w:t>
      </w:r>
      <w:r w:rsidR="00754E4A" w:rsidRPr="00754E4A">
        <w:rPr>
          <w:sz w:val="16"/>
          <w:szCs w:val="16"/>
        </w:rPr>
        <w:t xml:space="preserve"> </w:t>
      </w:r>
      <w:r w:rsidR="00754E4A" w:rsidRPr="00754E4A">
        <w:rPr>
          <w:sz w:val="16"/>
          <w:szCs w:val="16"/>
        </w:rPr>
        <w:t>American Society of Interior Designers Website</w:t>
      </w:r>
      <w:r w:rsidR="00754E4A" w:rsidRPr="00754E4A">
        <w:rPr>
          <w:rFonts w:ascii="Verdana" w:hAnsi="Verdana"/>
          <w:sz w:val="16"/>
          <w:szCs w:val="16"/>
        </w:rPr>
        <w:t>, 3/22</w:t>
      </w:r>
      <w:r w:rsidR="00754E4A">
        <w:rPr>
          <w:rFonts w:ascii="Verdana" w:hAnsi="Verdana"/>
          <w:sz w:val="16"/>
          <w:szCs w:val="16"/>
        </w:rPr>
        <w:t>;</w:t>
      </w:r>
      <w:r w:rsidR="00754E4A" w:rsidRPr="00754E4A">
        <w:rPr>
          <w:sz w:val="16"/>
          <w:szCs w:val="16"/>
        </w:rPr>
        <w:t xml:space="preserve"> </w:t>
      </w:r>
      <w:r w:rsidR="00754E4A" w:rsidRPr="00754E4A">
        <w:rPr>
          <w:sz w:val="16"/>
          <w:szCs w:val="16"/>
        </w:rPr>
        <w:t>Fixr Website</w:t>
      </w:r>
      <w:r w:rsidR="00754E4A" w:rsidRPr="00754E4A">
        <w:rPr>
          <w:rFonts w:ascii="Verdana" w:hAnsi="Verdana"/>
          <w:sz w:val="16"/>
          <w:szCs w:val="16"/>
        </w:rPr>
        <w:t>, 3/22</w:t>
      </w:r>
      <w:r w:rsidR="00754E4A">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F4B89FE"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45797F">
        <w:rPr>
          <w:rFonts w:ascii="Verdana" w:hAnsi="Verdana"/>
          <w:sz w:val="16"/>
        </w:rPr>
        <w:t>March</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AC41" w14:textId="77777777" w:rsidR="00D81055" w:rsidRDefault="00D81055" w:rsidP="00260DE9">
      <w:pPr>
        <w:spacing w:after="0" w:line="240" w:lineRule="auto"/>
      </w:pPr>
      <w:r>
        <w:separator/>
      </w:r>
    </w:p>
  </w:endnote>
  <w:endnote w:type="continuationSeparator" w:id="0">
    <w:p w14:paraId="2B49F268" w14:textId="77777777" w:rsidR="00D81055" w:rsidRDefault="00D81055"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C67A" w14:textId="77777777" w:rsidR="00D81055" w:rsidRDefault="00D81055" w:rsidP="00260DE9">
      <w:pPr>
        <w:spacing w:after="0" w:line="240" w:lineRule="auto"/>
      </w:pPr>
      <w:r>
        <w:separator/>
      </w:r>
    </w:p>
  </w:footnote>
  <w:footnote w:type="continuationSeparator" w:id="0">
    <w:p w14:paraId="7D24E185" w14:textId="77777777" w:rsidR="00D81055" w:rsidRDefault="00D81055"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20A36"/>
    <w:rsid w:val="00030B4A"/>
    <w:rsid w:val="0003466E"/>
    <w:rsid w:val="00052024"/>
    <w:rsid w:val="0005633E"/>
    <w:rsid w:val="000577D6"/>
    <w:rsid w:val="00063BFA"/>
    <w:rsid w:val="0007198D"/>
    <w:rsid w:val="000830D7"/>
    <w:rsid w:val="000B0079"/>
    <w:rsid w:val="000C4B96"/>
    <w:rsid w:val="000C7821"/>
    <w:rsid w:val="000D2F3A"/>
    <w:rsid w:val="000D7C07"/>
    <w:rsid w:val="000E00BA"/>
    <w:rsid w:val="000F712F"/>
    <w:rsid w:val="00112A85"/>
    <w:rsid w:val="00113049"/>
    <w:rsid w:val="0012010F"/>
    <w:rsid w:val="00142DEE"/>
    <w:rsid w:val="001531C2"/>
    <w:rsid w:val="00154344"/>
    <w:rsid w:val="00160474"/>
    <w:rsid w:val="00161442"/>
    <w:rsid w:val="0016492E"/>
    <w:rsid w:val="00177D0F"/>
    <w:rsid w:val="001A05E7"/>
    <w:rsid w:val="001A6195"/>
    <w:rsid w:val="001B64B0"/>
    <w:rsid w:val="001C2831"/>
    <w:rsid w:val="001D53A3"/>
    <w:rsid w:val="001E62B0"/>
    <w:rsid w:val="001F28F8"/>
    <w:rsid w:val="001F5DFA"/>
    <w:rsid w:val="00227C11"/>
    <w:rsid w:val="00260DE9"/>
    <w:rsid w:val="002674D5"/>
    <w:rsid w:val="00294474"/>
    <w:rsid w:val="002A4A73"/>
    <w:rsid w:val="002A6286"/>
    <w:rsid w:val="002B0BCF"/>
    <w:rsid w:val="002B32F4"/>
    <w:rsid w:val="002B3E1A"/>
    <w:rsid w:val="002B428E"/>
    <w:rsid w:val="002E1F38"/>
    <w:rsid w:val="00306D88"/>
    <w:rsid w:val="00327C87"/>
    <w:rsid w:val="003630CD"/>
    <w:rsid w:val="0038459A"/>
    <w:rsid w:val="003868E7"/>
    <w:rsid w:val="003B321E"/>
    <w:rsid w:val="003B417B"/>
    <w:rsid w:val="003C15ED"/>
    <w:rsid w:val="003D6958"/>
    <w:rsid w:val="003E2E9B"/>
    <w:rsid w:val="003F0FE1"/>
    <w:rsid w:val="00400606"/>
    <w:rsid w:val="00412473"/>
    <w:rsid w:val="00422A36"/>
    <w:rsid w:val="00424E79"/>
    <w:rsid w:val="00432903"/>
    <w:rsid w:val="0045212B"/>
    <w:rsid w:val="0045797F"/>
    <w:rsid w:val="0046193A"/>
    <w:rsid w:val="00466091"/>
    <w:rsid w:val="0048482F"/>
    <w:rsid w:val="00493426"/>
    <w:rsid w:val="00494CA5"/>
    <w:rsid w:val="004D4671"/>
    <w:rsid w:val="004E17F6"/>
    <w:rsid w:val="004E421A"/>
    <w:rsid w:val="004F7F58"/>
    <w:rsid w:val="0050254D"/>
    <w:rsid w:val="00520014"/>
    <w:rsid w:val="00544970"/>
    <w:rsid w:val="0056258A"/>
    <w:rsid w:val="0057012D"/>
    <w:rsid w:val="00571D6A"/>
    <w:rsid w:val="00592462"/>
    <w:rsid w:val="00596832"/>
    <w:rsid w:val="005C3BA5"/>
    <w:rsid w:val="005F19E9"/>
    <w:rsid w:val="00600CFD"/>
    <w:rsid w:val="00601F2D"/>
    <w:rsid w:val="00635FF3"/>
    <w:rsid w:val="00637CB9"/>
    <w:rsid w:val="006557DC"/>
    <w:rsid w:val="00657B52"/>
    <w:rsid w:val="0067102D"/>
    <w:rsid w:val="00676183"/>
    <w:rsid w:val="0068770F"/>
    <w:rsid w:val="0069436D"/>
    <w:rsid w:val="006B0FC1"/>
    <w:rsid w:val="006B3A10"/>
    <w:rsid w:val="006D1053"/>
    <w:rsid w:val="006E6275"/>
    <w:rsid w:val="00707104"/>
    <w:rsid w:val="007139CE"/>
    <w:rsid w:val="007257B5"/>
    <w:rsid w:val="00740742"/>
    <w:rsid w:val="00754E4A"/>
    <w:rsid w:val="007651A4"/>
    <w:rsid w:val="00776B02"/>
    <w:rsid w:val="007862CF"/>
    <w:rsid w:val="00793BD0"/>
    <w:rsid w:val="0079716D"/>
    <w:rsid w:val="007B6E29"/>
    <w:rsid w:val="007D3185"/>
    <w:rsid w:val="0082749D"/>
    <w:rsid w:val="00830C0A"/>
    <w:rsid w:val="00833418"/>
    <w:rsid w:val="00875007"/>
    <w:rsid w:val="0088350D"/>
    <w:rsid w:val="0088505B"/>
    <w:rsid w:val="0089324F"/>
    <w:rsid w:val="008D2E8B"/>
    <w:rsid w:val="009229BB"/>
    <w:rsid w:val="00923C8D"/>
    <w:rsid w:val="00931A86"/>
    <w:rsid w:val="009419F0"/>
    <w:rsid w:val="0096793A"/>
    <w:rsid w:val="0097064E"/>
    <w:rsid w:val="0097289D"/>
    <w:rsid w:val="0097480E"/>
    <w:rsid w:val="00984DF0"/>
    <w:rsid w:val="00986A5F"/>
    <w:rsid w:val="0099377F"/>
    <w:rsid w:val="009A3728"/>
    <w:rsid w:val="009A3EBE"/>
    <w:rsid w:val="009A4526"/>
    <w:rsid w:val="009A6479"/>
    <w:rsid w:val="009C6A17"/>
    <w:rsid w:val="009F3C8C"/>
    <w:rsid w:val="00A00453"/>
    <w:rsid w:val="00A031C1"/>
    <w:rsid w:val="00A12BB9"/>
    <w:rsid w:val="00A20FB8"/>
    <w:rsid w:val="00A30B01"/>
    <w:rsid w:val="00A52999"/>
    <w:rsid w:val="00A55363"/>
    <w:rsid w:val="00A55AAE"/>
    <w:rsid w:val="00A55AB4"/>
    <w:rsid w:val="00A61F9B"/>
    <w:rsid w:val="00A71026"/>
    <w:rsid w:val="00A820F9"/>
    <w:rsid w:val="00A923EF"/>
    <w:rsid w:val="00AB01D8"/>
    <w:rsid w:val="00AE087E"/>
    <w:rsid w:val="00AE1F72"/>
    <w:rsid w:val="00AE6B2A"/>
    <w:rsid w:val="00AE71B7"/>
    <w:rsid w:val="00B12A59"/>
    <w:rsid w:val="00B238FB"/>
    <w:rsid w:val="00B33B46"/>
    <w:rsid w:val="00B33F03"/>
    <w:rsid w:val="00B36421"/>
    <w:rsid w:val="00B4203D"/>
    <w:rsid w:val="00B6421F"/>
    <w:rsid w:val="00BC0DB8"/>
    <w:rsid w:val="00BC2144"/>
    <w:rsid w:val="00BE37C6"/>
    <w:rsid w:val="00BE4BEC"/>
    <w:rsid w:val="00BE5185"/>
    <w:rsid w:val="00BE6652"/>
    <w:rsid w:val="00BF7FC9"/>
    <w:rsid w:val="00C11931"/>
    <w:rsid w:val="00C147E3"/>
    <w:rsid w:val="00C20878"/>
    <w:rsid w:val="00C21D13"/>
    <w:rsid w:val="00C412D4"/>
    <w:rsid w:val="00C54007"/>
    <w:rsid w:val="00C65128"/>
    <w:rsid w:val="00C77B54"/>
    <w:rsid w:val="00C8473A"/>
    <w:rsid w:val="00CA7594"/>
    <w:rsid w:val="00CD2855"/>
    <w:rsid w:val="00CE3B31"/>
    <w:rsid w:val="00CE7889"/>
    <w:rsid w:val="00D16971"/>
    <w:rsid w:val="00D17DB0"/>
    <w:rsid w:val="00D22E81"/>
    <w:rsid w:val="00D26223"/>
    <w:rsid w:val="00D26C44"/>
    <w:rsid w:val="00D37649"/>
    <w:rsid w:val="00D72316"/>
    <w:rsid w:val="00D81055"/>
    <w:rsid w:val="00D8342E"/>
    <w:rsid w:val="00D93E11"/>
    <w:rsid w:val="00DA1474"/>
    <w:rsid w:val="00DC4F7C"/>
    <w:rsid w:val="00DD5A41"/>
    <w:rsid w:val="00DE0FDD"/>
    <w:rsid w:val="00E13B28"/>
    <w:rsid w:val="00E20F93"/>
    <w:rsid w:val="00E21202"/>
    <w:rsid w:val="00E31C88"/>
    <w:rsid w:val="00E45F8D"/>
    <w:rsid w:val="00E80C14"/>
    <w:rsid w:val="00E8446E"/>
    <w:rsid w:val="00EA77A2"/>
    <w:rsid w:val="00ED42A4"/>
    <w:rsid w:val="00EF59C2"/>
    <w:rsid w:val="00EF6801"/>
    <w:rsid w:val="00EF6AB9"/>
    <w:rsid w:val="00F056FA"/>
    <w:rsid w:val="00F2704A"/>
    <w:rsid w:val="00F66EA8"/>
    <w:rsid w:val="00F70E29"/>
    <w:rsid w:val="00F87F5F"/>
    <w:rsid w:val="00F94CE8"/>
    <w:rsid w:val="00FA495C"/>
    <w:rsid w:val="00FB418C"/>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2022-03-11T18:18:00Z</dcterms:created>
  <dcterms:modified xsi:type="dcterms:W3CDTF">2022-03-11T18:18:00Z</dcterms:modified>
</cp:coreProperties>
</file>