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1425A" w14:textId="349A4AC8" w:rsidR="00F94CE8" w:rsidRPr="005F19E9" w:rsidRDefault="000E586B" w:rsidP="00C11931">
      <w:pPr>
        <w:pStyle w:val="NoSpacing"/>
        <w:contextualSpacing/>
        <w:mirrorIndents/>
        <w:rPr>
          <w:rFonts w:ascii="Verdana" w:hAnsi="Verdana"/>
          <w:b/>
          <w:bCs/>
          <w:color w:val="FF0000"/>
          <w:sz w:val="20"/>
          <w:szCs w:val="20"/>
        </w:rPr>
      </w:pPr>
      <w:r>
        <w:rPr>
          <w:rFonts w:ascii="Verdana" w:hAnsi="Verdana"/>
          <w:b/>
          <w:bCs/>
          <w:color w:val="FF0000"/>
          <w:sz w:val="20"/>
          <w:szCs w:val="20"/>
        </w:rPr>
        <w:t>Banking Industry</w:t>
      </w:r>
      <w:r w:rsidR="005F19E9" w:rsidRPr="005F19E9">
        <w:rPr>
          <w:rFonts w:ascii="Verdana" w:hAnsi="Verdana"/>
          <w:b/>
          <w:bCs/>
          <w:color w:val="FF0000"/>
          <w:sz w:val="20"/>
          <w:szCs w:val="20"/>
        </w:rPr>
        <w:t xml:space="preserve"> 2022</w:t>
      </w:r>
      <w:r>
        <w:rPr>
          <w:rFonts w:ascii="Verdana" w:hAnsi="Verdana"/>
          <w:b/>
          <w:bCs/>
          <w:color w:val="FF0000"/>
          <w:sz w:val="20"/>
          <w:szCs w:val="20"/>
        </w:rPr>
        <w:t xml:space="preserve"> PLUS</w:t>
      </w:r>
    </w:p>
    <w:p w14:paraId="11DB62D2" w14:textId="77777777" w:rsidR="00F94CE8" w:rsidRPr="009631E0" w:rsidRDefault="00F94CE8" w:rsidP="009631E0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0F225A46" w14:textId="77777777" w:rsidR="009631E0" w:rsidRPr="009631E0" w:rsidRDefault="009631E0" w:rsidP="009631E0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9631E0">
        <w:rPr>
          <w:rFonts w:ascii="Verdana" w:hAnsi="Verdana"/>
          <w:b/>
          <w:bCs/>
          <w:color w:val="0070C0"/>
          <w:sz w:val="20"/>
          <w:szCs w:val="20"/>
        </w:rPr>
        <w:t>Banks’ Assets and Profitability Increase</w:t>
      </w:r>
    </w:p>
    <w:p w14:paraId="33EDEB13" w14:textId="77777777" w:rsidR="009631E0" w:rsidRPr="009631E0" w:rsidRDefault="009631E0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B2188E9" w14:textId="31D71F09" w:rsidR="009631E0" w:rsidRDefault="009631E0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Despite t</w:t>
      </w:r>
      <w:r w:rsidR="002943AE">
        <w:rPr>
          <w:rFonts w:ascii="Verdana" w:hAnsi="Verdana"/>
          <w:sz w:val="20"/>
          <w:szCs w:val="20"/>
        </w:rPr>
        <w:t>he continued uncertainty about the pandemic and the conflict in Ukraine, two (Bank of America and Citigroup) of the top four banks by assets reported a profitable Q1 2022 while the other two (JPMorgan and Wells Fargo) missed their revenue/profit estimates.</w:t>
      </w:r>
    </w:p>
    <w:p w14:paraId="24CE7849" w14:textId="1FE93E18" w:rsidR="002943AE" w:rsidRDefault="002943AE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1FFF3B0" w14:textId="2D8D40EE" w:rsidR="002943AE" w:rsidRDefault="006B34BF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According to the Federal Deposit Insurance Corporation (FDIC), total </w:t>
      </w:r>
      <w:r w:rsidR="00A1268F">
        <w:rPr>
          <w:rFonts w:ascii="Verdana" w:hAnsi="Verdana"/>
          <w:sz w:val="20"/>
          <w:szCs w:val="20"/>
        </w:rPr>
        <w:t xml:space="preserve">Q4 2021 </w:t>
      </w:r>
      <w:r>
        <w:rPr>
          <w:rFonts w:ascii="Verdana" w:hAnsi="Verdana"/>
          <w:sz w:val="20"/>
          <w:szCs w:val="20"/>
        </w:rPr>
        <w:t xml:space="preserve">assets at all insured institutions </w:t>
      </w:r>
      <w:r w:rsidR="00A1268F">
        <w:rPr>
          <w:rFonts w:ascii="Verdana" w:hAnsi="Verdana"/>
          <w:sz w:val="20"/>
          <w:szCs w:val="20"/>
        </w:rPr>
        <w:t>were $23.72 trillion, an 8.5% YOY increase. Commercial banks’ assets increased by 8.3% YOY and saving institutions’ assets increased by 10.1% YOY.</w:t>
      </w:r>
    </w:p>
    <w:p w14:paraId="1F00C769" w14:textId="7BEEDA46" w:rsidR="006E349A" w:rsidRDefault="006E349A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538B0CC" w14:textId="0659EBA3" w:rsidR="006E349A" w:rsidRDefault="006E349A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Although banks hav</w:t>
      </w:r>
      <w:r w:rsidR="00300DFF">
        <w:rPr>
          <w:rFonts w:ascii="Verdana" w:hAnsi="Verdana"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had fewer branches for more than a decade, the pandemic accelerated branch closings. S&amp;P Global Market Intelligence </w:t>
      </w:r>
      <w:r w:rsidR="00300DFF">
        <w:rPr>
          <w:rFonts w:ascii="Verdana" w:hAnsi="Verdana"/>
          <w:sz w:val="20"/>
          <w:szCs w:val="20"/>
        </w:rPr>
        <w:t xml:space="preserve">reported </w:t>
      </w:r>
      <w:r>
        <w:rPr>
          <w:rFonts w:ascii="Verdana" w:hAnsi="Verdana"/>
          <w:sz w:val="20"/>
          <w:szCs w:val="20"/>
        </w:rPr>
        <w:t>a net</w:t>
      </w:r>
      <w:r w:rsidR="00300DFF">
        <w:rPr>
          <w:rFonts w:ascii="Verdana" w:hAnsi="Verdana"/>
          <w:sz w:val="20"/>
          <w:szCs w:val="20"/>
        </w:rPr>
        <w:t xml:space="preserve"> closure</w:t>
      </w:r>
      <w:r>
        <w:rPr>
          <w:rFonts w:ascii="Verdana" w:hAnsi="Verdana"/>
          <w:sz w:val="20"/>
          <w:szCs w:val="20"/>
        </w:rPr>
        <w:t xml:space="preserve"> of 2,927 </w:t>
      </w:r>
      <w:r w:rsidR="00300DFF">
        <w:rPr>
          <w:rFonts w:ascii="Verdana" w:hAnsi="Verdana"/>
          <w:sz w:val="20"/>
          <w:szCs w:val="20"/>
        </w:rPr>
        <w:t>branches</w:t>
      </w:r>
      <w:r>
        <w:rPr>
          <w:rFonts w:ascii="Verdana" w:hAnsi="Verdana"/>
          <w:sz w:val="20"/>
          <w:szCs w:val="20"/>
        </w:rPr>
        <w:t xml:space="preserve"> during 2021, a 38% YOY increase. Wells Fargo had the most closures at 267.</w:t>
      </w:r>
    </w:p>
    <w:p w14:paraId="5263DCD8" w14:textId="5C1C21E9" w:rsidR="006E349A" w:rsidRDefault="006E349A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003838D" w14:textId="51DAA70A" w:rsidR="00D30252" w:rsidRPr="00DB0E88" w:rsidRDefault="00AD5FA7" w:rsidP="00D30252">
      <w:pPr>
        <w:pStyle w:val="Header"/>
        <w:contextualSpacing/>
        <w:jc w:val="center"/>
        <w:rPr>
          <w:b/>
          <w:sz w:val="20"/>
          <w:szCs w:val="20"/>
        </w:rPr>
      </w:pPr>
      <w:r w:rsidRPr="00DB0E88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</w:t>
      </w:r>
      <w:r w:rsidRPr="00DB0E88">
        <w:rPr>
          <w:b/>
          <w:sz w:val="20"/>
          <w:szCs w:val="20"/>
        </w:rPr>
        <w:t xml:space="preserve"> Largest Institutions, by Consolidated Banking Assets,</w:t>
      </w:r>
      <w:r>
        <w:rPr>
          <w:b/>
          <w:sz w:val="20"/>
          <w:szCs w:val="20"/>
        </w:rPr>
        <w:t xml:space="preserve"> Q4 2021</w:t>
      </w:r>
    </w:p>
    <w:tbl>
      <w:tblPr>
        <w:tblW w:w="8294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267"/>
        <w:gridCol w:w="2880"/>
        <w:gridCol w:w="1267"/>
      </w:tblGrid>
      <w:tr w:rsidR="00AD5FA7" w:rsidRPr="00DB0E88" w14:paraId="0204D8D0" w14:textId="77777777" w:rsidTr="00C76E7A">
        <w:trPr>
          <w:jc w:val="center"/>
        </w:trPr>
        <w:tc>
          <w:tcPr>
            <w:tcW w:w="2880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2309256D" w14:textId="77777777" w:rsidR="00AD5FA7" w:rsidRPr="00DB0E88" w:rsidRDefault="00AD5FA7" w:rsidP="00C76E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DB0E88">
              <w:rPr>
                <w:rFonts w:eastAsia="Times New Roman"/>
                <w:sz w:val="20"/>
                <w:szCs w:val="20"/>
              </w:rPr>
              <w:t>Institution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30ED7B20" w14:textId="77777777" w:rsidR="00AD5FA7" w:rsidRPr="00DB0E88" w:rsidRDefault="00AD5FA7" w:rsidP="00C76E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DB0E88">
              <w:rPr>
                <w:rFonts w:eastAsia="Times New Roman"/>
                <w:sz w:val="20"/>
                <w:szCs w:val="20"/>
              </w:rPr>
              <w:t>Assets</w:t>
            </w:r>
          </w:p>
        </w:tc>
        <w:tc>
          <w:tcPr>
            <w:tcW w:w="2880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21993AC4" w14:textId="77777777" w:rsidR="00AD5FA7" w:rsidRPr="00DB0E88" w:rsidRDefault="00AD5FA7" w:rsidP="00C76E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DB0E88">
              <w:rPr>
                <w:rFonts w:eastAsia="Times New Roman"/>
                <w:sz w:val="20"/>
                <w:szCs w:val="20"/>
              </w:rPr>
              <w:t>Institution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0E703744" w14:textId="77777777" w:rsidR="00AD5FA7" w:rsidRPr="00DB0E88" w:rsidRDefault="00AD5FA7" w:rsidP="00C76E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DB0E88">
              <w:rPr>
                <w:rFonts w:eastAsia="Times New Roman"/>
                <w:sz w:val="20"/>
                <w:szCs w:val="20"/>
              </w:rPr>
              <w:t>Assets</w:t>
            </w:r>
          </w:p>
        </w:tc>
      </w:tr>
      <w:tr w:rsidR="00AD5FA7" w:rsidRPr="00DB0E88" w14:paraId="63851FFA" w14:textId="77777777" w:rsidTr="00D3025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80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0EFE6461" w14:textId="77777777" w:rsidR="00AD5FA7" w:rsidRPr="00DB0E88" w:rsidRDefault="00AD5FA7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B0E88">
              <w:rPr>
                <w:rFonts w:eastAsia="Times New Roman"/>
                <w:sz w:val="20"/>
                <w:szCs w:val="20"/>
              </w:rPr>
              <w:t>#1: JPMorgan Chase Bank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00B050"/>
            <w:vAlign w:val="center"/>
          </w:tcPr>
          <w:p w14:paraId="505D9549" w14:textId="1E5E634E" w:rsidR="00AD5FA7" w:rsidRPr="00DB0E88" w:rsidRDefault="00AD5FA7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$3.01 T</w:t>
            </w:r>
          </w:p>
        </w:tc>
        <w:tc>
          <w:tcPr>
            <w:tcW w:w="2880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3134FD45" w14:textId="34D2DCCA" w:rsidR="00AD5FA7" w:rsidRPr="00DB0E88" w:rsidRDefault="00AD5FA7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DB0E88">
              <w:rPr>
                <w:rFonts w:eastAsia="Times New Roman"/>
                <w:sz w:val="20"/>
                <w:szCs w:val="20"/>
              </w:rPr>
              <w:t xml:space="preserve">#6: </w:t>
            </w:r>
            <w:r w:rsidR="00D30252" w:rsidRPr="00DB0E88">
              <w:rPr>
                <w:rFonts w:eastAsia="Times New Roman"/>
                <w:sz w:val="20"/>
                <w:szCs w:val="20"/>
              </w:rPr>
              <w:t xml:space="preserve">PNC </w:t>
            </w:r>
            <w:r w:rsidR="00D30252">
              <w:rPr>
                <w:rFonts w:eastAsia="Times New Roman"/>
                <w:sz w:val="20"/>
                <w:szCs w:val="20"/>
              </w:rPr>
              <w:t>Bank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58E4FB2F" w14:textId="2F7FA658" w:rsidR="00AD5FA7" w:rsidRPr="00DB0E88" w:rsidRDefault="00D30252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$552.0 B</w:t>
            </w:r>
          </w:p>
        </w:tc>
      </w:tr>
      <w:tr w:rsidR="00AD5FA7" w:rsidRPr="00DB0E88" w14:paraId="358B5C14" w14:textId="77777777" w:rsidTr="00D3025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052894DD" w14:textId="77777777" w:rsidR="00AD5FA7" w:rsidRPr="00DB0E88" w:rsidRDefault="00AD5FA7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B0E88">
              <w:rPr>
                <w:rFonts w:eastAsia="Times New Roman"/>
                <w:sz w:val="20"/>
                <w:szCs w:val="20"/>
              </w:rPr>
              <w:t xml:space="preserve">#2: Bank of America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92D050"/>
            <w:vAlign w:val="center"/>
          </w:tcPr>
          <w:p w14:paraId="00E38A00" w14:textId="0E067002" w:rsidR="00AD5FA7" w:rsidRPr="00DB0E88" w:rsidRDefault="00AD5FA7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$2.55 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3431DFD1" w14:textId="517FF47A" w:rsidR="00AD5FA7" w:rsidRPr="00DB0E88" w:rsidRDefault="00AD5FA7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DB0E88">
              <w:rPr>
                <w:rFonts w:eastAsia="Times New Roman"/>
                <w:sz w:val="20"/>
                <w:szCs w:val="20"/>
              </w:rPr>
              <w:t xml:space="preserve">#7: </w:t>
            </w:r>
            <w:r w:rsidR="00D30252" w:rsidRPr="00D30252">
              <w:rPr>
                <w:rFonts w:eastAsia="Times New Roman"/>
                <w:sz w:val="20"/>
                <w:szCs w:val="20"/>
              </w:rPr>
              <w:t>Truist Bank</w:t>
            </w:r>
            <w:r w:rsidR="00D30252" w:rsidRPr="00DB0E8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78642925" w14:textId="183EC145" w:rsidR="00AD5FA7" w:rsidRPr="00DB0E88" w:rsidRDefault="00D30252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$529.0 B</w:t>
            </w:r>
          </w:p>
        </w:tc>
      </w:tr>
      <w:tr w:rsidR="00AD5FA7" w:rsidRPr="00DB0E88" w14:paraId="339CEEFF" w14:textId="77777777" w:rsidTr="00D3025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3E582F3A" w14:textId="77777777" w:rsidR="00AD5FA7" w:rsidRPr="00DB0E88" w:rsidRDefault="00AD5FA7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B0E88">
              <w:rPr>
                <w:rFonts w:eastAsia="Times New Roman"/>
                <w:sz w:val="20"/>
                <w:szCs w:val="20"/>
              </w:rPr>
              <w:t>#3: Wells Fargo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5818943E" w14:textId="2DE56428" w:rsidR="00AD5FA7" w:rsidRPr="00DB0E88" w:rsidRDefault="00AD5FA7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$1.80 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1FBF600" w14:textId="4F1F6FD8" w:rsidR="00AD5FA7" w:rsidRPr="00DB0E88" w:rsidRDefault="00AD5FA7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DB0E88">
              <w:rPr>
                <w:rFonts w:eastAsia="Times New Roman"/>
                <w:sz w:val="20"/>
                <w:szCs w:val="20"/>
              </w:rPr>
              <w:t xml:space="preserve">#8: </w:t>
            </w:r>
            <w:r w:rsidR="00D30252" w:rsidRPr="00D30252">
              <w:rPr>
                <w:rFonts w:eastAsia="Times New Roman"/>
                <w:sz w:val="20"/>
                <w:szCs w:val="20"/>
              </w:rPr>
              <w:t xml:space="preserve">Capital One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7A1931EB" w14:textId="6BCC50A1" w:rsidR="00AD5FA7" w:rsidRPr="00DB0E88" w:rsidRDefault="00D30252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$502.0 B</w:t>
            </w:r>
          </w:p>
        </w:tc>
      </w:tr>
      <w:tr w:rsidR="00AD5FA7" w:rsidRPr="00DB0E88" w14:paraId="7794CE69" w14:textId="77777777" w:rsidTr="00D3025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26897266" w14:textId="77777777" w:rsidR="00AD5FA7" w:rsidRPr="00DB0E88" w:rsidRDefault="00AD5FA7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B0E88">
              <w:rPr>
                <w:rFonts w:eastAsia="Times New Roman"/>
                <w:sz w:val="20"/>
                <w:szCs w:val="20"/>
              </w:rPr>
              <w:t>#4: Citi</w:t>
            </w:r>
            <w:r>
              <w:rPr>
                <w:rFonts w:eastAsia="Times New Roman"/>
                <w:sz w:val="20"/>
                <w:szCs w:val="20"/>
              </w:rPr>
              <w:t>group, Inc.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01F66AA8" w14:textId="77777777" w:rsidR="00AD5FA7" w:rsidRPr="00DB0E88" w:rsidRDefault="00AD5FA7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$1.67 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656659F7" w14:textId="26F5123C" w:rsidR="00AD5FA7" w:rsidRPr="00DB0E88" w:rsidRDefault="00AD5FA7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DB0E88">
              <w:rPr>
                <w:rFonts w:eastAsia="Times New Roman"/>
                <w:sz w:val="20"/>
                <w:szCs w:val="20"/>
              </w:rPr>
              <w:t xml:space="preserve">#9: </w:t>
            </w:r>
            <w:r w:rsidR="00D30252">
              <w:rPr>
                <w:rFonts w:eastAsia="Times New Roman"/>
                <w:sz w:val="20"/>
                <w:szCs w:val="20"/>
              </w:rPr>
              <w:t>Charles Schwab Bank</w:t>
            </w:r>
            <w:r w:rsidRPr="00DB0E88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229635A5" w14:textId="400AD7D9" w:rsidR="00AD5FA7" w:rsidRPr="00DB0E88" w:rsidRDefault="00D30252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$476.0 B</w:t>
            </w:r>
          </w:p>
        </w:tc>
      </w:tr>
      <w:tr w:rsidR="00AD5FA7" w:rsidRPr="00DB0E88" w14:paraId="3FAFEB51" w14:textId="77777777" w:rsidTr="00D30252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70C0"/>
            </w:tcBorders>
            <w:vAlign w:val="center"/>
          </w:tcPr>
          <w:p w14:paraId="22BF7953" w14:textId="18CBAB2F" w:rsidR="00AD5FA7" w:rsidRPr="00DB0E88" w:rsidRDefault="00AD5FA7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DB0E88">
              <w:rPr>
                <w:rFonts w:eastAsia="Times New Roman"/>
                <w:sz w:val="20"/>
                <w:szCs w:val="20"/>
              </w:rPr>
              <w:t xml:space="preserve">#5: </w:t>
            </w:r>
            <w:r>
              <w:rPr>
                <w:rFonts w:eastAsia="Times New Roman"/>
                <w:sz w:val="20"/>
                <w:szCs w:val="20"/>
              </w:rPr>
              <w:t>U.S. Bank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8" w:space="0" w:color="0070C0"/>
            </w:tcBorders>
            <w:shd w:val="clear" w:color="auto" w:fill="D6E3BC" w:themeFill="accent3" w:themeFillTint="66"/>
            <w:vAlign w:val="center"/>
          </w:tcPr>
          <w:p w14:paraId="269E1D47" w14:textId="30030C25" w:rsidR="00AD5FA7" w:rsidRPr="00DB0E88" w:rsidRDefault="00D30252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$564.0 B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1AD5E225" w14:textId="557A32C0" w:rsidR="00AD5FA7" w:rsidRPr="00DB0E88" w:rsidRDefault="00AD5FA7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 w:rsidRPr="00DB0E88">
              <w:rPr>
                <w:rFonts w:eastAsia="Times New Roman"/>
                <w:sz w:val="20"/>
                <w:szCs w:val="20"/>
              </w:rPr>
              <w:t xml:space="preserve">#10: </w:t>
            </w:r>
            <w:r w:rsidR="00D30252" w:rsidRPr="00DB0E88">
              <w:rPr>
                <w:rFonts w:eastAsia="Times New Roman"/>
                <w:sz w:val="20"/>
                <w:szCs w:val="20"/>
              </w:rPr>
              <w:t xml:space="preserve">TD </w:t>
            </w:r>
            <w:r w:rsidR="00D30252">
              <w:rPr>
                <w:rFonts w:eastAsia="Times New Roman"/>
                <w:sz w:val="20"/>
                <w:szCs w:val="20"/>
              </w:rPr>
              <w:t>Bank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1A516582" w14:textId="53A260DB" w:rsidR="00AD5FA7" w:rsidRPr="00DB0E88" w:rsidRDefault="00D30252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$453.0 B</w:t>
            </w:r>
          </w:p>
        </w:tc>
      </w:tr>
    </w:tbl>
    <w:p w14:paraId="5AE35A04" w14:textId="66E1C046" w:rsidR="00AD5FA7" w:rsidRDefault="00D30252" w:rsidP="00D30252">
      <w:pPr>
        <w:tabs>
          <w:tab w:val="left" w:pos="540"/>
        </w:tabs>
        <w:spacing w:after="0" w:line="240" w:lineRule="auto"/>
        <w:contextualSpacing/>
        <w:mirrorIndents/>
        <w:rPr>
          <w:sz w:val="16"/>
          <w:szCs w:val="16"/>
        </w:rPr>
      </w:pPr>
      <w:r>
        <w:rPr>
          <w:sz w:val="16"/>
          <w:szCs w:val="16"/>
        </w:rPr>
        <w:tab/>
        <w:t>American Bankers Association</w:t>
      </w:r>
      <w:r w:rsidR="00AD5FA7" w:rsidRPr="00DB0E88">
        <w:rPr>
          <w:sz w:val="16"/>
          <w:szCs w:val="16"/>
        </w:rPr>
        <w:t xml:space="preserve"> (Federal Deposit Insurance Corporation</w:t>
      </w:r>
      <w:r w:rsidR="00F24961">
        <w:rPr>
          <w:sz w:val="16"/>
          <w:szCs w:val="16"/>
        </w:rPr>
        <w:t>)</w:t>
      </w:r>
      <w:r>
        <w:rPr>
          <w:sz w:val="16"/>
          <w:szCs w:val="16"/>
        </w:rPr>
        <w:t>, May 2022</w:t>
      </w:r>
      <w:r w:rsidR="00AD5FA7">
        <w:rPr>
          <w:sz w:val="16"/>
          <w:szCs w:val="16"/>
        </w:rPr>
        <w:t xml:space="preserve"> </w:t>
      </w:r>
    </w:p>
    <w:p w14:paraId="2747FA00" w14:textId="77777777" w:rsidR="009631E0" w:rsidRDefault="009631E0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96001DB" w14:textId="408E1EFF" w:rsidR="009631E0" w:rsidRPr="00E11645" w:rsidRDefault="009631E0" w:rsidP="00E11645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E11645">
        <w:rPr>
          <w:rFonts w:ascii="Verdana" w:hAnsi="Verdana"/>
          <w:b/>
          <w:bCs/>
          <w:color w:val="0070C0"/>
          <w:sz w:val="20"/>
          <w:szCs w:val="20"/>
        </w:rPr>
        <w:t>Households’ Financial Condition</w:t>
      </w:r>
    </w:p>
    <w:p w14:paraId="0334131E" w14:textId="77777777" w:rsidR="009631E0" w:rsidRPr="009631E0" w:rsidRDefault="009631E0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668A606" w14:textId="5570A6F3" w:rsidR="00E11645" w:rsidRDefault="00181B10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Banks and the entire US financial industry depend on a growing, stable economy and household finances. Despite low unemployment, many economic pressures caused Morning Consult’s Index of Consumer Sentiment to decrease</w:t>
      </w:r>
      <w:r w:rsidR="00D636B1">
        <w:rPr>
          <w:rFonts w:ascii="Verdana" w:hAnsi="Verdana"/>
          <w:sz w:val="20"/>
          <w:szCs w:val="20"/>
        </w:rPr>
        <w:t xml:space="preserve"> </w:t>
      </w:r>
      <w:r w:rsidR="00300DFF">
        <w:rPr>
          <w:rFonts w:ascii="Verdana" w:hAnsi="Verdana"/>
          <w:sz w:val="20"/>
          <w:szCs w:val="20"/>
        </w:rPr>
        <w:t xml:space="preserve">by </w:t>
      </w:r>
      <w:r w:rsidR="00D636B1">
        <w:rPr>
          <w:rFonts w:ascii="Verdana" w:hAnsi="Verdana"/>
          <w:sz w:val="20"/>
          <w:szCs w:val="20"/>
        </w:rPr>
        <w:t>0.9 points during April 2022.</w:t>
      </w:r>
    </w:p>
    <w:p w14:paraId="57E04E3B" w14:textId="5326149C" w:rsidR="00D636B1" w:rsidRDefault="00D636B1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6F18314" w14:textId="44437E38" w:rsidR="00D636B1" w:rsidRDefault="00D636B1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Surveyed consumers’ expectation</w:t>
      </w:r>
      <w:r w:rsidR="00300DFF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for personal finances 12 months from April increased </w:t>
      </w:r>
      <w:r w:rsidR="00300DFF">
        <w:rPr>
          <w:rFonts w:ascii="Verdana" w:hAnsi="Verdana"/>
          <w:sz w:val="20"/>
          <w:szCs w:val="20"/>
        </w:rPr>
        <w:t xml:space="preserve">by </w:t>
      </w:r>
      <w:r>
        <w:rPr>
          <w:rFonts w:ascii="Verdana" w:hAnsi="Verdana"/>
          <w:sz w:val="20"/>
          <w:szCs w:val="20"/>
        </w:rPr>
        <w:t>2.4 points, the only component of the Index that did. Current buying conditions decreased the most by 3.0 points while 12-month business conditions decreased</w:t>
      </w:r>
      <w:r w:rsidR="00300DFF">
        <w:rPr>
          <w:rFonts w:ascii="Verdana" w:hAnsi="Verdana"/>
          <w:sz w:val="20"/>
          <w:szCs w:val="20"/>
        </w:rPr>
        <w:t xml:space="preserve"> by</w:t>
      </w:r>
      <w:r>
        <w:rPr>
          <w:rFonts w:ascii="Verdana" w:hAnsi="Verdana"/>
          <w:sz w:val="20"/>
          <w:szCs w:val="20"/>
        </w:rPr>
        <w:t xml:space="preserve"> 1.4 points.</w:t>
      </w:r>
    </w:p>
    <w:p w14:paraId="3D561239" w14:textId="77777777" w:rsidR="00E11645" w:rsidRDefault="00E11645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01068DE" w14:textId="72446974" w:rsidR="00E11645" w:rsidRDefault="00D636B1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Although there are millions of job openings and many employers are offering higher pay, 13.6% of households earning less than $50,000, which are often the biggest drivers of the economy, experienced </w:t>
      </w:r>
      <w:r w:rsidR="00AA58BA">
        <w:rPr>
          <w:rFonts w:ascii="Verdana" w:hAnsi="Verdana"/>
          <w:sz w:val="20"/>
          <w:szCs w:val="20"/>
        </w:rPr>
        <w:t>income loss during April, compared to 13.1% from the March survey.</w:t>
      </w:r>
    </w:p>
    <w:p w14:paraId="458E83D2" w14:textId="0763F2B9" w:rsidR="00AA58BA" w:rsidRDefault="00AA58BA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FEBAB91" w14:textId="77777777" w:rsidR="00AA58BA" w:rsidRDefault="00AA58BA" w:rsidP="00AA58BA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US Adults’ Financial Well-Being Scores by </w:t>
      </w:r>
    </w:p>
    <w:p w14:paraId="21E85756" w14:textId="380AC31B" w:rsidR="00AA58BA" w:rsidRPr="00A65A1A" w:rsidRDefault="00AA58BA" w:rsidP="00AA58BA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Household Income, November 2021–March 2022</w:t>
      </w:r>
    </w:p>
    <w:tbl>
      <w:tblPr>
        <w:tblW w:w="9135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5"/>
        <w:gridCol w:w="1224"/>
        <w:gridCol w:w="1224"/>
        <w:gridCol w:w="1224"/>
        <w:gridCol w:w="1224"/>
        <w:gridCol w:w="1224"/>
      </w:tblGrid>
      <w:tr w:rsidR="00AA58BA" w:rsidRPr="00A65A1A" w14:paraId="7AABCB6C" w14:textId="77777777" w:rsidTr="00C76E7A">
        <w:trPr>
          <w:jc w:val="center"/>
        </w:trPr>
        <w:tc>
          <w:tcPr>
            <w:tcW w:w="3015" w:type="dxa"/>
            <w:tcBorders>
              <w:top w:val="single" w:sz="12" w:space="0" w:color="auto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696B35C3" w14:textId="10E75B21" w:rsidR="00AA58BA" w:rsidRPr="00A65A1A" w:rsidRDefault="00BC4022" w:rsidP="00C76E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Household Income Level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50FA6A88" w14:textId="6AA59E0E" w:rsidR="00AA58BA" w:rsidRPr="00A65A1A" w:rsidRDefault="00BC4022" w:rsidP="00C76E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Nov 2021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31D5C471" w14:textId="7A34CDF8" w:rsidR="00AA58BA" w:rsidRPr="00A65A1A" w:rsidRDefault="00BC4022" w:rsidP="00C76E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Dec 2021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70DDDF24" w14:textId="4CF28932" w:rsidR="00AA58BA" w:rsidRDefault="00BC4022" w:rsidP="00C76E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Jan 2022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0AC65BD9" w14:textId="7DDEF06D" w:rsidR="00AA58BA" w:rsidRDefault="00BC4022" w:rsidP="00C76E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Feb 2022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shd w:val="clear" w:color="auto" w:fill="auto"/>
            <w:vAlign w:val="center"/>
          </w:tcPr>
          <w:p w14:paraId="76BE395E" w14:textId="439A3CF2" w:rsidR="00AA58BA" w:rsidRPr="00A65A1A" w:rsidRDefault="00BC4022" w:rsidP="00C76E7A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Mar 2022</w:t>
            </w:r>
          </w:p>
        </w:tc>
      </w:tr>
      <w:tr w:rsidR="00BC4022" w:rsidRPr="00A65A1A" w14:paraId="183E91B2" w14:textId="77777777" w:rsidTr="00BC4022">
        <w:trPr>
          <w:jc w:val="center"/>
        </w:trPr>
        <w:tc>
          <w:tcPr>
            <w:tcW w:w="3015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BA7ED3D" w14:textId="4F5BFCE4" w:rsidR="00AA58BA" w:rsidRPr="00A65A1A" w:rsidRDefault="00BC4022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All US adults</w:t>
            </w:r>
          </w:p>
        </w:tc>
        <w:tc>
          <w:tcPr>
            <w:tcW w:w="1224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64451280" w14:textId="6C301763" w:rsidR="00AA58BA" w:rsidRPr="00262BA0" w:rsidRDefault="00BC4022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50.26</w:t>
            </w:r>
          </w:p>
        </w:tc>
        <w:tc>
          <w:tcPr>
            <w:tcW w:w="1224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48E3B46E" w14:textId="14667CD1" w:rsidR="00AA58BA" w:rsidRPr="00A65A1A" w:rsidRDefault="00BC4022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50.37</w:t>
            </w:r>
          </w:p>
        </w:tc>
        <w:tc>
          <w:tcPr>
            <w:tcW w:w="1224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628DCA6F" w14:textId="4B4B1F2D" w:rsidR="00AA58BA" w:rsidRPr="00A65A1A" w:rsidRDefault="00BC4022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49.46</w:t>
            </w:r>
          </w:p>
        </w:tc>
        <w:tc>
          <w:tcPr>
            <w:tcW w:w="1224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749BE26E" w14:textId="157C1290" w:rsidR="00AA58BA" w:rsidRPr="00A65A1A" w:rsidRDefault="00BC4022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49.61</w:t>
            </w:r>
          </w:p>
        </w:tc>
        <w:tc>
          <w:tcPr>
            <w:tcW w:w="1224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1B4A9B90" w14:textId="6CD53CCF" w:rsidR="00AA58BA" w:rsidRPr="00A65A1A" w:rsidRDefault="00BC4022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49.83</w:t>
            </w:r>
          </w:p>
        </w:tc>
      </w:tr>
      <w:tr w:rsidR="00C340FB" w:rsidRPr="00A65A1A" w14:paraId="7670F334" w14:textId="77777777" w:rsidTr="00C340FB">
        <w:trPr>
          <w:jc w:val="center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3681DDA" w14:textId="1FC388F6" w:rsidR="00AA58BA" w:rsidRDefault="00BC4022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Income: &lt;$50,000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3C4DF2E9" w14:textId="2C4714A2" w:rsidR="00AA58BA" w:rsidRDefault="00BC4022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45.71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156CAFC3" w14:textId="061BD50D" w:rsidR="00AA58BA" w:rsidRDefault="00BC4022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45.80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059F7A86" w14:textId="74C8FBBB" w:rsidR="00AA58BA" w:rsidRDefault="00BC4022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45.00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522C2060" w14:textId="7A034EAF" w:rsidR="00AA58BA" w:rsidRDefault="00BC4022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46.24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01E2D779" w14:textId="532DCA15" w:rsidR="00AA58BA" w:rsidRDefault="00BC4022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45.21</w:t>
            </w:r>
          </w:p>
        </w:tc>
      </w:tr>
      <w:tr w:rsidR="00C340FB" w:rsidRPr="00A65A1A" w14:paraId="648E8E7A" w14:textId="77777777" w:rsidTr="00C340FB">
        <w:trPr>
          <w:jc w:val="center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8348F1B" w14:textId="6B9B6225" w:rsidR="00AA58BA" w:rsidRDefault="00BC4022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Income: $50,000–$99,999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2362DE6B" w14:textId="62DCC288" w:rsidR="00AA58BA" w:rsidRDefault="00BC4022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54.14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22FB8005" w14:textId="12320AA2" w:rsidR="00AA58BA" w:rsidRDefault="00BC4022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54.38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256B0ECB" w14:textId="4D56C7FC" w:rsidR="00AA58BA" w:rsidRDefault="00BC4022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53.19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17234675" w14:textId="0264CFD2" w:rsidR="00AA58BA" w:rsidRDefault="00BC4022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51.90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3F52BFA2" w14:textId="3B8432CE" w:rsidR="00AA58BA" w:rsidRDefault="00BC4022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52.97</w:t>
            </w:r>
          </w:p>
        </w:tc>
      </w:tr>
      <w:tr w:rsidR="0041682E" w:rsidRPr="00A65A1A" w14:paraId="7E95DED9" w14:textId="77777777" w:rsidTr="0041682E">
        <w:trPr>
          <w:jc w:val="center"/>
        </w:trPr>
        <w:tc>
          <w:tcPr>
            <w:tcW w:w="30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BFCDC59" w14:textId="370B350E" w:rsidR="00AA58BA" w:rsidRPr="00A65A1A" w:rsidRDefault="00BC4022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Income: $100,000+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3E9E301A" w14:textId="2157126D" w:rsidR="00AA58BA" w:rsidRPr="00A65A1A" w:rsidRDefault="00BC4022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59.82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55A83341" w14:textId="5192C1A6" w:rsidR="00AA58BA" w:rsidRPr="00A65A1A" w:rsidRDefault="00BC4022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59.81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30C32E57" w14:textId="7DB098C3" w:rsidR="00AA58BA" w:rsidRPr="00A65A1A" w:rsidRDefault="00BC4022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60.26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4AD57E65" w14:textId="5F9F243D" w:rsidR="00AA58BA" w:rsidRPr="00A65A1A" w:rsidRDefault="00BC4022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59.52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7B5ECAC5" w14:textId="622E9BB0" w:rsidR="00AA58BA" w:rsidRPr="008C1BE9" w:rsidRDefault="00BC4022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59.94</w:t>
            </w:r>
          </w:p>
        </w:tc>
      </w:tr>
    </w:tbl>
    <w:p w14:paraId="569331A1" w14:textId="234D6778" w:rsidR="00AA58BA" w:rsidRDefault="00BC4022" w:rsidP="00BC4022">
      <w:pPr>
        <w:tabs>
          <w:tab w:val="left" w:pos="90"/>
        </w:tabs>
        <w:spacing w:after="0" w:line="240" w:lineRule="auto"/>
        <w:contextualSpacing/>
        <w:mirrorIndents/>
        <w:rPr>
          <w:rFonts w:ascii="Verdana" w:eastAsia="Times New Roman" w:hAnsi="Verdana"/>
          <w:sz w:val="20"/>
          <w:szCs w:val="20"/>
        </w:rPr>
      </w:pPr>
      <w:r>
        <w:rPr>
          <w:sz w:val="16"/>
          <w:szCs w:val="16"/>
        </w:rPr>
        <w:tab/>
        <w:t>Morning Consult, April 2022</w:t>
      </w:r>
      <w:r>
        <w:rPr>
          <w:sz w:val="16"/>
          <w:szCs w:val="16"/>
        </w:rPr>
        <w:tab/>
      </w:r>
      <w:r w:rsidR="0041682E">
        <w:rPr>
          <w:sz w:val="16"/>
          <w:szCs w:val="16"/>
        </w:rPr>
        <w:tab/>
      </w:r>
      <w:r>
        <w:rPr>
          <w:sz w:val="16"/>
          <w:szCs w:val="16"/>
        </w:rPr>
        <w:t>(</w:t>
      </w:r>
      <w:r w:rsidR="0041682E">
        <w:rPr>
          <w:sz w:val="16"/>
          <w:szCs w:val="16"/>
        </w:rPr>
        <w:t xml:space="preserve">the </w:t>
      </w:r>
      <w:r>
        <w:rPr>
          <w:sz w:val="16"/>
          <w:szCs w:val="16"/>
        </w:rPr>
        <w:t xml:space="preserve">color represents the change from </w:t>
      </w:r>
      <w:r w:rsidR="0041682E">
        <w:rPr>
          <w:sz w:val="16"/>
          <w:szCs w:val="16"/>
        </w:rPr>
        <w:t xml:space="preserve">the </w:t>
      </w:r>
      <w:r>
        <w:rPr>
          <w:sz w:val="16"/>
          <w:szCs w:val="16"/>
        </w:rPr>
        <w:t>previous month)</w:t>
      </w:r>
    </w:p>
    <w:p w14:paraId="2063581C" w14:textId="77777777" w:rsidR="00AA58BA" w:rsidRDefault="00AA58BA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670EA66" w14:textId="77777777" w:rsidR="00E11645" w:rsidRDefault="00E11645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FCE103B" w14:textId="2E53F2F8" w:rsidR="009631E0" w:rsidRPr="0041682E" w:rsidRDefault="009631E0" w:rsidP="0041682E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41682E">
        <w:rPr>
          <w:rFonts w:ascii="Verdana" w:hAnsi="Verdana"/>
          <w:b/>
          <w:bCs/>
          <w:color w:val="0070C0"/>
          <w:sz w:val="20"/>
          <w:szCs w:val="20"/>
        </w:rPr>
        <w:lastRenderedPageBreak/>
        <w:t xml:space="preserve">Inflation Is </w:t>
      </w:r>
      <w:r w:rsidR="00E11645" w:rsidRPr="0041682E">
        <w:rPr>
          <w:rFonts w:ascii="Verdana" w:hAnsi="Verdana"/>
          <w:b/>
          <w:bCs/>
          <w:color w:val="0070C0"/>
          <w:sz w:val="20"/>
          <w:szCs w:val="20"/>
        </w:rPr>
        <w:t xml:space="preserve">the </w:t>
      </w:r>
      <w:r w:rsidRPr="0041682E">
        <w:rPr>
          <w:rFonts w:ascii="Verdana" w:hAnsi="Verdana"/>
          <w:b/>
          <w:bCs/>
          <w:color w:val="0070C0"/>
          <w:sz w:val="20"/>
          <w:szCs w:val="20"/>
        </w:rPr>
        <w:t>Top Concern</w:t>
      </w:r>
    </w:p>
    <w:p w14:paraId="1F519954" w14:textId="77777777" w:rsidR="009631E0" w:rsidRPr="009631E0" w:rsidRDefault="009631E0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9566998" w14:textId="23ABAAA3" w:rsidR="00082B27" w:rsidRDefault="00082B27" w:rsidP="00082B27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Gallup poll conducted during the first half of April 2022 found inflation was the </w:t>
      </w:r>
      <w:r w:rsidR="00C76E7A">
        <w:rPr>
          <w:rFonts w:ascii="Verdana" w:hAnsi="Verdana"/>
          <w:sz w:val="20"/>
          <w:szCs w:val="20"/>
        </w:rPr>
        <w:t>most-critical</w:t>
      </w:r>
      <w:r>
        <w:rPr>
          <w:rFonts w:ascii="Verdana" w:hAnsi="Verdana"/>
          <w:sz w:val="20"/>
          <w:szCs w:val="20"/>
        </w:rPr>
        <w:t xml:space="preserve"> concern of respondents</w:t>
      </w:r>
      <w:r w:rsidR="00C76E7A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Gallup’s Economic Confidence Index was -39, but still much better than the -72 during the 2008 recession. </w:t>
      </w:r>
    </w:p>
    <w:p w14:paraId="3D4724F0" w14:textId="0EB6D5B1" w:rsidR="0041682E" w:rsidRDefault="0041682E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73097DB" w14:textId="4AF9D940" w:rsidR="00082B27" w:rsidRDefault="002D5E6D" w:rsidP="009631E0">
      <w:pPr>
        <w:spacing w:after="0" w:line="240" w:lineRule="auto"/>
        <w:contextualSpacing/>
        <w:mirrorIndents/>
        <w:rPr>
          <w:rFonts w:ascii="Verdana" w:eastAsia="Times New Roman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survey for </w:t>
      </w:r>
      <w:r w:rsidR="00082B27">
        <w:rPr>
          <w:rFonts w:ascii="Verdana" w:hAnsi="Verdana"/>
          <w:sz w:val="20"/>
          <w:szCs w:val="20"/>
        </w:rPr>
        <w:t>Morning Consult’s May 2022 US Economic Outlook</w:t>
      </w:r>
      <w:r>
        <w:rPr>
          <w:rFonts w:ascii="Verdana" w:hAnsi="Verdana"/>
          <w:sz w:val="20"/>
          <w:szCs w:val="20"/>
        </w:rPr>
        <w:t xml:space="preserve"> found expenses exceeded income for 73% of households earning less than $50,000 during March 2022 while just 20% of households earning </w:t>
      </w:r>
      <w:r>
        <w:rPr>
          <w:rFonts w:ascii="Verdana" w:eastAsia="Times New Roman" w:hAnsi="Verdana"/>
          <w:sz w:val="20"/>
          <w:szCs w:val="20"/>
        </w:rPr>
        <w:t>$50,000–$99,999 didn’t have adequate income to cover expenses.</w:t>
      </w:r>
    </w:p>
    <w:p w14:paraId="6E10408B" w14:textId="0088FB9A" w:rsidR="002D5E6D" w:rsidRDefault="002D5E6D" w:rsidP="009631E0">
      <w:pPr>
        <w:spacing w:after="0" w:line="240" w:lineRule="auto"/>
        <w:contextualSpacing/>
        <w:mirrorIndents/>
        <w:rPr>
          <w:rFonts w:ascii="Verdana" w:eastAsia="Times New Roman" w:hAnsi="Verdana"/>
          <w:sz w:val="20"/>
          <w:szCs w:val="20"/>
        </w:rPr>
      </w:pPr>
    </w:p>
    <w:p w14:paraId="2228F407" w14:textId="53C4E50A" w:rsidR="002D5E6D" w:rsidRDefault="002D5E6D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Among all US adults, 16.8% said </w:t>
      </w:r>
      <w:r w:rsidR="00660F00">
        <w:rPr>
          <w:rFonts w:ascii="Verdana" w:eastAsia="Times New Roman" w:hAnsi="Verdana"/>
          <w:sz w:val="20"/>
          <w:szCs w:val="20"/>
        </w:rPr>
        <w:t>their household expenses exceeded their income during March 2022, the second-most since March 2021. January 2022 recorded the largest percentage at 18.6% during the surge of the Omicron variant of the COVID-19 virus.</w:t>
      </w:r>
    </w:p>
    <w:p w14:paraId="7E01DC61" w14:textId="77777777" w:rsidR="00082B27" w:rsidRDefault="00082B27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1C9C044" w14:textId="77777777" w:rsidR="00684741" w:rsidRDefault="00684741" w:rsidP="00660F00">
      <w:pPr>
        <w:pStyle w:val="Header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Consumer-Spending Categories That Decreased </w:t>
      </w:r>
    </w:p>
    <w:p w14:paraId="3F482ADB" w14:textId="113D2539" w:rsidR="00660F00" w:rsidRPr="00DB0E88" w:rsidRDefault="00684741" w:rsidP="00660F00">
      <w:pPr>
        <w:pStyle w:val="Header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the Most from February 2022 to March 2022</w:t>
      </w:r>
    </w:p>
    <w:tbl>
      <w:tblPr>
        <w:tblW w:w="8978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1267"/>
        <w:gridCol w:w="3218"/>
        <w:gridCol w:w="1267"/>
      </w:tblGrid>
      <w:tr w:rsidR="00660F00" w:rsidRPr="00DB0E88" w14:paraId="016AF487" w14:textId="77777777" w:rsidTr="00684741">
        <w:trPr>
          <w:jc w:val="center"/>
        </w:trPr>
        <w:tc>
          <w:tcPr>
            <w:tcW w:w="3226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4EA0F1BE" w14:textId="15026F88" w:rsidR="00660F00" w:rsidRPr="00DB0E88" w:rsidRDefault="00684741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Category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0F66EC3B" w14:textId="2C64A689" w:rsidR="00660F00" w:rsidRPr="00DB0E88" w:rsidRDefault="00684741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Change</w:t>
            </w:r>
          </w:p>
        </w:tc>
        <w:tc>
          <w:tcPr>
            <w:tcW w:w="3218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7A813D9D" w14:textId="51E321CB" w:rsidR="00660F00" w:rsidRPr="00DB0E88" w:rsidRDefault="00684741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Category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4B25BA5A" w14:textId="63C20509" w:rsidR="00660F00" w:rsidRPr="00DB0E88" w:rsidRDefault="00684741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Change</w:t>
            </w:r>
          </w:p>
        </w:tc>
      </w:tr>
      <w:tr w:rsidR="00684741" w:rsidRPr="00DB0E88" w14:paraId="0AC6A5CB" w14:textId="77777777" w:rsidTr="0068474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226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7F338CBF" w14:textId="44737B0C" w:rsidR="00660F00" w:rsidRPr="00DB0E88" w:rsidRDefault="00684741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#1: Recreation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FF0000"/>
            <w:vAlign w:val="center"/>
          </w:tcPr>
          <w:p w14:paraId="77AB73F2" w14:textId="786E15F2" w:rsidR="00660F00" w:rsidRPr="00DB0E88" w:rsidRDefault="0068474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-21%</w:t>
            </w:r>
          </w:p>
        </w:tc>
        <w:tc>
          <w:tcPr>
            <w:tcW w:w="3218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078BFA56" w14:textId="04594ADA" w:rsidR="00660F00" w:rsidRPr="00DB0E88" w:rsidRDefault="0068474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#6: Hotels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200F6C9E" w14:textId="28632855" w:rsidR="00660F00" w:rsidRPr="00DB0E88" w:rsidRDefault="0068474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-9%</w:t>
            </w:r>
          </w:p>
        </w:tc>
      </w:tr>
      <w:tr w:rsidR="00684741" w:rsidRPr="00DB0E88" w14:paraId="5DAB428B" w14:textId="77777777" w:rsidTr="0068474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01D31FA9" w14:textId="7B005818" w:rsidR="00660F00" w:rsidRPr="00DB0E88" w:rsidRDefault="00684741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#2: Airfare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99594" w:themeFill="accent2" w:themeFillTint="99"/>
            <w:vAlign w:val="center"/>
          </w:tcPr>
          <w:p w14:paraId="1B7251BE" w14:textId="56D29D79" w:rsidR="00660F00" w:rsidRPr="00DB0E88" w:rsidRDefault="0068474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-15%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0BB6941C" w14:textId="7E7BDEDC" w:rsidR="00660F00" w:rsidRPr="00DB0E88" w:rsidRDefault="0068474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#7: Education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765CB57C" w14:textId="17A3E30C" w:rsidR="00660F00" w:rsidRPr="00DB0E88" w:rsidRDefault="0068474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8%</w:t>
            </w:r>
          </w:p>
        </w:tc>
      </w:tr>
      <w:tr w:rsidR="00684741" w:rsidRPr="00DB0E88" w14:paraId="66C311DC" w14:textId="77777777" w:rsidTr="0068474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0E24A8F0" w14:textId="58EF345A" w:rsidR="00660F00" w:rsidRPr="00DB0E88" w:rsidRDefault="00684741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#3: Alcohol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99594" w:themeFill="accent2" w:themeFillTint="99"/>
            <w:vAlign w:val="center"/>
          </w:tcPr>
          <w:p w14:paraId="2F71BBE1" w14:textId="30D47122" w:rsidR="00660F00" w:rsidRPr="00DB0E88" w:rsidRDefault="0068474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-15%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39418586" w14:textId="42248BC9" w:rsidR="00660F00" w:rsidRPr="00DB0E88" w:rsidRDefault="0068474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#8: Health care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21AC36E7" w14:textId="100EC6B6" w:rsidR="00660F00" w:rsidRPr="00DB0E88" w:rsidRDefault="0068474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-4%</w:t>
            </w:r>
          </w:p>
        </w:tc>
      </w:tr>
      <w:tr w:rsidR="00684741" w:rsidRPr="00DB0E88" w14:paraId="1B07FA79" w14:textId="77777777" w:rsidTr="0068474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2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64910BDF" w14:textId="154225D0" w:rsidR="00660F00" w:rsidRPr="00DB0E88" w:rsidRDefault="00684741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#4: Furniture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E5B8B7" w:themeFill="accent2" w:themeFillTint="66"/>
            <w:vAlign w:val="center"/>
          </w:tcPr>
          <w:p w14:paraId="2B8159E2" w14:textId="29994D41" w:rsidR="00660F00" w:rsidRPr="00DB0E88" w:rsidRDefault="0068474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-10%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1C61EDD9" w14:textId="77C24349" w:rsidR="00660F00" w:rsidRPr="00DB0E88" w:rsidRDefault="0068474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#9: Health insurance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73EE60E4" w14:textId="246B9342" w:rsidR="00660F00" w:rsidRPr="00DB0E88" w:rsidRDefault="0068474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-3%</w:t>
            </w:r>
          </w:p>
        </w:tc>
      </w:tr>
      <w:tr w:rsidR="00684741" w:rsidRPr="00DB0E88" w14:paraId="6051F7D3" w14:textId="77777777" w:rsidTr="0068474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2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70C0"/>
            </w:tcBorders>
            <w:vAlign w:val="center"/>
          </w:tcPr>
          <w:p w14:paraId="1C20C050" w14:textId="2F5712BA" w:rsidR="00660F00" w:rsidRPr="00DB0E88" w:rsidRDefault="00684741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#5: Public transportation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8" w:space="0" w:color="0070C0"/>
            </w:tcBorders>
            <w:shd w:val="clear" w:color="auto" w:fill="E5B8B7" w:themeFill="accent2" w:themeFillTint="66"/>
            <w:vAlign w:val="center"/>
          </w:tcPr>
          <w:p w14:paraId="2F7E7410" w14:textId="240BE9AF" w:rsidR="00660F00" w:rsidRPr="00DB0E88" w:rsidRDefault="0068474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-10%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13749BB" w14:textId="3327A311" w:rsidR="00660F00" w:rsidRPr="00DB0E88" w:rsidRDefault="0068474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#10: Personal care services*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61143C16" w14:textId="317C72EB" w:rsidR="00660F00" w:rsidRPr="00DB0E88" w:rsidRDefault="0068474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-2%</w:t>
            </w:r>
          </w:p>
        </w:tc>
      </w:tr>
    </w:tbl>
    <w:p w14:paraId="439D3FB4" w14:textId="59CD5E30" w:rsidR="00660F00" w:rsidRDefault="00660F00" w:rsidP="00684741">
      <w:pPr>
        <w:tabs>
          <w:tab w:val="left" w:pos="180"/>
        </w:tabs>
        <w:spacing w:after="0" w:line="240" w:lineRule="auto"/>
        <w:contextualSpacing/>
        <w:mirrorIndents/>
        <w:rPr>
          <w:sz w:val="16"/>
          <w:szCs w:val="16"/>
        </w:rPr>
      </w:pPr>
      <w:r>
        <w:rPr>
          <w:sz w:val="16"/>
          <w:szCs w:val="16"/>
        </w:rPr>
        <w:tab/>
      </w:r>
      <w:r w:rsidR="00684741">
        <w:rPr>
          <w:sz w:val="16"/>
          <w:szCs w:val="16"/>
        </w:rPr>
        <w:t>Morning Consult, April</w:t>
      </w:r>
      <w:r>
        <w:rPr>
          <w:sz w:val="16"/>
          <w:szCs w:val="16"/>
        </w:rPr>
        <w:t xml:space="preserve"> 2022 </w:t>
      </w:r>
      <w:r w:rsidR="00684741">
        <w:rPr>
          <w:sz w:val="16"/>
          <w:szCs w:val="16"/>
        </w:rPr>
        <w:tab/>
      </w:r>
      <w:r w:rsidR="00684741">
        <w:rPr>
          <w:sz w:val="16"/>
          <w:szCs w:val="16"/>
        </w:rPr>
        <w:tab/>
      </w:r>
      <w:r w:rsidR="00684741">
        <w:rPr>
          <w:sz w:val="16"/>
          <w:szCs w:val="16"/>
        </w:rPr>
        <w:tab/>
        <w:t>*tied with utilities and telecom</w:t>
      </w:r>
    </w:p>
    <w:p w14:paraId="399B0B14" w14:textId="77777777" w:rsidR="0041682E" w:rsidRDefault="0041682E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873F9AB" w14:textId="4E6B9854" w:rsidR="009631E0" w:rsidRPr="000A7EF6" w:rsidRDefault="009631E0" w:rsidP="000A7EF6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0A7EF6">
        <w:rPr>
          <w:rFonts w:ascii="Verdana" w:hAnsi="Verdana"/>
          <w:b/>
          <w:bCs/>
          <w:color w:val="0070C0"/>
          <w:sz w:val="20"/>
          <w:szCs w:val="20"/>
        </w:rPr>
        <w:t>A Focus on African Americans</w:t>
      </w:r>
      <w:r w:rsidR="005C3CE2">
        <w:rPr>
          <w:rFonts w:ascii="Verdana" w:hAnsi="Verdana"/>
          <w:b/>
          <w:bCs/>
          <w:color w:val="0070C0"/>
          <w:sz w:val="20"/>
          <w:szCs w:val="20"/>
        </w:rPr>
        <w:t>’</w:t>
      </w:r>
      <w:r w:rsidRPr="000A7EF6">
        <w:rPr>
          <w:rFonts w:ascii="Verdana" w:hAnsi="Verdana"/>
          <w:b/>
          <w:bCs/>
          <w:color w:val="0070C0"/>
          <w:sz w:val="20"/>
          <w:szCs w:val="20"/>
        </w:rPr>
        <w:t xml:space="preserve"> Finances</w:t>
      </w:r>
    </w:p>
    <w:p w14:paraId="343DD9E8" w14:textId="77777777" w:rsidR="009631E0" w:rsidRPr="009631E0" w:rsidRDefault="009631E0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A050876" w14:textId="6D7086FC" w:rsidR="000A7EF6" w:rsidRDefault="005C3CE2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 October 2021 Pew Research Center survey</w:t>
      </w:r>
      <w:r w:rsidR="004F3F82">
        <w:rPr>
          <w:rFonts w:ascii="Verdana" w:hAnsi="Verdana"/>
          <w:sz w:val="20"/>
          <w:szCs w:val="20"/>
        </w:rPr>
        <w:t xml:space="preserve"> revealed 59% of African Americans said they had the income for their basic needs with a significant amount remaining for extras at 14% and a little remaining for extras at 45%.</w:t>
      </w:r>
    </w:p>
    <w:p w14:paraId="29592C4A" w14:textId="10F75A73" w:rsidR="000A7EF6" w:rsidRDefault="000A7EF6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C55ACA4" w14:textId="5BBA2124" w:rsidR="004F3F82" w:rsidRDefault="004F3F82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Much has changed in the US economy and personal finances since October 2021. A more recent (January 2022) Pew survey found 69% of African Americans said strengthening the economy was </w:t>
      </w:r>
      <w:r w:rsidR="00C76E7A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 top priority, but dealing with the coronavirus outbreak was first at 74%.</w:t>
      </w:r>
    </w:p>
    <w:p w14:paraId="6E4A61D0" w14:textId="369758F5" w:rsidR="004F3F82" w:rsidRDefault="004F3F82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73C7429" w14:textId="5D32919A" w:rsidR="004F3F82" w:rsidRDefault="007919F0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Of the African Americans participating in a ThinkNow December 2021 survey, </w:t>
      </w:r>
      <w:r w:rsidR="00BE6114">
        <w:rPr>
          <w:rFonts w:ascii="Verdana" w:hAnsi="Verdana"/>
          <w:sz w:val="20"/>
          <w:szCs w:val="20"/>
        </w:rPr>
        <w:t>42% of them said their 2021 household incomes had improved by 18% from 2020, which isn’t surprising; however, 49% said their 2022 finances would be better than 2021, decreasing by 4%.</w:t>
      </w:r>
    </w:p>
    <w:p w14:paraId="210B861B" w14:textId="7808A5B9" w:rsidR="000A7EF6" w:rsidRDefault="000A7EF6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1DB7FCA" w14:textId="77777777" w:rsidR="00EF6DEB" w:rsidRDefault="004601E9" w:rsidP="004601E9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Indices of </w:t>
      </w:r>
      <w:r w:rsidR="00EF6DEB">
        <w:rPr>
          <w:b/>
          <w:bCs/>
          <w:sz w:val="20"/>
          <w:szCs w:val="20"/>
        </w:rPr>
        <w:t xml:space="preserve">US Adults Who Are Financial </w:t>
      </w:r>
    </w:p>
    <w:p w14:paraId="267DAF14" w14:textId="348EB5A6" w:rsidR="004601E9" w:rsidRPr="005D1511" w:rsidRDefault="00EF6DEB" w:rsidP="004601E9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Optimists* by Ethnicity</w:t>
      </w:r>
      <w:r w:rsidR="004601E9">
        <w:rPr>
          <w:b/>
          <w:bCs/>
          <w:sz w:val="20"/>
          <w:szCs w:val="20"/>
        </w:rPr>
        <w:t>, in Selected Markets</w:t>
      </w:r>
      <w:r w:rsidR="004601E9" w:rsidRPr="005D1511">
        <w:rPr>
          <w:b/>
          <w:bCs/>
          <w:sz w:val="20"/>
          <w:szCs w:val="20"/>
        </w:rPr>
        <w:t>, 202</w:t>
      </w:r>
      <w:r w:rsidR="004601E9">
        <w:rPr>
          <w:b/>
          <w:bCs/>
          <w:sz w:val="20"/>
          <w:szCs w:val="20"/>
        </w:rPr>
        <w:t>1</w:t>
      </w:r>
    </w:p>
    <w:tbl>
      <w:tblPr>
        <w:tblW w:w="10162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1492"/>
        <w:gridCol w:w="1498"/>
        <w:gridCol w:w="1498"/>
        <w:gridCol w:w="1498"/>
        <w:gridCol w:w="1498"/>
      </w:tblGrid>
      <w:tr w:rsidR="004601E9" w:rsidRPr="005D1511" w14:paraId="6B029ADC" w14:textId="77777777" w:rsidTr="00EF6DEB">
        <w:trPr>
          <w:jc w:val="center"/>
        </w:trPr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3EB256C0" w14:textId="297B5009" w:rsidR="004601E9" w:rsidRPr="004815C1" w:rsidRDefault="00EF6DEB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Ethnicity</w:t>
            </w:r>
          </w:p>
        </w:tc>
        <w:tc>
          <w:tcPr>
            <w:tcW w:w="1492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5AB6DE56" w14:textId="5F5A5FAF" w:rsidR="004601E9" w:rsidRPr="004815C1" w:rsidRDefault="00EF6DEB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Miami-Ft. Lauderdale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347C7A3C" w14:textId="77777777" w:rsidR="004601E9" w:rsidRPr="004815C1" w:rsidRDefault="004601E9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Pittsburgh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266A2657" w14:textId="043CF880" w:rsidR="004601E9" w:rsidRPr="004815C1" w:rsidRDefault="00EF6DEB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Little Rock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514DA994" w14:textId="67B5DD3D" w:rsidR="004601E9" w:rsidRPr="004815C1" w:rsidRDefault="00EF6DEB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Colorado Springs, CO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shd w:val="clear" w:color="auto" w:fill="auto"/>
            <w:vAlign w:val="center"/>
          </w:tcPr>
          <w:p w14:paraId="2B6F61AB" w14:textId="77777777" w:rsidR="004601E9" w:rsidRPr="004815C1" w:rsidRDefault="004601E9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Portland, OR</w:t>
            </w:r>
          </w:p>
        </w:tc>
      </w:tr>
      <w:tr w:rsidR="004601E9" w:rsidRPr="005D1511" w14:paraId="2D0F0E54" w14:textId="77777777" w:rsidTr="00EF6DE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78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DFBDD89" w14:textId="0D357EEF" w:rsidR="004601E9" w:rsidRPr="004815C1" w:rsidRDefault="00EF6DEB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Caucasian Americans</w:t>
            </w:r>
          </w:p>
        </w:tc>
        <w:tc>
          <w:tcPr>
            <w:tcW w:w="1492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226EB51A" w14:textId="2A58CC2B" w:rsidR="004601E9" w:rsidRPr="004815C1" w:rsidRDefault="00EF6DE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80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0C26623E" w14:textId="50F00787" w:rsidR="004601E9" w:rsidRPr="004815C1" w:rsidRDefault="00EF6DE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92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3793960D" w14:textId="5D942730" w:rsidR="004601E9" w:rsidRPr="004815C1" w:rsidRDefault="00EF6DE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92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33F04D09" w14:textId="62A57F58" w:rsidR="004601E9" w:rsidRPr="00F678A1" w:rsidRDefault="00EF6DE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90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14:paraId="24C823B8" w14:textId="38AD04B4" w:rsidR="004601E9" w:rsidRPr="004815C1" w:rsidRDefault="00EF6DEB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92</w:t>
            </w:r>
          </w:p>
        </w:tc>
      </w:tr>
      <w:tr w:rsidR="00EF6DEB" w:rsidRPr="005D1511" w14:paraId="62CA6C75" w14:textId="77777777" w:rsidTr="00EF6DE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5A5871B" w14:textId="0B14D74D" w:rsidR="004601E9" w:rsidRPr="004815C1" w:rsidRDefault="00EF6DEB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African Americans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2A3CE170" w14:textId="3421FBB9" w:rsidR="004601E9" w:rsidRPr="004815C1" w:rsidRDefault="00EF6DE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7CA15C3A" w14:textId="1E952738" w:rsidR="004601E9" w:rsidRPr="004815C1" w:rsidRDefault="00EF6DE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207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555C1567" w14:textId="2C58A753" w:rsidR="004601E9" w:rsidRPr="004815C1" w:rsidRDefault="00EF6DE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48AE05D5" w14:textId="34188912" w:rsidR="004601E9" w:rsidRPr="004815C1" w:rsidRDefault="00EF6DE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5722880E" w14:textId="734C77CE" w:rsidR="004601E9" w:rsidRPr="00B00624" w:rsidRDefault="00EF6DE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138</w:t>
            </w:r>
          </w:p>
        </w:tc>
      </w:tr>
      <w:tr w:rsidR="00EF6DEB" w:rsidRPr="005D1511" w14:paraId="5CB33FBE" w14:textId="77777777" w:rsidTr="00EF6DE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0AAFA983" w14:textId="426A4BE2" w:rsidR="004601E9" w:rsidRPr="004815C1" w:rsidRDefault="00EF6DEB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Latinx Americans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1006B460" w14:textId="45DF2958" w:rsidR="004601E9" w:rsidRPr="004815C1" w:rsidRDefault="00EF6DE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6C4279AD" w14:textId="7C64571D" w:rsidR="004601E9" w:rsidRPr="004815C1" w:rsidRDefault="00EF6DE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4D42C188" w14:textId="0758318E" w:rsidR="004601E9" w:rsidRPr="004815C1" w:rsidRDefault="00EF6DE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1507569A" w14:textId="46A95329" w:rsidR="004601E9" w:rsidRPr="004815C1" w:rsidRDefault="00EF6DE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5591FD67" w14:textId="7D50E6E9" w:rsidR="004601E9" w:rsidRPr="00B00624" w:rsidRDefault="00EF6DE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131</w:t>
            </w:r>
          </w:p>
        </w:tc>
      </w:tr>
      <w:tr w:rsidR="00EF6DEB" w:rsidRPr="005D1511" w14:paraId="2971AADF" w14:textId="77777777" w:rsidTr="00EF6DE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7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63A1485E" w14:textId="49C92D7F" w:rsidR="004601E9" w:rsidRDefault="00EF6DEB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Asian Americans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3D623104" w14:textId="4F64DCDC" w:rsidR="004601E9" w:rsidRDefault="00EF6DE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F0000"/>
            <w:vAlign w:val="center"/>
          </w:tcPr>
          <w:p w14:paraId="7AFF2B62" w14:textId="37F05955" w:rsidR="004601E9" w:rsidRDefault="00EF6DE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F0000"/>
            <w:vAlign w:val="center"/>
          </w:tcPr>
          <w:p w14:paraId="2A305300" w14:textId="03200F29" w:rsidR="004601E9" w:rsidRDefault="00EF6DE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92D050"/>
            <w:vAlign w:val="center"/>
          </w:tcPr>
          <w:p w14:paraId="1AECFF58" w14:textId="732F27C8" w:rsidR="004601E9" w:rsidRDefault="00EF6DE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174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110C8C5E" w14:textId="4B19FEF2" w:rsidR="004601E9" w:rsidRDefault="00EF6DE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130</w:t>
            </w:r>
          </w:p>
        </w:tc>
      </w:tr>
      <w:tr w:rsidR="00EF6DEB" w:rsidRPr="005D1511" w14:paraId="48A86C26" w14:textId="77777777" w:rsidTr="00EF6DE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67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08B4F3BF" w14:textId="29F8699B" w:rsidR="004601E9" w:rsidRPr="004815C1" w:rsidRDefault="00EF6DEB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Other ethnic Americans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20F7ABD9" w14:textId="731AB3CE" w:rsidR="004601E9" w:rsidRPr="004815C1" w:rsidRDefault="00EF6DE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92D050"/>
            <w:vAlign w:val="center"/>
          </w:tcPr>
          <w:p w14:paraId="588865EB" w14:textId="22D4ED5C" w:rsidR="004601E9" w:rsidRPr="004815C1" w:rsidRDefault="00EF6DE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03BACA28" w14:textId="42EC2AA1" w:rsidR="004601E9" w:rsidRPr="00B00624" w:rsidRDefault="00EF6DE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2FEA1595" w14:textId="31834F25" w:rsidR="004601E9" w:rsidRPr="004815C1" w:rsidRDefault="00EF6DE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68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424ABFAF" w14:textId="5EFE948E" w:rsidR="004601E9" w:rsidRPr="004815C1" w:rsidRDefault="00EF6DE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131</w:t>
            </w:r>
          </w:p>
        </w:tc>
      </w:tr>
    </w:tbl>
    <w:p w14:paraId="0049C3E7" w14:textId="4FCDD65B" w:rsidR="004601E9" w:rsidRDefault="004601E9" w:rsidP="00EF6DEB">
      <w:pPr>
        <w:spacing w:after="0" w:line="240" w:lineRule="auto"/>
        <w:contextualSpacing/>
        <w:mirrorIndents/>
        <w:rPr>
          <w:sz w:val="16"/>
          <w:szCs w:val="16"/>
        </w:rPr>
      </w:pPr>
      <w:r w:rsidRPr="00573142">
        <w:rPr>
          <w:sz w:val="16"/>
          <w:szCs w:val="16"/>
        </w:rPr>
        <w:t xml:space="preserve">Based on The Media Audit’s </w:t>
      </w:r>
      <w:r w:rsidR="00EF6DEB">
        <w:rPr>
          <w:sz w:val="16"/>
          <w:szCs w:val="16"/>
        </w:rPr>
        <w:t xml:space="preserve">Fall </w:t>
      </w:r>
      <w:r w:rsidRPr="00573142">
        <w:rPr>
          <w:sz w:val="16"/>
          <w:szCs w:val="16"/>
        </w:rPr>
        <w:t xml:space="preserve">2021 surveys  </w:t>
      </w:r>
      <w:r>
        <w:rPr>
          <w:sz w:val="16"/>
          <w:szCs w:val="16"/>
        </w:rPr>
        <w:tab/>
        <w:t>*</w:t>
      </w:r>
      <w:r w:rsidR="00EF6DEB">
        <w:rPr>
          <w:sz w:val="16"/>
          <w:szCs w:val="16"/>
        </w:rPr>
        <w:t>improved financial situation by spring 2022</w:t>
      </w:r>
    </w:p>
    <w:p w14:paraId="7ECA8FCE" w14:textId="3BFBDDBA" w:rsidR="00BE6114" w:rsidRDefault="00BE6114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3DD6961" w14:textId="5D04ED2C" w:rsidR="009631E0" w:rsidRPr="00415F1B" w:rsidRDefault="009631E0" w:rsidP="00415F1B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415F1B">
        <w:rPr>
          <w:rFonts w:ascii="Verdana" w:hAnsi="Verdana"/>
          <w:b/>
          <w:bCs/>
          <w:color w:val="0070C0"/>
          <w:sz w:val="20"/>
          <w:szCs w:val="20"/>
        </w:rPr>
        <w:lastRenderedPageBreak/>
        <w:t>African Americans’ Banking Experiences</w:t>
      </w:r>
    </w:p>
    <w:p w14:paraId="20208EC0" w14:textId="77777777" w:rsidR="009631E0" w:rsidRPr="009631E0" w:rsidRDefault="009631E0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8A1C4A3" w14:textId="08F3266C" w:rsidR="00415F1B" w:rsidRDefault="009312E8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According to results from a February 2022 Morning Consult survey, banks must do a better job serving African Americans as the survey found 55% of them said the nearest branch of their bank was 10 minutes or more distance, the most of all ethnic groups in the survey.</w:t>
      </w:r>
    </w:p>
    <w:p w14:paraId="7315BCFF" w14:textId="24007295" w:rsidR="009312E8" w:rsidRDefault="009312E8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0387FFE" w14:textId="01F53AEC" w:rsidR="009312E8" w:rsidRDefault="009312E8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Interestingly, more African Americans used a digital wallet every day (11%) or several times a week (25%) than Caucasian Americans (20% total), Latinx Americans (33% total) and all other ethnicities (26% total).</w:t>
      </w:r>
    </w:p>
    <w:p w14:paraId="37E20EFB" w14:textId="76658335" w:rsidR="009312E8" w:rsidRDefault="009312E8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F6778CC" w14:textId="4AA651CB" w:rsidR="009312E8" w:rsidRDefault="009312E8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African Americans</w:t>
      </w:r>
      <w:r w:rsidR="00E90FA4">
        <w:rPr>
          <w:rFonts w:ascii="Verdana" w:hAnsi="Verdana"/>
          <w:sz w:val="20"/>
          <w:szCs w:val="20"/>
        </w:rPr>
        <w:t>’ use of a digital wallet is also reflected in the 52% who said they applied for a personal loan online versus 40% of Caucasian Americans</w:t>
      </w:r>
      <w:r w:rsidR="00C76E7A">
        <w:rPr>
          <w:rFonts w:ascii="Verdana" w:hAnsi="Verdana"/>
          <w:sz w:val="20"/>
          <w:szCs w:val="20"/>
        </w:rPr>
        <w:t xml:space="preserve">. </w:t>
      </w:r>
      <w:r w:rsidR="00E90FA4">
        <w:rPr>
          <w:rFonts w:ascii="Verdana" w:hAnsi="Verdana"/>
          <w:sz w:val="20"/>
          <w:szCs w:val="20"/>
        </w:rPr>
        <w:t>37% of African Americans had opened a bank account online versus 24% of Caucasian Americans.</w:t>
      </w:r>
    </w:p>
    <w:p w14:paraId="4576A47F" w14:textId="7391723A" w:rsidR="00E90FA4" w:rsidRDefault="00E90FA4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FE6AE19" w14:textId="77777777" w:rsidR="00DC053B" w:rsidRDefault="00BF579C" w:rsidP="00DC053B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Indices of African Americans </w:t>
      </w:r>
      <w:r w:rsidR="00DC053B">
        <w:rPr>
          <w:b/>
          <w:bCs/>
          <w:sz w:val="20"/>
          <w:szCs w:val="20"/>
        </w:rPr>
        <w:t xml:space="preserve">and Financial </w:t>
      </w:r>
    </w:p>
    <w:p w14:paraId="050347F6" w14:textId="69EC5A44" w:rsidR="00DC053B" w:rsidRPr="005D1511" w:rsidRDefault="00DC053B" w:rsidP="00DC053B">
      <w:pPr>
        <w:spacing w:after="0" w:line="240" w:lineRule="auto"/>
        <w:contextualSpacing/>
        <w:mirrorIndents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Activities/Assets</w:t>
      </w:r>
      <w:r w:rsidR="00BF579C">
        <w:rPr>
          <w:b/>
          <w:bCs/>
          <w:sz w:val="20"/>
          <w:szCs w:val="20"/>
        </w:rPr>
        <w:t>, in Selected Markets</w:t>
      </w:r>
      <w:r w:rsidR="00BF579C" w:rsidRPr="005D1511">
        <w:rPr>
          <w:b/>
          <w:bCs/>
          <w:sz w:val="20"/>
          <w:szCs w:val="20"/>
        </w:rPr>
        <w:t>, 202</w:t>
      </w:r>
      <w:r w:rsidR="00BF579C">
        <w:rPr>
          <w:b/>
          <w:bCs/>
          <w:sz w:val="20"/>
          <w:szCs w:val="20"/>
        </w:rPr>
        <w:t>1</w:t>
      </w:r>
    </w:p>
    <w:tbl>
      <w:tblPr>
        <w:tblW w:w="11353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63"/>
        <w:gridCol w:w="1498"/>
        <w:gridCol w:w="1498"/>
        <w:gridCol w:w="1498"/>
        <w:gridCol w:w="1498"/>
        <w:gridCol w:w="1498"/>
      </w:tblGrid>
      <w:tr w:rsidR="00BF579C" w:rsidRPr="005D1511" w14:paraId="1CBF3C01" w14:textId="77777777" w:rsidTr="00DC053B">
        <w:trPr>
          <w:jc w:val="center"/>
        </w:trPr>
        <w:tc>
          <w:tcPr>
            <w:tcW w:w="3863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461D3766" w14:textId="19977429" w:rsidR="00BF579C" w:rsidRPr="004815C1" w:rsidRDefault="00DC053B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Financial Activities/Assets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69E329CE" w14:textId="77777777" w:rsidR="00BF579C" w:rsidRPr="004815C1" w:rsidRDefault="00BF579C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Miami-Ft. Lauderdale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4AC7B74D" w14:textId="77777777" w:rsidR="00BF579C" w:rsidRPr="004815C1" w:rsidRDefault="00BF579C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Pittsburgh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6ACFDB4A" w14:textId="77777777" w:rsidR="00BF579C" w:rsidRPr="004815C1" w:rsidRDefault="00BF579C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Little Rock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431C8950" w14:textId="77777777" w:rsidR="00BF579C" w:rsidRPr="004815C1" w:rsidRDefault="00BF579C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Colorado Springs, CO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shd w:val="clear" w:color="auto" w:fill="auto"/>
            <w:vAlign w:val="center"/>
          </w:tcPr>
          <w:p w14:paraId="38CC9D67" w14:textId="77777777" w:rsidR="00BF579C" w:rsidRPr="004815C1" w:rsidRDefault="00BF579C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Portland, OR</w:t>
            </w:r>
          </w:p>
        </w:tc>
      </w:tr>
      <w:tr w:rsidR="00BF579C" w:rsidRPr="005D1511" w14:paraId="3A646050" w14:textId="77777777" w:rsidTr="00DC053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863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6F6DC60E" w14:textId="4F46B332" w:rsidR="00BF579C" w:rsidRPr="004815C1" w:rsidRDefault="00DC053B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Traded stocks, bonds or securities*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6154032A" w14:textId="1D513290" w:rsidR="00BF579C" w:rsidRPr="004815C1" w:rsidRDefault="00DC053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115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6F0A5AAA" w14:textId="4D0BBD18" w:rsidR="00BF579C" w:rsidRPr="004815C1" w:rsidRDefault="00DC053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105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7B4527FC" w14:textId="0FA7ED84" w:rsidR="00BF579C" w:rsidRPr="004815C1" w:rsidRDefault="00DC053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97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71BF50C" w14:textId="61BAB5E8" w:rsidR="00BF579C" w:rsidRPr="00F678A1" w:rsidRDefault="00DC053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127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769482A1" w14:textId="74AA7D73" w:rsidR="00BF579C" w:rsidRPr="004815C1" w:rsidRDefault="00DC053B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129</w:t>
            </w:r>
          </w:p>
        </w:tc>
      </w:tr>
      <w:tr w:rsidR="00DC053B" w:rsidRPr="005D1511" w14:paraId="416C466A" w14:textId="77777777" w:rsidTr="0041142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7CFA06D" w14:textId="5817EAA6" w:rsidR="00BF579C" w:rsidRPr="004815C1" w:rsidRDefault="00DC053B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Have CDs, IRAs or 401Ks, all adults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334A3463" w14:textId="29942B48" w:rsidR="00BF579C" w:rsidRPr="004815C1" w:rsidRDefault="00DC053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F0000"/>
            <w:vAlign w:val="center"/>
          </w:tcPr>
          <w:p w14:paraId="40C89C0C" w14:textId="11413722" w:rsidR="00BF579C" w:rsidRPr="004815C1" w:rsidRDefault="00DC053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6B174948" w14:textId="513551EF" w:rsidR="00BF579C" w:rsidRPr="004815C1" w:rsidRDefault="00DC053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77632F96" w14:textId="283BEA48" w:rsidR="00BF579C" w:rsidRPr="004815C1" w:rsidRDefault="00DC053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33258501" w14:textId="5C638958" w:rsidR="00BF579C" w:rsidRPr="00B00624" w:rsidRDefault="00DC053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82</w:t>
            </w:r>
          </w:p>
        </w:tc>
      </w:tr>
      <w:tr w:rsidR="00DC053B" w:rsidRPr="005D1511" w14:paraId="60B1751D" w14:textId="77777777" w:rsidTr="0041142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1D61C2F" w14:textId="39F99D88" w:rsidR="00BF579C" w:rsidRPr="004815C1" w:rsidRDefault="00DC053B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Have CDs, IRAs or 401Ks, 18–34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3E042272" w14:textId="3E641B20" w:rsidR="00BF579C" w:rsidRPr="004815C1" w:rsidRDefault="00DC053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3FAA547E" w14:textId="19EF5AFF" w:rsidR="00BF579C" w:rsidRPr="004815C1" w:rsidRDefault="00DC053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047840E4" w14:textId="3577BF3D" w:rsidR="00BF579C" w:rsidRPr="004815C1" w:rsidRDefault="00DC053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182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145E1983" w14:textId="763789B5" w:rsidR="00BF579C" w:rsidRPr="004815C1" w:rsidRDefault="00DC053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176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79057048" w14:textId="53128824" w:rsidR="00BF579C" w:rsidRPr="00B00624" w:rsidRDefault="00DC053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157</w:t>
            </w:r>
          </w:p>
        </w:tc>
      </w:tr>
      <w:tr w:rsidR="00DC053B" w:rsidRPr="005D1511" w14:paraId="6C0D127D" w14:textId="77777777" w:rsidTr="00DC053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8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2E6B639" w14:textId="6EFC2F6C" w:rsidR="00BF579C" w:rsidRDefault="00DC053B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Have CDs, IRAs or 401Ks, 35–54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37E976A2" w14:textId="07DC4152" w:rsidR="00BF579C" w:rsidRDefault="00DC053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1278FB19" w14:textId="6F4EB841" w:rsidR="00BF579C" w:rsidRDefault="00DC053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4645A42E" w14:textId="1899F8EC" w:rsidR="00BF579C" w:rsidRDefault="00DC053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78B85817" w14:textId="265148A8" w:rsidR="00BF579C" w:rsidRDefault="00DC053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78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53187353" w14:textId="6B4C64A8" w:rsidR="00BF579C" w:rsidRDefault="00DC053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85</w:t>
            </w:r>
          </w:p>
        </w:tc>
      </w:tr>
      <w:tr w:rsidR="0041142B" w:rsidRPr="005D1511" w14:paraId="5A46FC84" w14:textId="77777777" w:rsidTr="0041142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86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4C8B2F5C" w14:textId="4682FAC3" w:rsidR="00BF579C" w:rsidRPr="004815C1" w:rsidRDefault="00DC053B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Have CDs, IRAs or 401Ks, +55+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D99594" w:themeFill="accent2" w:themeFillTint="99"/>
            <w:vAlign w:val="center"/>
          </w:tcPr>
          <w:p w14:paraId="12A4B045" w14:textId="62FAD1EB" w:rsidR="00BF579C" w:rsidRPr="004815C1" w:rsidRDefault="00DC053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49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FF0000"/>
            <w:vAlign w:val="center"/>
          </w:tcPr>
          <w:p w14:paraId="530B045B" w14:textId="74A77D1C" w:rsidR="00BF579C" w:rsidRPr="004815C1" w:rsidRDefault="00DC053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FF0000"/>
            <w:vAlign w:val="center"/>
          </w:tcPr>
          <w:p w14:paraId="68B30739" w14:textId="7B96F166" w:rsidR="00BF579C" w:rsidRPr="00B00624" w:rsidRDefault="00DC053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38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372912B0" w14:textId="70C5C695" w:rsidR="00BF579C" w:rsidRPr="004815C1" w:rsidRDefault="00DC053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88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D99594" w:themeFill="accent2" w:themeFillTint="99"/>
            <w:vAlign w:val="center"/>
          </w:tcPr>
          <w:p w14:paraId="3DBEC2E1" w14:textId="7EA99F84" w:rsidR="00BF579C" w:rsidRPr="004815C1" w:rsidRDefault="00DC053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52</w:t>
            </w:r>
          </w:p>
        </w:tc>
      </w:tr>
    </w:tbl>
    <w:p w14:paraId="2DD80FF6" w14:textId="7052386E" w:rsidR="00E90FA4" w:rsidRDefault="00BF579C" w:rsidP="00DC053B">
      <w:pPr>
        <w:spacing w:after="0" w:line="240" w:lineRule="auto"/>
        <w:ind w:hanging="990"/>
        <w:contextualSpacing/>
        <w:mirrorIndents/>
        <w:rPr>
          <w:rFonts w:ascii="Verdana" w:hAnsi="Verdana"/>
          <w:sz w:val="20"/>
          <w:szCs w:val="20"/>
        </w:rPr>
      </w:pPr>
      <w:r w:rsidRPr="00573142">
        <w:rPr>
          <w:sz w:val="16"/>
          <w:szCs w:val="16"/>
        </w:rPr>
        <w:t xml:space="preserve">Based on The Media Audit’s </w:t>
      </w:r>
      <w:r>
        <w:rPr>
          <w:sz w:val="16"/>
          <w:szCs w:val="16"/>
        </w:rPr>
        <w:t xml:space="preserve">Fall </w:t>
      </w:r>
      <w:r w:rsidRPr="00573142">
        <w:rPr>
          <w:sz w:val="16"/>
          <w:szCs w:val="16"/>
        </w:rPr>
        <w:t xml:space="preserve">2021 surveys  </w:t>
      </w:r>
    </w:p>
    <w:p w14:paraId="21C92F07" w14:textId="77777777" w:rsidR="00415F1B" w:rsidRDefault="00415F1B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C110D6E" w14:textId="425E09F8" w:rsidR="009631E0" w:rsidRPr="00AA300B" w:rsidRDefault="009631E0" w:rsidP="00AA300B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AA300B">
        <w:rPr>
          <w:rFonts w:ascii="Verdana" w:hAnsi="Verdana"/>
          <w:b/>
          <w:bCs/>
          <w:color w:val="0070C0"/>
          <w:sz w:val="20"/>
          <w:szCs w:val="20"/>
        </w:rPr>
        <w:t>Banks’ Opportunities with Young Adults</w:t>
      </w:r>
    </w:p>
    <w:p w14:paraId="553CF8D8" w14:textId="77777777" w:rsidR="009631E0" w:rsidRPr="009631E0" w:rsidRDefault="009631E0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2F0FD02" w14:textId="56BFC08F" w:rsidR="00AA300B" w:rsidRDefault="00EA5786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Young adults have many unique financial challenges. Many Gen Zers must secure student loans, buy a vehicle and </w:t>
      </w:r>
      <w:r w:rsidR="005E11DD">
        <w:rPr>
          <w:rFonts w:ascii="Verdana" w:hAnsi="Verdana"/>
          <w:sz w:val="20"/>
          <w:szCs w:val="20"/>
        </w:rPr>
        <w:t xml:space="preserve">address </w:t>
      </w:r>
      <w:r>
        <w:rPr>
          <w:rFonts w:ascii="Verdana" w:hAnsi="Verdana"/>
          <w:sz w:val="20"/>
          <w:szCs w:val="20"/>
        </w:rPr>
        <w:t>rent increases while Millennials are buying homes, starting families</w:t>
      </w:r>
      <w:r w:rsidR="00C76E7A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balancing their household budgets and saving for retirement. </w:t>
      </w:r>
    </w:p>
    <w:p w14:paraId="646CFD11" w14:textId="4435668B" w:rsidR="005817D6" w:rsidRDefault="005817D6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59FE4FB" w14:textId="714F4E8E" w:rsidR="00C76E7A" w:rsidRDefault="00C76E7A" w:rsidP="00C76E7A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Research indicates almost half (46%) of Gen Zers seek information about personal finances on social media platforms and</w:t>
      </w:r>
      <w:r>
        <w:rPr>
          <w:sz w:val="20"/>
        </w:rPr>
        <w:t xml:space="preserve"> from</w:t>
      </w:r>
      <w:r>
        <w:rPr>
          <w:rFonts w:ascii="Verdana" w:hAnsi="Verdana"/>
          <w:sz w:val="20"/>
          <w:szCs w:val="20"/>
        </w:rPr>
        <w:t xml:space="preserve"> influencers. Banks can engage with Gen Zers by</w:t>
      </w:r>
      <w:r>
        <w:rPr>
          <w:sz w:val="20"/>
        </w:rPr>
        <w:t xml:space="preserve"> </w:t>
      </w:r>
      <w:r>
        <w:rPr>
          <w:rFonts w:ascii="Verdana" w:hAnsi="Verdana"/>
          <w:sz w:val="20"/>
          <w:szCs w:val="20"/>
        </w:rPr>
        <w:t>partner</w:t>
      </w:r>
      <w:r>
        <w:rPr>
          <w:sz w:val="20"/>
        </w:rPr>
        <w:t>in</w:t>
      </w:r>
      <w:r>
        <w:rPr>
          <w:sz w:val="20"/>
        </w:rPr>
        <w:t>g</w:t>
      </w:r>
      <w:r>
        <w:rPr>
          <w:rFonts w:ascii="Verdana" w:hAnsi="Verdana"/>
          <w:sz w:val="20"/>
          <w:szCs w:val="20"/>
        </w:rPr>
        <w:t xml:space="preserve"> with influencers</w:t>
      </w:r>
      <w:r>
        <w:rPr>
          <w:sz w:val="20"/>
        </w:rPr>
        <w:t xml:space="preserve"> to</w:t>
      </w:r>
      <w:r>
        <w:rPr>
          <w:rFonts w:ascii="Verdana" w:hAnsi="Verdana"/>
          <w:sz w:val="20"/>
          <w:szCs w:val="20"/>
        </w:rPr>
        <w:t xml:space="preserve"> provide </w:t>
      </w:r>
      <w:r>
        <w:rPr>
          <w:sz w:val="20"/>
        </w:rPr>
        <w:t xml:space="preserve">Gen Zers </w:t>
      </w:r>
      <w:r>
        <w:rPr>
          <w:rFonts w:ascii="Verdana" w:hAnsi="Verdana"/>
          <w:sz w:val="20"/>
          <w:szCs w:val="20"/>
        </w:rPr>
        <w:t>with in-depth educational content.</w:t>
      </w:r>
    </w:p>
    <w:p w14:paraId="4C707FB2" w14:textId="12DFB01A" w:rsidR="005817D6" w:rsidRDefault="005817D6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A738028" w14:textId="6ED9757E" w:rsidR="005817D6" w:rsidRDefault="005817D6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Millennials’ financial goals are somewhat different. A December 2021 Morning Consult survey found “establishing an emergency fund” and “creating and maintaining a budget” were their primary goals, both at 89%.</w:t>
      </w:r>
    </w:p>
    <w:p w14:paraId="277D557E" w14:textId="0E4579D9" w:rsidR="00315B36" w:rsidRDefault="00315B36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75CFFD0" w14:textId="2CA7AF63" w:rsidR="000E435E" w:rsidRPr="00DB0E88" w:rsidRDefault="00315B36" w:rsidP="000E435E">
      <w:pPr>
        <w:pStyle w:val="Header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Adults Who Don’t Use Banks, by Various Demographics, January</w:t>
      </w:r>
      <w:r>
        <w:rPr>
          <w:rFonts w:ascii="Verdana" w:hAnsi="Verdana"/>
          <w:b/>
          <w:sz w:val="20"/>
          <w:szCs w:val="20"/>
        </w:rPr>
        <w:t>–</w:t>
      </w:r>
      <w:r>
        <w:rPr>
          <w:b/>
          <w:sz w:val="20"/>
          <w:szCs w:val="20"/>
        </w:rPr>
        <w:t>March 2022</w:t>
      </w:r>
    </w:p>
    <w:tbl>
      <w:tblPr>
        <w:tblW w:w="11698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152"/>
        <w:gridCol w:w="1777"/>
        <w:gridCol w:w="1152"/>
        <w:gridCol w:w="1771"/>
        <w:gridCol w:w="1152"/>
        <w:gridCol w:w="1771"/>
        <w:gridCol w:w="1152"/>
      </w:tblGrid>
      <w:tr w:rsidR="00315B36" w:rsidRPr="00DB0E88" w14:paraId="1D6A2255" w14:textId="7AB60CCD" w:rsidTr="00C76E7A">
        <w:trPr>
          <w:jc w:val="center"/>
        </w:trPr>
        <w:tc>
          <w:tcPr>
            <w:tcW w:w="1771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0EFD7896" w14:textId="16460F98" w:rsidR="00315B36" w:rsidRPr="00DB0E88" w:rsidRDefault="00315B36" w:rsidP="00C76E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Gender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2D07BD6D" w14:textId="38AF071B" w:rsidR="00315B36" w:rsidRPr="00DB0E88" w:rsidRDefault="000E435E" w:rsidP="00C76E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Percent</w:t>
            </w:r>
          </w:p>
        </w:tc>
        <w:tc>
          <w:tcPr>
            <w:tcW w:w="1777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1CFADB83" w14:textId="3D20541D" w:rsidR="00315B36" w:rsidRPr="00DB0E88" w:rsidRDefault="00315B36" w:rsidP="00C76E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Generation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5EC3ED0E" w14:textId="36C034DE" w:rsidR="00315B36" w:rsidRPr="00DB0E88" w:rsidRDefault="000E435E" w:rsidP="00C76E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Percent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4DFD079C" w14:textId="623E2BDE" w:rsidR="00315B36" w:rsidRPr="00DB0E88" w:rsidRDefault="00315B36" w:rsidP="00C76E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Income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3DBA8600" w14:textId="6FACC34C" w:rsidR="00315B36" w:rsidRPr="00DB0E88" w:rsidRDefault="000E435E" w:rsidP="00C76E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Percent</w:t>
            </w:r>
          </w:p>
        </w:tc>
        <w:tc>
          <w:tcPr>
            <w:tcW w:w="1771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368942A4" w14:textId="6BA7E6BE" w:rsidR="00315B36" w:rsidRPr="00DB0E88" w:rsidRDefault="000E435E" w:rsidP="00C76E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Education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35161294" w14:textId="2F7167CB" w:rsidR="00315B36" w:rsidRPr="00DB0E88" w:rsidRDefault="000E435E" w:rsidP="00C76E7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Percent</w:t>
            </w:r>
          </w:p>
        </w:tc>
      </w:tr>
      <w:tr w:rsidR="00315B36" w:rsidRPr="00DB0E88" w14:paraId="50D13071" w14:textId="2AD38638" w:rsidTr="000E435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771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0BB3CE1B" w14:textId="667E34E5" w:rsidR="00315B36" w:rsidRPr="00DB0E88" w:rsidRDefault="00315B36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Men</w:t>
            </w:r>
          </w:p>
        </w:tc>
        <w:tc>
          <w:tcPr>
            <w:tcW w:w="1152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99594" w:themeFill="accent2" w:themeFillTint="99"/>
            <w:vAlign w:val="center"/>
          </w:tcPr>
          <w:p w14:paraId="0BF69045" w14:textId="1645DB4A" w:rsidR="00315B36" w:rsidRPr="00DB0E88" w:rsidRDefault="000E435E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39%</w:t>
            </w:r>
          </w:p>
        </w:tc>
        <w:tc>
          <w:tcPr>
            <w:tcW w:w="1777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0D094BDC" w14:textId="544E289A" w:rsidR="00315B36" w:rsidRPr="00DB0E88" w:rsidRDefault="00315B36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 Z adults</w:t>
            </w:r>
          </w:p>
        </w:tc>
        <w:tc>
          <w:tcPr>
            <w:tcW w:w="1152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E5B8B7" w:themeFill="accent2" w:themeFillTint="66"/>
            <w:vAlign w:val="center"/>
          </w:tcPr>
          <w:p w14:paraId="38AFF184" w14:textId="792D32E5" w:rsidR="00315B36" w:rsidRPr="00DB0E88" w:rsidRDefault="000E435E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17%</w:t>
            </w:r>
          </w:p>
        </w:tc>
        <w:tc>
          <w:tcPr>
            <w:tcW w:w="1771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18E39979" w14:textId="63FA3A9E" w:rsidR="00315B36" w:rsidRPr="00DB0E88" w:rsidRDefault="00315B36" w:rsidP="00315B3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&lt;$50,000</w:t>
            </w:r>
          </w:p>
        </w:tc>
        <w:tc>
          <w:tcPr>
            <w:tcW w:w="1152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FF0000"/>
            <w:vAlign w:val="center"/>
          </w:tcPr>
          <w:p w14:paraId="7C722028" w14:textId="71678203" w:rsidR="00315B36" w:rsidRPr="00DB0E88" w:rsidRDefault="000E435E" w:rsidP="000E43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87%</w:t>
            </w:r>
          </w:p>
        </w:tc>
        <w:tc>
          <w:tcPr>
            <w:tcW w:w="1771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68D00328" w14:textId="4B2017B8" w:rsidR="00315B36" w:rsidRPr="00DB0E88" w:rsidRDefault="000E435E" w:rsidP="000E43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High school or less</w:t>
            </w:r>
          </w:p>
        </w:tc>
        <w:tc>
          <w:tcPr>
            <w:tcW w:w="1152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FF0000"/>
            <w:vAlign w:val="center"/>
          </w:tcPr>
          <w:p w14:paraId="0FD0CCA4" w14:textId="7DFE39E5" w:rsidR="00315B36" w:rsidRPr="00DB0E88" w:rsidRDefault="000E435E" w:rsidP="000E43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70%</w:t>
            </w:r>
          </w:p>
        </w:tc>
      </w:tr>
      <w:tr w:rsidR="00315B36" w:rsidRPr="00DB0E88" w14:paraId="55CBD33B" w14:textId="58476F31" w:rsidTr="000E435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2D850D78" w14:textId="7B070AA2" w:rsidR="00315B36" w:rsidRPr="00DB0E88" w:rsidRDefault="00315B36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Women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FF0000"/>
            <w:vAlign w:val="center"/>
          </w:tcPr>
          <w:p w14:paraId="6462855D" w14:textId="5C4F246C" w:rsidR="00315B36" w:rsidRPr="00DB0E88" w:rsidRDefault="000E435E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61%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32A339A5" w14:textId="4C657B50" w:rsidR="00315B36" w:rsidRPr="00DB0E88" w:rsidRDefault="00315B36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Millennials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99594" w:themeFill="accent2" w:themeFillTint="99"/>
            <w:vAlign w:val="center"/>
          </w:tcPr>
          <w:p w14:paraId="3AE74842" w14:textId="2A1EA5F1" w:rsidR="00315B36" w:rsidRPr="00DB0E88" w:rsidRDefault="000E435E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38%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4617CDA5" w14:textId="63782B4C" w:rsidR="00315B36" w:rsidRPr="00DB0E88" w:rsidRDefault="00315B36" w:rsidP="00315B3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$50K</w:t>
            </w:r>
            <w:r>
              <w:rPr>
                <w:rFonts w:ascii="Verdana" w:eastAsia="Times New Roman" w:hAnsi="Verdana"/>
                <w:sz w:val="20"/>
                <w:szCs w:val="20"/>
              </w:rPr>
              <w:t>–$99K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E5B8B7" w:themeFill="accent2" w:themeFillTint="66"/>
            <w:vAlign w:val="center"/>
          </w:tcPr>
          <w:p w14:paraId="16C84909" w14:textId="74F74B52" w:rsidR="00315B36" w:rsidRPr="00DB0E88" w:rsidRDefault="000E435E" w:rsidP="000E43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10%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5AEE1A41" w14:textId="1EFEAEDA" w:rsidR="00315B36" w:rsidRPr="00DB0E88" w:rsidRDefault="000E435E" w:rsidP="000E43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Some college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99594" w:themeFill="accent2" w:themeFillTint="99"/>
            <w:vAlign w:val="center"/>
          </w:tcPr>
          <w:p w14:paraId="47818CCF" w14:textId="4662A3A3" w:rsidR="00315B36" w:rsidRPr="00DB0E88" w:rsidRDefault="000E435E" w:rsidP="000E43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20%</w:t>
            </w:r>
          </w:p>
        </w:tc>
      </w:tr>
      <w:tr w:rsidR="00315B36" w:rsidRPr="00DB0E88" w14:paraId="29E262B3" w14:textId="5003AB27" w:rsidTr="000E435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shd w:val="clear" w:color="auto" w:fill="D9D9D9" w:themeFill="background1" w:themeFillShade="D9"/>
            <w:vAlign w:val="center"/>
          </w:tcPr>
          <w:p w14:paraId="077374AD" w14:textId="0C41AFB3" w:rsidR="00315B36" w:rsidRPr="00DB0E88" w:rsidRDefault="00315B36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9D9D9" w:themeFill="background1" w:themeFillShade="D9"/>
            <w:vAlign w:val="center"/>
          </w:tcPr>
          <w:p w14:paraId="734FB616" w14:textId="3A7A98B8" w:rsidR="00315B36" w:rsidRPr="00DB0E88" w:rsidRDefault="00315B36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54094E65" w14:textId="25909D1A" w:rsidR="00315B36" w:rsidRPr="00DB0E88" w:rsidRDefault="00315B36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Gen Xers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D99594" w:themeFill="accent2" w:themeFillTint="99"/>
            <w:vAlign w:val="center"/>
          </w:tcPr>
          <w:p w14:paraId="041161D2" w14:textId="226C3008" w:rsidR="00315B36" w:rsidRPr="00DB0E88" w:rsidRDefault="000E435E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31%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1C6986C6" w14:textId="313F2C21" w:rsidR="00315B36" w:rsidRPr="00DB0E88" w:rsidRDefault="00315B36" w:rsidP="00315B3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$100K+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F2DBDB" w:themeFill="accent2" w:themeFillTint="33"/>
            <w:vAlign w:val="center"/>
          </w:tcPr>
          <w:p w14:paraId="3C94052C" w14:textId="67389D1B" w:rsidR="00315B36" w:rsidRPr="00DB0E88" w:rsidRDefault="000E435E" w:rsidP="000E43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3%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vAlign w:val="center"/>
          </w:tcPr>
          <w:p w14:paraId="64A46D7D" w14:textId="171F8BF8" w:rsidR="00315B36" w:rsidRPr="00DB0E88" w:rsidRDefault="000E435E" w:rsidP="000E43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College grad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37C9DBB9" w14:textId="5E93E9CE" w:rsidR="00315B36" w:rsidRPr="00DB0E88" w:rsidRDefault="000E435E" w:rsidP="000E43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10%</w:t>
            </w:r>
          </w:p>
        </w:tc>
      </w:tr>
      <w:tr w:rsidR="00315B36" w:rsidRPr="00DB0E88" w14:paraId="79C696E7" w14:textId="55FF18E7" w:rsidTr="000E435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7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70C0"/>
            </w:tcBorders>
            <w:shd w:val="clear" w:color="auto" w:fill="D9D9D9" w:themeFill="background1" w:themeFillShade="D9"/>
            <w:vAlign w:val="center"/>
          </w:tcPr>
          <w:p w14:paraId="6CF12359" w14:textId="2EE9D5D0" w:rsidR="00315B36" w:rsidRPr="00DB0E88" w:rsidRDefault="00315B36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8" w:space="0" w:color="0070C0"/>
            </w:tcBorders>
            <w:shd w:val="clear" w:color="auto" w:fill="D9D9D9" w:themeFill="background1" w:themeFillShade="D9"/>
            <w:vAlign w:val="center"/>
          </w:tcPr>
          <w:p w14:paraId="79E6019E" w14:textId="312D38D3" w:rsidR="00315B36" w:rsidRPr="00DB0E88" w:rsidRDefault="00315B36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07D90702" w14:textId="209F3921" w:rsidR="00315B36" w:rsidRPr="00DB0E88" w:rsidRDefault="00315B36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Baby Boomers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8" w:space="0" w:color="0070C0"/>
            </w:tcBorders>
            <w:shd w:val="clear" w:color="auto" w:fill="E5B8B7" w:themeFill="accent2" w:themeFillTint="66"/>
            <w:vAlign w:val="center"/>
          </w:tcPr>
          <w:p w14:paraId="2BEE8DE7" w14:textId="7FDF50B8" w:rsidR="00315B36" w:rsidRPr="00DB0E88" w:rsidRDefault="000E435E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14%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8" w:space="0" w:color="0070C0"/>
            </w:tcBorders>
            <w:shd w:val="clear" w:color="auto" w:fill="D9D9D9" w:themeFill="background1" w:themeFillShade="D9"/>
            <w:vAlign w:val="center"/>
          </w:tcPr>
          <w:p w14:paraId="78DB2CFA" w14:textId="77777777" w:rsidR="00315B36" w:rsidRPr="00DB0E88" w:rsidRDefault="00315B36" w:rsidP="00315B36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8" w:space="0" w:color="0070C0"/>
            </w:tcBorders>
            <w:shd w:val="clear" w:color="auto" w:fill="D9D9D9" w:themeFill="background1" w:themeFillShade="D9"/>
            <w:vAlign w:val="center"/>
          </w:tcPr>
          <w:p w14:paraId="6653112D" w14:textId="77777777" w:rsidR="00315B36" w:rsidRPr="00DB0E88" w:rsidRDefault="00315B36" w:rsidP="000E43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8" w:space="0" w:color="0070C0"/>
            </w:tcBorders>
            <w:shd w:val="clear" w:color="auto" w:fill="D9D9D9" w:themeFill="background1" w:themeFillShade="D9"/>
            <w:vAlign w:val="center"/>
          </w:tcPr>
          <w:p w14:paraId="6245DEA9" w14:textId="77777777" w:rsidR="00315B36" w:rsidRPr="00DB0E88" w:rsidRDefault="00315B36" w:rsidP="000E43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366B47CF" w14:textId="77777777" w:rsidR="00315B36" w:rsidRPr="00DB0E88" w:rsidRDefault="00315B36" w:rsidP="000E435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1A6040B8" w14:textId="6B7D7487" w:rsidR="00315B36" w:rsidRDefault="00315B36" w:rsidP="000E435E">
      <w:pPr>
        <w:spacing w:after="0" w:line="240" w:lineRule="auto"/>
        <w:ind w:hanging="1170"/>
        <w:contextualSpacing/>
        <w:mirrorIndents/>
        <w:rPr>
          <w:rFonts w:ascii="Verdana" w:hAnsi="Verdana"/>
          <w:sz w:val="20"/>
          <w:szCs w:val="20"/>
        </w:rPr>
      </w:pPr>
      <w:r>
        <w:rPr>
          <w:sz w:val="16"/>
          <w:szCs w:val="16"/>
        </w:rPr>
        <w:t xml:space="preserve">Morning Consult, April 2022 </w:t>
      </w:r>
      <w:r>
        <w:rPr>
          <w:sz w:val="16"/>
          <w:szCs w:val="16"/>
        </w:rPr>
        <w:tab/>
      </w:r>
    </w:p>
    <w:p w14:paraId="76F99494" w14:textId="77777777" w:rsidR="00315B36" w:rsidRDefault="00315B36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D5C7890" w14:textId="77777777" w:rsidR="00AA300B" w:rsidRDefault="00AA300B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F23660A" w14:textId="65C82FDD" w:rsidR="009631E0" w:rsidRPr="00481D76" w:rsidRDefault="009631E0" w:rsidP="00481D76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481D76">
        <w:rPr>
          <w:rFonts w:ascii="Verdana" w:hAnsi="Verdana"/>
          <w:b/>
          <w:bCs/>
          <w:color w:val="0070C0"/>
          <w:sz w:val="20"/>
          <w:szCs w:val="20"/>
        </w:rPr>
        <w:lastRenderedPageBreak/>
        <w:t xml:space="preserve">Americans </w:t>
      </w:r>
      <w:r w:rsidR="00C76E7A">
        <w:rPr>
          <w:rFonts w:ascii="Verdana" w:hAnsi="Verdana"/>
          <w:b/>
          <w:bCs/>
          <w:color w:val="0070C0"/>
          <w:sz w:val="20"/>
          <w:szCs w:val="20"/>
        </w:rPr>
        <w:t xml:space="preserve">Are </w:t>
      </w:r>
      <w:r w:rsidRPr="00481D76">
        <w:rPr>
          <w:rFonts w:ascii="Verdana" w:hAnsi="Verdana"/>
          <w:b/>
          <w:bCs/>
          <w:color w:val="0070C0"/>
          <w:sz w:val="20"/>
          <w:szCs w:val="20"/>
        </w:rPr>
        <w:t>Generally Satisfied with Banks</w:t>
      </w:r>
    </w:p>
    <w:p w14:paraId="2C0E52DE" w14:textId="16D52D66" w:rsidR="009631E0" w:rsidRDefault="009631E0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B3B65A5" w14:textId="7F10AE33" w:rsidR="00481D76" w:rsidRDefault="00481D76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Morning Consult’s monthly banking/personal finances surveys reveal </w:t>
      </w:r>
      <w:r w:rsidR="003B5CA1">
        <w:rPr>
          <w:rFonts w:ascii="Verdana" w:hAnsi="Verdana"/>
          <w:sz w:val="20"/>
          <w:szCs w:val="20"/>
        </w:rPr>
        <w:t>slightly more than half of adults say they have a relationship with a traditional bank within a range of 52% to 54% for the July 2021</w:t>
      </w:r>
      <w:r w:rsidR="003B5CA1">
        <w:rPr>
          <w:rFonts w:ascii="Verdana" w:eastAsia="Times New Roman" w:hAnsi="Verdana"/>
          <w:sz w:val="20"/>
          <w:szCs w:val="20"/>
        </w:rPr>
        <w:t xml:space="preserve">–March 2022 period. </w:t>
      </w:r>
    </w:p>
    <w:p w14:paraId="0B2B0B27" w14:textId="0D5782DB" w:rsidR="00481D76" w:rsidRDefault="00481D76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143C690" w14:textId="29C410D9" w:rsidR="00481D76" w:rsidRDefault="003B5CA1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Morning Consul</w:t>
      </w:r>
      <w:r w:rsidR="00B456B3">
        <w:rPr>
          <w:rFonts w:ascii="Verdana" w:hAnsi="Verdana"/>
          <w:sz w:val="20"/>
          <w:szCs w:val="20"/>
        </w:rPr>
        <w:t>t</w:t>
      </w:r>
      <w:r>
        <w:rPr>
          <w:rFonts w:ascii="Verdana" w:hAnsi="Verdana"/>
          <w:sz w:val="20"/>
          <w:szCs w:val="20"/>
        </w:rPr>
        <w:t xml:space="preserve">’s March 2022 survey results also found only approximately 15% of adults plan to </w:t>
      </w:r>
      <w:r w:rsidR="005E11DD">
        <w:rPr>
          <w:rFonts w:ascii="Verdana" w:hAnsi="Verdana"/>
          <w:sz w:val="20"/>
          <w:szCs w:val="20"/>
        </w:rPr>
        <w:t xml:space="preserve">start </w:t>
      </w:r>
      <w:r>
        <w:rPr>
          <w:rFonts w:ascii="Verdana" w:hAnsi="Verdana"/>
          <w:sz w:val="20"/>
          <w:szCs w:val="20"/>
        </w:rPr>
        <w:t xml:space="preserve">a new relationship with a financial services provider during the next six months. Many </w:t>
      </w:r>
      <w:r w:rsidR="00766B75">
        <w:rPr>
          <w:rFonts w:ascii="Verdana" w:hAnsi="Verdana"/>
          <w:sz w:val="20"/>
          <w:szCs w:val="20"/>
        </w:rPr>
        <w:t xml:space="preserve">are reluctant to change banks during the current economic conditions. </w:t>
      </w:r>
    </w:p>
    <w:p w14:paraId="476AC210" w14:textId="65942EC9" w:rsidR="00481D76" w:rsidRDefault="00481D76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0D3C557" w14:textId="616ADD3C" w:rsidR="00766B75" w:rsidRDefault="00766B75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As online banking has increased in popularity, a 2022 survey from Quantum Metrics found 83% of adults said easy access to their accounts online was </w:t>
      </w:r>
      <w:r w:rsidR="005E11DD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>#1 factor when deciding to use a particular bank or financial institution.</w:t>
      </w:r>
    </w:p>
    <w:p w14:paraId="57AE0F77" w14:textId="4B9428BD" w:rsidR="00481D76" w:rsidRDefault="00481D76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D92E088" w14:textId="77777777" w:rsidR="00880DD8" w:rsidRDefault="00320C4C" w:rsidP="00320C4C">
      <w:pPr>
        <w:pStyle w:val="Header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J.D. Power 2021 US National Banking </w:t>
      </w:r>
    </w:p>
    <w:p w14:paraId="2CB70306" w14:textId="03FBD96C" w:rsidR="006B00DB" w:rsidRPr="006B00DB" w:rsidRDefault="00320C4C" w:rsidP="006B00DB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b/>
          <w:sz w:val="20"/>
          <w:szCs w:val="20"/>
        </w:rPr>
        <w:t>Satisfaction Study, by Rankings, August</w:t>
      </w:r>
      <w:r w:rsidR="00880DD8">
        <w:rPr>
          <w:rFonts w:ascii="Verdana" w:hAnsi="Verdana"/>
          <w:b/>
          <w:sz w:val="20"/>
          <w:szCs w:val="20"/>
        </w:rPr>
        <w:t>–October 2021</w:t>
      </w:r>
    </w:p>
    <w:tbl>
      <w:tblPr>
        <w:tblW w:w="7199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3"/>
        <w:gridCol w:w="1267"/>
        <w:gridCol w:w="2332"/>
        <w:gridCol w:w="1267"/>
      </w:tblGrid>
      <w:tr w:rsidR="00320C4C" w:rsidRPr="00DB0E88" w14:paraId="1CE08F8C" w14:textId="77777777" w:rsidTr="006B00DB">
        <w:trPr>
          <w:jc w:val="center"/>
        </w:trPr>
        <w:tc>
          <w:tcPr>
            <w:tcW w:w="2333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56BE66E9" w14:textId="7EAC55C7" w:rsidR="00320C4C" w:rsidRPr="00DB0E88" w:rsidRDefault="00880DD8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Bank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617EDB2C" w14:textId="24FBF53E" w:rsidR="00320C4C" w:rsidRPr="00DB0E88" w:rsidRDefault="00880DD8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Score*</w:t>
            </w:r>
          </w:p>
        </w:tc>
        <w:tc>
          <w:tcPr>
            <w:tcW w:w="2332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5AAB21B7" w14:textId="1F1563DD" w:rsidR="00320C4C" w:rsidRPr="00DB0E88" w:rsidRDefault="00880DD8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Bank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7239578C" w14:textId="56C73E1D" w:rsidR="00320C4C" w:rsidRPr="00DB0E88" w:rsidRDefault="00880DD8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Score*</w:t>
            </w:r>
          </w:p>
        </w:tc>
      </w:tr>
      <w:tr w:rsidR="00320C4C" w:rsidRPr="00DB0E88" w14:paraId="5826B8BD" w14:textId="77777777" w:rsidTr="006B00D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333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6DEFA0BC" w14:textId="7736C60E" w:rsidR="00320C4C" w:rsidRPr="00DB0E88" w:rsidRDefault="00880DD8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#1: Capit</w:t>
            </w:r>
            <w:r w:rsidR="005E11DD">
              <w:rPr>
                <w:rFonts w:eastAsia="Times New Roman"/>
                <w:sz w:val="20"/>
                <w:szCs w:val="20"/>
              </w:rPr>
              <w:t>a</w:t>
            </w:r>
            <w:r>
              <w:rPr>
                <w:rFonts w:eastAsia="Times New Roman"/>
                <w:sz w:val="20"/>
                <w:szCs w:val="20"/>
              </w:rPr>
              <w:t xml:space="preserve">l One 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00B050"/>
            <w:vAlign w:val="center"/>
          </w:tcPr>
          <w:p w14:paraId="1CF632F3" w14:textId="74EB6861" w:rsidR="00320C4C" w:rsidRPr="00DB0E88" w:rsidRDefault="00880DD8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692</w:t>
            </w:r>
          </w:p>
        </w:tc>
        <w:tc>
          <w:tcPr>
            <w:tcW w:w="2332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9D9D9" w:themeFill="background1" w:themeFillShade="D9"/>
            <w:vAlign w:val="center"/>
          </w:tcPr>
          <w:p w14:paraId="2C0D686C" w14:textId="3372CE78" w:rsidR="00320C4C" w:rsidRPr="00DB0E88" w:rsidRDefault="00880DD8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Industry average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14:paraId="196BD067" w14:textId="1C2A0510" w:rsidR="00320C4C" w:rsidRPr="00DB0E88" w:rsidRDefault="00880DD8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652</w:t>
            </w:r>
          </w:p>
        </w:tc>
      </w:tr>
      <w:tr w:rsidR="00320C4C" w:rsidRPr="00DB0E88" w14:paraId="305E21CA" w14:textId="77777777" w:rsidTr="006B00D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608A02C6" w14:textId="78660CB6" w:rsidR="00320C4C" w:rsidRPr="00DB0E88" w:rsidRDefault="00880DD8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#2: PNC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92D050"/>
            <w:vAlign w:val="center"/>
          </w:tcPr>
          <w:p w14:paraId="29995726" w14:textId="7381C7E6" w:rsidR="00320C4C" w:rsidRPr="00DB0E88" w:rsidRDefault="00880DD8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684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7AB111E3" w14:textId="203990DC" w:rsidR="00320C4C" w:rsidRPr="00DB0E88" w:rsidRDefault="00880DD8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#6: Citibank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76081D6F" w14:textId="7341C045" w:rsidR="00320C4C" w:rsidRPr="00DB0E88" w:rsidRDefault="00880DD8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648</w:t>
            </w:r>
          </w:p>
        </w:tc>
      </w:tr>
      <w:tr w:rsidR="00320C4C" w:rsidRPr="00DB0E88" w14:paraId="6BF92263" w14:textId="77777777" w:rsidTr="006B00D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2642FC9B" w14:textId="3CC7CE02" w:rsidR="00320C4C" w:rsidRPr="00DB0E88" w:rsidRDefault="00880DD8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#3: TD Bank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72E17EF4" w14:textId="181412C6" w:rsidR="00320C4C" w:rsidRPr="00DB0E88" w:rsidRDefault="00880DD8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FD03CC4" w14:textId="1DC7623C" w:rsidR="00320C4C" w:rsidRPr="00DB0E88" w:rsidRDefault="00880DD8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#7: Bank of America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02B81B3A" w14:textId="6F55A796" w:rsidR="00320C4C" w:rsidRPr="00DB0E88" w:rsidRDefault="006B00D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645</w:t>
            </w:r>
          </w:p>
        </w:tc>
      </w:tr>
      <w:tr w:rsidR="00320C4C" w:rsidRPr="00DB0E88" w14:paraId="1B1DD24A" w14:textId="77777777" w:rsidTr="006B00D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3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4FA91126" w14:textId="6F202EA7" w:rsidR="00320C4C" w:rsidRPr="00DB0E88" w:rsidRDefault="00880DD8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#4: Chase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2403BFD7" w14:textId="280F3C9D" w:rsidR="00320C4C" w:rsidRPr="00DB0E88" w:rsidRDefault="00880DD8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3EE35733" w14:textId="6E322257" w:rsidR="00320C4C" w:rsidRPr="00DB0E88" w:rsidRDefault="006B00D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#8: Truist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2950CEE" w14:textId="28A1547E" w:rsidR="00320C4C" w:rsidRPr="00DB0E88" w:rsidRDefault="006B00D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636</w:t>
            </w:r>
          </w:p>
        </w:tc>
      </w:tr>
      <w:tr w:rsidR="00320C4C" w:rsidRPr="00DB0E88" w14:paraId="076328A9" w14:textId="77777777" w:rsidTr="006B00DB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70C0"/>
            </w:tcBorders>
            <w:vAlign w:val="center"/>
          </w:tcPr>
          <w:p w14:paraId="621933D4" w14:textId="21BF1114" w:rsidR="00320C4C" w:rsidRPr="00DB0E88" w:rsidRDefault="00880DD8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#5: U.S. Bank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7BE628C6" w14:textId="12CDA8E1" w:rsidR="00320C4C" w:rsidRPr="00DB0E88" w:rsidRDefault="00880DD8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663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7B72F30" w14:textId="1A9A8569" w:rsidR="00320C4C" w:rsidRPr="00DB0E88" w:rsidRDefault="006B00D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#9: Wells Fargo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599A16A2" w14:textId="32DD1670" w:rsidR="00320C4C" w:rsidRPr="00DB0E88" w:rsidRDefault="006B00D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628</w:t>
            </w:r>
          </w:p>
        </w:tc>
      </w:tr>
    </w:tbl>
    <w:p w14:paraId="0DEBB2B4" w14:textId="4C4FAE3D" w:rsidR="00481D76" w:rsidRPr="009631E0" w:rsidRDefault="00320C4C" w:rsidP="006B00DB">
      <w:pPr>
        <w:tabs>
          <w:tab w:val="left" w:pos="1080"/>
        </w:tabs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sz w:val="16"/>
          <w:szCs w:val="16"/>
        </w:rPr>
        <w:tab/>
      </w:r>
      <w:r w:rsidR="006B00DB">
        <w:rPr>
          <w:sz w:val="16"/>
          <w:szCs w:val="16"/>
        </w:rPr>
        <w:t>J.D. Power</w:t>
      </w:r>
      <w:r>
        <w:rPr>
          <w:sz w:val="16"/>
          <w:szCs w:val="16"/>
        </w:rPr>
        <w:t xml:space="preserve">, </w:t>
      </w:r>
      <w:r w:rsidR="006B00DB">
        <w:rPr>
          <w:sz w:val="16"/>
          <w:szCs w:val="16"/>
        </w:rPr>
        <w:t>December 2021</w:t>
      </w:r>
      <w:r>
        <w:rPr>
          <w:sz w:val="16"/>
          <w:szCs w:val="16"/>
        </w:rPr>
        <w:tab/>
      </w:r>
      <w:r w:rsidR="006B00DB">
        <w:rPr>
          <w:sz w:val="16"/>
          <w:szCs w:val="16"/>
        </w:rPr>
        <w:t>*on a 1,000-point scale</w:t>
      </w:r>
    </w:p>
    <w:p w14:paraId="32D74D4D" w14:textId="77777777" w:rsidR="006B00DB" w:rsidRDefault="006B00DB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C8DE232" w14:textId="08BD5D44" w:rsidR="009631E0" w:rsidRPr="00602D05" w:rsidRDefault="009631E0" w:rsidP="00602D05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602D05">
        <w:rPr>
          <w:rFonts w:ascii="Verdana" w:hAnsi="Verdana"/>
          <w:b/>
          <w:bCs/>
          <w:color w:val="0070C0"/>
          <w:sz w:val="20"/>
          <w:szCs w:val="20"/>
        </w:rPr>
        <w:t>Digital Wallet Trends</w:t>
      </w:r>
    </w:p>
    <w:p w14:paraId="2A2B5FF2" w14:textId="77777777" w:rsidR="009631E0" w:rsidRPr="009631E0" w:rsidRDefault="009631E0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8F86E0E" w14:textId="6CC2B46B" w:rsidR="00602D05" w:rsidRDefault="00602D05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 consumers avoided touching payment devices in stores during the pandemic, the use of digital wallets increased. According to Morning Consult, approximately 65% of adults used a digital wallet during July 2021</w:t>
      </w:r>
      <w:r w:rsidR="00A17B4D">
        <w:rPr>
          <w:rFonts w:ascii="Verdana" w:hAnsi="Verdana"/>
          <w:sz w:val="20"/>
          <w:szCs w:val="20"/>
        </w:rPr>
        <w:t xml:space="preserve"> and slightly more during January 2022.</w:t>
      </w:r>
    </w:p>
    <w:p w14:paraId="0490680F" w14:textId="32F4AC3D" w:rsidR="00A17B4D" w:rsidRDefault="00A17B4D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F80811D" w14:textId="0B58EEDD" w:rsidR="00A17B4D" w:rsidRDefault="00A17B4D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 thousands of bank branches have closed, it’s unsurprisingly that 52% of adults told Morning Consult the</w:t>
      </w:r>
      <w:r w:rsidR="005E11DD"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 xml:space="preserve"> didn’t visit a branch during March 2022 and another 38% only one to three times. Similarly, 41% didn’t visit an ATM and 43% just one to three times.</w:t>
      </w:r>
    </w:p>
    <w:p w14:paraId="33FFFF3D" w14:textId="7EEF9F6C" w:rsidR="00A17B4D" w:rsidRDefault="00A17B4D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9C3F163" w14:textId="020A5D26" w:rsidR="00A17B4D" w:rsidRDefault="00A17B4D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By comparison, 39% of adults said they didn’t use a digital wallet during March while 15% said several times per week, 13% approximately once per week, 15% every other week, 13% once and 5% every day. </w:t>
      </w:r>
    </w:p>
    <w:p w14:paraId="62A42330" w14:textId="4DE6E4F8" w:rsidR="00627ACE" w:rsidRDefault="00627ACE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2D2B007" w14:textId="6EAA1F3D" w:rsidR="00627ACE" w:rsidRPr="00443C1D" w:rsidRDefault="00267CCE" w:rsidP="00627ACE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Consumers’ Issues When Banking Online</w:t>
      </w:r>
      <w:r w:rsidR="00627ACE" w:rsidRPr="00443C1D">
        <w:rPr>
          <w:rFonts w:ascii="Verdana" w:hAnsi="Verdana"/>
          <w:b/>
          <w:sz w:val="20"/>
          <w:szCs w:val="20"/>
        </w:rPr>
        <w:t xml:space="preserve">, </w:t>
      </w:r>
      <w:r w:rsidR="00627ACE">
        <w:rPr>
          <w:rFonts w:ascii="Verdana" w:hAnsi="Verdana"/>
          <w:b/>
          <w:sz w:val="20"/>
          <w:szCs w:val="20"/>
        </w:rPr>
        <w:t>202</w:t>
      </w:r>
      <w:r>
        <w:rPr>
          <w:rFonts w:ascii="Verdana" w:hAnsi="Verdana"/>
          <w:b/>
          <w:sz w:val="20"/>
          <w:szCs w:val="20"/>
        </w:rPr>
        <w:t>2</w:t>
      </w:r>
    </w:p>
    <w:tbl>
      <w:tblPr>
        <w:tblW w:w="6877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0"/>
        <w:gridCol w:w="1267"/>
      </w:tblGrid>
      <w:tr w:rsidR="00627ACE" w:rsidRPr="00443C1D" w14:paraId="48A7B2E0" w14:textId="77777777" w:rsidTr="00073B4D">
        <w:trPr>
          <w:jc w:val="center"/>
        </w:trPr>
        <w:tc>
          <w:tcPr>
            <w:tcW w:w="5610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07B7CAB2" w14:textId="09727D5B" w:rsidR="00627ACE" w:rsidRPr="00443C1D" w:rsidRDefault="00267CCE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Issue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auto"/>
            </w:tcBorders>
            <w:vAlign w:val="center"/>
          </w:tcPr>
          <w:p w14:paraId="30E7D373" w14:textId="77777777" w:rsidR="00627ACE" w:rsidRPr="00443C1D" w:rsidRDefault="00627ACE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Percent</w:t>
            </w:r>
          </w:p>
        </w:tc>
      </w:tr>
      <w:tr w:rsidR="00627ACE" w:rsidRPr="00443C1D" w14:paraId="7E48A053" w14:textId="77777777" w:rsidTr="00073B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10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vAlign w:val="center"/>
          </w:tcPr>
          <w:p w14:paraId="64861BE1" w14:textId="54FA8714" w:rsidR="00627ACE" w:rsidRPr="00443C1D" w:rsidRDefault="00267CCE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Difficulty finding answers to resolve issues online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14:paraId="07E88525" w14:textId="61F66FB5" w:rsidR="00627ACE" w:rsidRPr="00443C1D" w:rsidRDefault="00267CCE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35.51%</w:t>
            </w:r>
          </w:p>
        </w:tc>
      </w:tr>
      <w:tr w:rsidR="00627ACE" w:rsidRPr="00443C1D" w14:paraId="73041F77" w14:textId="77777777" w:rsidTr="00073B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vAlign w:val="center"/>
          </w:tcPr>
          <w:p w14:paraId="433B7FB9" w14:textId="164496D8" w:rsidR="00627ACE" w:rsidRPr="00443C1D" w:rsidRDefault="00267CCE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The Website or app lacks important banking features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5C9FA184" w14:textId="702857F9" w:rsidR="00627ACE" w:rsidRPr="00443C1D" w:rsidRDefault="00267CCE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31.20%</w:t>
            </w:r>
          </w:p>
        </w:tc>
      </w:tr>
      <w:tr w:rsidR="00267CCE" w:rsidRPr="00443C1D" w14:paraId="790F6811" w14:textId="77777777" w:rsidTr="00073B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vAlign w:val="center"/>
          </w:tcPr>
          <w:p w14:paraId="17BE3702" w14:textId="45C5753D" w:rsidR="00267CCE" w:rsidRPr="00443C1D" w:rsidRDefault="00267CCE" w:rsidP="00267CC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Website/App with many glitches/bugs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7750FD39" w14:textId="432F879E" w:rsidR="00267CCE" w:rsidRPr="00443C1D" w:rsidRDefault="00267CCE" w:rsidP="00267CC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31.01%</w:t>
            </w:r>
          </w:p>
        </w:tc>
      </w:tr>
      <w:tr w:rsidR="00267CCE" w:rsidRPr="00443C1D" w14:paraId="50531F43" w14:textId="77777777" w:rsidTr="00073B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vAlign w:val="center"/>
          </w:tcPr>
          <w:p w14:paraId="00380242" w14:textId="2539A893" w:rsidR="00267CCE" w:rsidRPr="00443C1D" w:rsidRDefault="00267CCE" w:rsidP="00267CC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Data security (fraud, password theft, etc.)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E5B8B7" w:themeFill="accent2" w:themeFillTint="66"/>
            <w:vAlign w:val="center"/>
          </w:tcPr>
          <w:p w14:paraId="7FBB5259" w14:textId="3004D89C" w:rsidR="00267CCE" w:rsidRPr="00443C1D" w:rsidRDefault="00267CCE" w:rsidP="00267CC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30.87%</w:t>
            </w:r>
          </w:p>
        </w:tc>
      </w:tr>
      <w:tr w:rsidR="00267CCE" w:rsidRPr="00443C1D" w14:paraId="12E0FDD7" w14:textId="77777777" w:rsidTr="00073B4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56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70C0"/>
            </w:tcBorders>
            <w:vAlign w:val="center"/>
          </w:tcPr>
          <w:p w14:paraId="1FE32A07" w14:textId="2D56B8AA" w:rsidR="00267CCE" w:rsidRPr="00443C1D" w:rsidRDefault="00267CCE" w:rsidP="00267CC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contextualSpacing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The Website or app is difficult to navigate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14:paraId="68D01C77" w14:textId="674ECB4B" w:rsidR="00267CCE" w:rsidRPr="00443C1D" w:rsidRDefault="00267CCE" w:rsidP="00267CCE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00" w:afterAutospacing="1" w:line="240" w:lineRule="auto"/>
              <w:ind w:left="0" w:firstLine="0"/>
              <w:contextualSpacing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25.46%</w:t>
            </w:r>
          </w:p>
        </w:tc>
      </w:tr>
    </w:tbl>
    <w:p w14:paraId="5C76D734" w14:textId="3E7E2DF7" w:rsidR="00627ACE" w:rsidRPr="00443C1D" w:rsidRDefault="00627ACE" w:rsidP="00267CCE">
      <w:pPr>
        <w:tabs>
          <w:tab w:val="left" w:pos="1350"/>
        </w:tabs>
        <w:spacing w:after="100" w:afterAutospacing="1" w:line="240" w:lineRule="auto"/>
        <w:contextualSpacing/>
        <w:rPr>
          <w:rFonts w:ascii="Verdana" w:hAnsi="Verdana"/>
          <w:sz w:val="16"/>
          <w:szCs w:val="16"/>
        </w:rPr>
      </w:pPr>
      <w:r>
        <w:rPr>
          <w:rFonts w:ascii="Verdana" w:hAnsi="Verdana"/>
          <w:iCs/>
          <w:sz w:val="16"/>
          <w:szCs w:val="16"/>
        </w:rPr>
        <w:tab/>
      </w:r>
      <w:r w:rsidR="00267CCE">
        <w:rPr>
          <w:rFonts w:ascii="Verdana" w:hAnsi="Verdana"/>
          <w:iCs/>
          <w:sz w:val="16"/>
          <w:szCs w:val="16"/>
        </w:rPr>
        <w:t>Quantum Metrics</w:t>
      </w:r>
      <w:r>
        <w:rPr>
          <w:rFonts w:ascii="Verdana" w:hAnsi="Verdana"/>
          <w:sz w:val="16"/>
          <w:szCs w:val="16"/>
        </w:rPr>
        <w:t xml:space="preserve">, </w:t>
      </w:r>
      <w:r w:rsidR="00267CCE">
        <w:rPr>
          <w:rFonts w:ascii="Verdana" w:hAnsi="Verdana"/>
          <w:sz w:val="16"/>
          <w:szCs w:val="16"/>
        </w:rPr>
        <w:t xml:space="preserve">April </w:t>
      </w:r>
      <w:r>
        <w:rPr>
          <w:rFonts w:ascii="Verdana" w:hAnsi="Verdana"/>
          <w:sz w:val="16"/>
          <w:szCs w:val="16"/>
        </w:rPr>
        <w:t>202</w:t>
      </w:r>
      <w:r w:rsidR="00267CCE">
        <w:rPr>
          <w:rFonts w:ascii="Verdana" w:hAnsi="Verdana"/>
          <w:sz w:val="16"/>
          <w:szCs w:val="16"/>
        </w:rPr>
        <w:t>2</w:t>
      </w:r>
    </w:p>
    <w:p w14:paraId="2DEAEA97" w14:textId="77777777" w:rsidR="00627ACE" w:rsidRDefault="00627ACE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F91E976" w14:textId="77777777" w:rsidR="00602D05" w:rsidRDefault="00602D05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D792037" w14:textId="77777777" w:rsidR="00602D05" w:rsidRDefault="00602D05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D0CA134" w14:textId="6AD5A7DC" w:rsidR="009631E0" w:rsidRPr="003B7F88" w:rsidRDefault="009631E0" w:rsidP="003B7F88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3B7F88">
        <w:rPr>
          <w:rFonts w:ascii="Verdana" w:hAnsi="Verdana"/>
          <w:b/>
          <w:bCs/>
          <w:color w:val="0070C0"/>
          <w:sz w:val="20"/>
          <w:szCs w:val="20"/>
        </w:rPr>
        <w:lastRenderedPageBreak/>
        <w:t>No Stopping the Fintech Industry</w:t>
      </w:r>
    </w:p>
    <w:p w14:paraId="48911D02" w14:textId="77777777" w:rsidR="009631E0" w:rsidRPr="009631E0" w:rsidRDefault="009631E0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EE8D2E4" w14:textId="46AC1619" w:rsidR="003B7F88" w:rsidRDefault="00124E30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continuing growth of </w:t>
      </w:r>
      <w:r w:rsidR="005E11DD">
        <w:rPr>
          <w:rFonts w:ascii="Verdana" w:hAnsi="Verdana"/>
          <w:sz w:val="20"/>
          <w:szCs w:val="20"/>
        </w:rPr>
        <w:t xml:space="preserve">the </w:t>
      </w:r>
      <w:r>
        <w:rPr>
          <w:rFonts w:ascii="Verdana" w:hAnsi="Verdana"/>
          <w:sz w:val="20"/>
          <w:szCs w:val="20"/>
        </w:rPr>
        <w:t>global fintech industry is challenging many traditional banks to convert their long-term infrastructure to cloud-based systems. Total 2021 VC global investments were $115 billion, compared to $53.2 billion during 2018, the previous record.</w:t>
      </w:r>
    </w:p>
    <w:p w14:paraId="0CF92A1B" w14:textId="4DD0F512" w:rsidR="00124E30" w:rsidRDefault="00124E30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4569445" w14:textId="63A8558F" w:rsidR="00124E30" w:rsidRDefault="00A964C1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Despite personal and governmental concerns about cryptocurrency, 2021 global investments in the crypto and blockchain sector increased almost six times, from $5.4 billion during 2020 to more than $30 billion. </w:t>
      </w:r>
    </w:p>
    <w:p w14:paraId="1D3955F8" w14:textId="4BE74782" w:rsidR="003B7F88" w:rsidRDefault="003B7F88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2AF2A09" w14:textId="4F2AC988" w:rsidR="00A964C1" w:rsidRDefault="00A964C1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According to KPMG’s Pulse of Fintech Report for the second half of 2021, VC investments in the Americas reached $105 billion at the end of June 2021, compared to $25 billion at the end of June 2020.</w:t>
      </w:r>
    </w:p>
    <w:p w14:paraId="37823DC6" w14:textId="33FB465D" w:rsidR="00A964C1" w:rsidRDefault="00A964C1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AD2853D" w14:textId="794E6AA5" w:rsidR="00774B66" w:rsidRPr="006B00DB" w:rsidRDefault="00526FE3" w:rsidP="00774B66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b/>
          <w:sz w:val="20"/>
          <w:szCs w:val="20"/>
        </w:rPr>
        <w:t>Top 10 Financial Tasks on Which Americans Rely on Technology, July</w:t>
      </w:r>
      <w:r>
        <w:rPr>
          <w:rFonts w:ascii="Verdana" w:hAnsi="Verdana"/>
          <w:b/>
          <w:sz w:val="20"/>
          <w:szCs w:val="20"/>
        </w:rPr>
        <w:t xml:space="preserve"> 2021</w:t>
      </w:r>
    </w:p>
    <w:tbl>
      <w:tblPr>
        <w:tblW w:w="10512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89"/>
        <w:gridCol w:w="1267"/>
        <w:gridCol w:w="3989"/>
        <w:gridCol w:w="1267"/>
      </w:tblGrid>
      <w:tr w:rsidR="00526FE3" w:rsidRPr="00DB0E88" w14:paraId="4083D02E" w14:textId="77777777" w:rsidTr="00073B4D">
        <w:trPr>
          <w:jc w:val="center"/>
        </w:trPr>
        <w:tc>
          <w:tcPr>
            <w:tcW w:w="3989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1539EEF7" w14:textId="49F533C2" w:rsidR="00526FE3" w:rsidRPr="00DB0E88" w:rsidRDefault="00526FE3" w:rsidP="00073B4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Task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6A91311A" w14:textId="042349A1" w:rsidR="00526FE3" w:rsidRPr="00DB0E88" w:rsidRDefault="00526FE3" w:rsidP="00073B4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Percent</w:t>
            </w:r>
          </w:p>
        </w:tc>
        <w:tc>
          <w:tcPr>
            <w:tcW w:w="3989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5F159533" w14:textId="2B258910" w:rsidR="00526FE3" w:rsidRPr="00DB0E88" w:rsidRDefault="00526FE3" w:rsidP="00073B4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Task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5A09AECD" w14:textId="6C239FEC" w:rsidR="00526FE3" w:rsidRPr="00DB0E88" w:rsidRDefault="00526FE3" w:rsidP="00073B4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Percent</w:t>
            </w:r>
          </w:p>
        </w:tc>
      </w:tr>
      <w:tr w:rsidR="007226CB" w:rsidRPr="00DB0E88" w14:paraId="06C8983F" w14:textId="77777777" w:rsidTr="008F765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989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1BD64928" w14:textId="42828AA1" w:rsidR="00526FE3" w:rsidRPr="00DB0E88" w:rsidRDefault="00526FE3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#1: Banking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00B050"/>
            <w:vAlign w:val="center"/>
          </w:tcPr>
          <w:p w14:paraId="06C15236" w14:textId="65C1D12B" w:rsidR="00526FE3" w:rsidRPr="00DB0E88" w:rsidRDefault="00526FE3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67%</w:t>
            </w:r>
          </w:p>
        </w:tc>
        <w:tc>
          <w:tcPr>
            <w:tcW w:w="3989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17B8A74" w14:textId="146D71A8" w:rsidR="00526FE3" w:rsidRPr="00DB0E88" w:rsidRDefault="00526FE3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#6: </w:t>
            </w:r>
            <w:r w:rsidR="007226CB">
              <w:rPr>
                <w:rFonts w:eastAsia="Times New Roman"/>
                <w:sz w:val="20"/>
                <w:szCs w:val="20"/>
              </w:rPr>
              <w:t>Investing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3B7B5DC1" w14:textId="0FF07F94" w:rsidR="00526FE3" w:rsidRPr="00DB0E88" w:rsidRDefault="007226C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51%</w:t>
            </w:r>
          </w:p>
        </w:tc>
      </w:tr>
      <w:tr w:rsidR="007226CB" w:rsidRPr="00DB0E88" w14:paraId="1D63E54C" w14:textId="77777777" w:rsidTr="008F765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9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58856846" w14:textId="62AF0A57" w:rsidR="00526FE3" w:rsidRPr="00DB0E88" w:rsidRDefault="00526FE3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#2: Paying bills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00B050"/>
            <w:vAlign w:val="center"/>
          </w:tcPr>
          <w:p w14:paraId="10FE38E6" w14:textId="63D9B91D" w:rsidR="00526FE3" w:rsidRPr="00DB0E88" w:rsidRDefault="00526FE3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67%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03D97F83" w14:textId="289721AC" w:rsidR="00526FE3" w:rsidRPr="00DB0E88" w:rsidRDefault="007226C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#7: Creating an emergency fund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49FD81A8" w14:textId="27875313" w:rsidR="00526FE3" w:rsidRPr="00DB0E88" w:rsidRDefault="007226C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50%</w:t>
            </w:r>
          </w:p>
        </w:tc>
      </w:tr>
      <w:tr w:rsidR="007226CB" w:rsidRPr="00DB0E88" w14:paraId="4E56A5D3" w14:textId="77777777" w:rsidTr="008F765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9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1C60513B" w14:textId="7C714617" w:rsidR="00526FE3" w:rsidRPr="00DB0E88" w:rsidRDefault="00526FE3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#3: </w:t>
            </w:r>
            <w:r w:rsidR="007226CB">
              <w:rPr>
                <w:rFonts w:eastAsia="Times New Roman"/>
                <w:sz w:val="20"/>
                <w:szCs w:val="20"/>
              </w:rPr>
              <w:t>Checking/Improving credit score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3618F5E3" w14:textId="3C758BF4" w:rsidR="00526FE3" w:rsidRPr="00DB0E88" w:rsidRDefault="007226C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61%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769DDACE" w14:textId="704B4EAF" w:rsidR="00526FE3" w:rsidRPr="00DB0E88" w:rsidRDefault="007226C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#8: Paying friends, family or others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20E00CC5" w14:textId="19BB8D32" w:rsidR="00526FE3" w:rsidRPr="00DB0E88" w:rsidRDefault="007226C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47%</w:t>
            </w:r>
          </w:p>
        </w:tc>
      </w:tr>
      <w:tr w:rsidR="007226CB" w:rsidRPr="00DB0E88" w14:paraId="5932F91F" w14:textId="77777777" w:rsidTr="008F765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9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6D247BB2" w14:textId="49470FD3" w:rsidR="00526FE3" w:rsidRPr="00DB0E88" w:rsidRDefault="00526FE3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#4: </w:t>
            </w:r>
            <w:r w:rsidR="007226CB">
              <w:rPr>
                <w:rFonts w:eastAsia="Times New Roman"/>
                <w:sz w:val="20"/>
                <w:szCs w:val="20"/>
              </w:rPr>
              <w:t>Filing taxes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2BAA5905" w14:textId="62166980" w:rsidR="00526FE3" w:rsidRPr="00DB0E88" w:rsidRDefault="007226C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60%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125EA4F" w14:textId="116C538D" w:rsidR="00526FE3" w:rsidRPr="00DB0E88" w:rsidRDefault="007226C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#9: Creating/Maintaining a budget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669ABC34" w14:textId="5FC460C5" w:rsidR="00526FE3" w:rsidRPr="00DB0E88" w:rsidRDefault="007226CB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46%</w:t>
            </w:r>
          </w:p>
        </w:tc>
      </w:tr>
      <w:tr w:rsidR="007226CB" w:rsidRPr="00DB0E88" w14:paraId="21256BB9" w14:textId="77777777" w:rsidTr="008F765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9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70C0"/>
            </w:tcBorders>
            <w:vAlign w:val="center"/>
          </w:tcPr>
          <w:p w14:paraId="138BF920" w14:textId="22039AFD" w:rsidR="00526FE3" w:rsidRPr="00DB0E88" w:rsidRDefault="00526FE3" w:rsidP="00526FE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</w:t>
            </w:r>
            <w:r w:rsidR="007226CB">
              <w:rPr>
                <w:rFonts w:eastAsia="Times New Roman"/>
                <w:sz w:val="20"/>
                <w:szCs w:val="20"/>
              </w:rPr>
              <w:t>5</w:t>
            </w:r>
            <w:r>
              <w:rPr>
                <w:rFonts w:eastAsia="Times New Roman"/>
                <w:sz w:val="20"/>
                <w:szCs w:val="20"/>
              </w:rPr>
              <w:t>: Starting a savings habit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7BE0F273" w14:textId="4194FD9E" w:rsidR="00526FE3" w:rsidRPr="00DB0E88" w:rsidRDefault="00526FE3" w:rsidP="00526FE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57%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7FC21DF5" w14:textId="03CDFA94" w:rsidR="00526FE3" w:rsidRPr="00DB0E88" w:rsidRDefault="007226CB" w:rsidP="00526FE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#10: Securing/Refinancing a loan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55044DB1" w14:textId="7CE74B0D" w:rsidR="00526FE3" w:rsidRPr="00DB0E88" w:rsidRDefault="007226CB" w:rsidP="00526FE3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41%</w:t>
            </w:r>
          </w:p>
        </w:tc>
      </w:tr>
    </w:tbl>
    <w:p w14:paraId="49C73693" w14:textId="2F59395A" w:rsidR="00526FE3" w:rsidRDefault="008F7659" w:rsidP="008F7659">
      <w:pPr>
        <w:spacing w:after="0" w:line="240" w:lineRule="auto"/>
        <w:ind w:hanging="540"/>
        <w:contextualSpacing/>
        <w:mirrorIndents/>
        <w:rPr>
          <w:rFonts w:ascii="Verdana" w:hAnsi="Verdana"/>
          <w:sz w:val="20"/>
          <w:szCs w:val="20"/>
        </w:rPr>
      </w:pPr>
      <w:r>
        <w:rPr>
          <w:sz w:val="16"/>
          <w:szCs w:val="16"/>
        </w:rPr>
        <w:t>Plaid/The Harris Poll</w:t>
      </w:r>
      <w:r w:rsidR="00526FE3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September </w:t>
      </w:r>
      <w:r w:rsidR="00526FE3">
        <w:rPr>
          <w:sz w:val="16"/>
          <w:szCs w:val="16"/>
        </w:rPr>
        <w:t>2021</w:t>
      </w:r>
    </w:p>
    <w:p w14:paraId="0774DAF3" w14:textId="77777777" w:rsidR="00A964C1" w:rsidRDefault="00A964C1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212BCC2" w14:textId="216E4FE4" w:rsidR="009631E0" w:rsidRPr="00F40636" w:rsidRDefault="009631E0" w:rsidP="00F40636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F40636">
        <w:rPr>
          <w:rFonts w:ascii="Verdana" w:hAnsi="Verdana"/>
          <w:b/>
          <w:bCs/>
          <w:color w:val="0070C0"/>
          <w:sz w:val="20"/>
          <w:szCs w:val="20"/>
        </w:rPr>
        <w:t>Consumers’ Fintech Experience</w:t>
      </w:r>
      <w:r w:rsidR="003B7F88" w:rsidRPr="00F40636">
        <w:rPr>
          <w:rFonts w:ascii="Verdana" w:hAnsi="Verdana"/>
          <w:b/>
          <w:bCs/>
          <w:color w:val="0070C0"/>
          <w:sz w:val="20"/>
          <w:szCs w:val="20"/>
        </w:rPr>
        <w:t>s</w:t>
      </w:r>
    </w:p>
    <w:p w14:paraId="23E00897" w14:textId="76FDAA7C" w:rsidR="009631E0" w:rsidRDefault="009631E0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C824051" w14:textId="0F1634D2" w:rsidR="00F40636" w:rsidRDefault="00D06C35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Plaid/The Harris Poll July 2021 survey cited above revealed a 52% YOY increase of US consumers using fintech, from 58% (2020) to 88% (2021). Driving that increase is the 80% of Americans who want to connect their bank account to the digital finance apps they use.</w:t>
      </w:r>
    </w:p>
    <w:p w14:paraId="5B2D9B86" w14:textId="7FB45B90" w:rsidR="00F40636" w:rsidRDefault="00F40636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5299521" w14:textId="33756EB7" w:rsidR="00F40636" w:rsidRDefault="0027484C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increased use of fintech has resulted in a majority (63%) of Americans feeling comfortable about discussing financial topics with friends and 57% have adopted a fintech app based on a recommendation from a family member or friend.</w:t>
      </w:r>
    </w:p>
    <w:p w14:paraId="3B25295D" w14:textId="1BB0A82F" w:rsidR="0027484C" w:rsidRDefault="0027484C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330CCEB" w14:textId="552B8478" w:rsidR="0027484C" w:rsidRDefault="0027484C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Unsurprisingly, Gen Zers at 49% and Millennials at 55% use fintech tools or apps every day while that use has increased 30% for all Americans, from 37% (2020) to 48% (2021).</w:t>
      </w:r>
    </w:p>
    <w:p w14:paraId="3FEDD861" w14:textId="0F6AA089" w:rsidR="00F40636" w:rsidRDefault="00F40636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48D1D1F4" w14:textId="3470493F" w:rsidR="006605AA" w:rsidRPr="006B00DB" w:rsidRDefault="006605AA" w:rsidP="006605AA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b/>
          <w:sz w:val="20"/>
          <w:szCs w:val="20"/>
        </w:rPr>
        <w:t>How</w:t>
      </w:r>
      <w:r w:rsidR="0027484C">
        <w:rPr>
          <w:b/>
          <w:sz w:val="20"/>
          <w:szCs w:val="20"/>
        </w:rPr>
        <w:t xml:space="preserve"> Americans </w:t>
      </w:r>
      <w:r>
        <w:rPr>
          <w:b/>
          <w:sz w:val="20"/>
          <w:szCs w:val="20"/>
        </w:rPr>
        <w:t>Are Using Fintech Tools or Apps</w:t>
      </w:r>
      <w:r w:rsidR="0027484C">
        <w:rPr>
          <w:b/>
          <w:sz w:val="20"/>
          <w:szCs w:val="20"/>
        </w:rPr>
        <w:t>, July</w:t>
      </w:r>
      <w:r w:rsidR="0027484C">
        <w:rPr>
          <w:rFonts w:ascii="Verdana" w:hAnsi="Verdana"/>
          <w:b/>
          <w:sz w:val="20"/>
          <w:szCs w:val="20"/>
        </w:rPr>
        <w:t xml:space="preserve"> 2021</w:t>
      </w:r>
    </w:p>
    <w:tbl>
      <w:tblPr>
        <w:tblW w:w="8932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01"/>
        <w:gridCol w:w="1267"/>
        <w:gridCol w:w="3197"/>
        <w:gridCol w:w="1267"/>
      </w:tblGrid>
      <w:tr w:rsidR="0027484C" w:rsidRPr="00DB0E88" w14:paraId="0301251C" w14:textId="77777777" w:rsidTr="007541A0">
        <w:trPr>
          <w:jc w:val="center"/>
        </w:trPr>
        <w:tc>
          <w:tcPr>
            <w:tcW w:w="3201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6B59A1B6" w14:textId="0683E6B7" w:rsidR="0027484C" w:rsidRPr="00DB0E88" w:rsidRDefault="006605AA" w:rsidP="007541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Use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689DC0B2" w14:textId="77777777" w:rsidR="0027484C" w:rsidRPr="00DB0E88" w:rsidRDefault="0027484C" w:rsidP="007541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Percent</w:t>
            </w:r>
          </w:p>
        </w:tc>
        <w:tc>
          <w:tcPr>
            <w:tcW w:w="3197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06F656FE" w14:textId="06ECEF6F" w:rsidR="0027484C" w:rsidRPr="00DB0E88" w:rsidRDefault="006605AA" w:rsidP="007541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Use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3373F816" w14:textId="77777777" w:rsidR="0027484C" w:rsidRPr="00DB0E88" w:rsidRDefault="0027484C" w:rsidP="007541A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Percent</w:t>
            </w:r>
          </w:p>
        </w:tc>
      </w:tr>
      <w:tr w:rsidR="0027484C" w:rsidRPr="00DB0E88" w14:paraId="154F5C82" w14:textId="77777777" w:rsidTr="007541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201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5DF950BA" w14:textId="25DCED8B" w:rsidR="0027484C" w:rsidRPr="00DB0E88" w:rsidRDefault="006605AA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Payment services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00B050"/>
            <w:vAlign w:val="center"/>
          </w:tcPr>
          <w:p w14:paraId="409ADA32" w14:textId="5974867B" w:rsidR="0027484C" w:rsidRPr="00DB0E88" w:rsidRDefault="006605AA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70%</w:t>
            </w:r>
          </w:p>
        </w:tc>
        <w:tc>
          <w:tcPr>
            <w:tcW w:w="3197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0FB18CDB" w14:textId="15F65E6A" w:rsidR="0027484C" w:rsidRPr="00DB0E88" w:rsidRDefault="006605AA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Investment tools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2975551F" w14:textId="44FE3C37" w:rsidR="0027484C" w:rsidRPr="00DB0E88" w:rsidRDefault="006605AA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29%</w:t>
            </w:r>
          </w:p>
        </w:tc>
      </w:tr>
      <w:tr w:rsidR="0027484C" w:rsidRPr="00DB0E88" w14:paraId="3E39B335" w14:textId="77777777" w:rsidTr="007541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5046835F" w14:textId="39DF959D" w:rsidR="0027484C" w:rsidRPr="00DB0E88" w:rsidRDefault="006605AA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Pay bills via bank Website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92D050"/>
            <w:vAlign w:val="center"/>
          </w:tcPr>
          <w:p w14:paraId="3C2AA93B" w14:textId="17F96252" w:rsidR="0027484C" w:rsidRPr="00DB0E88" w:rsidRDefault="006605AA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53%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4BAB0E7B" w14:textId="71B43CA5" w:rsidR="0027484C" w:rsidRPr="00DB0E88" w:rsidRDefault="006605AA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Budgeting tools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7C575A8C" w14:textId="44D7E8D1" w:rsidR="0027484C" w:rsidRPr="00DB0E88" w:rsidRDefault="006605AA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17%</w:t>
            </w:r>
          </w:p>
        </w:tc>
      </w:tr>
      <w:tr w:rsidR="0027484C" w:rsidRPr="00DB0E88" w14:paraId="3C1B32AA" w14:textId="77777777" w:rsidTr="007541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2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469CC5F4" w14:textId="094F60FB" w:rsidR="0027484C" w:rsidRPr="00DB0E88" w:rsidRDefault="006605AA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Programs to fill taxes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07630958" w14:textId="1294B76A" w:rsidR="0027484C" w:rsidRPr="00DB0E88" w:rsidRDefault="006605AA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41%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7D6A376D" w14:textId="2DFB7C64" w:rsidR="0027484C" w:rsidRPr="00DB0E88" w:rsidRDefault="006605AA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Payroll advance services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6EDD5538" w14:textId="2CE275CD" w:rsidR="0027484C" w:rsidRPr="00DB0E88" w:rsidRDefault="006605AA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16%</w:t>
            </w:r>
          </w:p>
        </w:tc>
      </w:tr>
      <w:tr w:rsidR="0027484C" w:rsidRPr="00DB0E88" w14:paraId="7959F657" w14:textId="77777777" w:rsidTr="007541A0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2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70C0"/>
            </w:tcBorders>
            <w:vAlign w:val="center"/>
          </w:tcPr>
          <w:p w14:paraId="7A737E31" w14:textId="4617210E" w:rsidR="0027484C" w:rsidRPr="00DB0E88" w:rsidRDefault="006605AA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Online-only banking services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3BBD2738" w14:textId="6FD826F8" w:rsidR="0027484C" w:rsidRPr="00DB0E88" w:rsidRDefault="006605AA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31%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62966E47" w14:textId="01752D58" w:rsidR="0027484C" w:rsidRPr="00DB0E88" w:rsidRDefault="006605AA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Lending services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401178F4" w14:textId="0D78E40A" w:rsidR="0027484C" w:rsidRPr="00DB0E88" w:rsidRDefault="006605AA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14%</w:t>
            </w:r>
          </w:p>
        </w:tc>
      </w:tr>
    </w:tbl>
    <w:p w14:paraId="0B4C4F4F" w14:textId="52B6B3ED" w:rsidR="0027484C" w:rsidRDefault="006605AA" w:rsidP="006605AA">
      <w:pPr>
        <w:tabs>
          <w:tab w:val="left" w:pos="270"/>
        </w:tabs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sz w:val="16"/>
          <w:szCs w:val="16"/>
        </w:rPr>
        <w:tab/>
      </w:r>
      <w:r w:rsidR="0027484C">
        <w:rPr>
          <w:sz w:val="16"/>
          <w:szCs w:val="16"/>
        </w:rPr>
        <w:t>Plaid/The Harris Poll, September 2021</w:t>
      </w:r>
    </w:p>
    <w:p w14:paraId="089D5D0C" w14:textId="77777777" w:rsidR="0027484C" w:rsidRDefault="0027484C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547B2D1" w14:textId="46217439" w:rsidR="00F40636" w:rsidRDefault="00F40636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C74827B" w14:textId="6CBE5F01" w:rsidR="006605AA" w:rsidRDefault="006605AA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5E4F9DA7" w14:textId="2F5FE5E9" w:rsidR="006605AA" w:rsidRDefault="006605AA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0D03F81C" w14:textId="6C520331" w:rsidR="006605AA" w:rsidRDefault="006605AA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21515169" w14:textId="77777777" w:rsidR="006605AA" w:rsidRPr="009631E0" w:rsidRDefault="006605AA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64B63F7B" w14:textId="03941CA5" w:rsidR="009631E0" w:rsidRPr="006A14AD" w:rsidRDefault="009631E0" w:rsidP="006A14AD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6A14AD">
        <w:rPr>
          <w:rFonts w:ascii="Verdana" w:hAnsi="Verdana"/>
          <w:b/>
          <w:bCs/>
          <w:color w:val="0070C0"/>
          <w:sz w:val="20"/>
          <w:szCs w:val="20"/>
        </w:rPr>
        <w:lastRenderedPageBreak/>
        <w:t xml:space="preserve">Cryptocurrency </w:t>
      </w:r>
      <w:r w:rsidR="007541A0">
        <w:rPr>
          <w:rFonts w:ascii="Verdana" w:hAnsi="Verdana"/>
          <w:b/>
          <w:bCs/>
          <w:color w:val="0070C0"/>
          <w:sz w:val="20"/>
          <w:szCs w:val="20"/>
        </w:rPr>
        <w:t xml:space="preserve">Is </w:t>
      </w:r>
      <w:r w:rsidRPr="006A14AD">
        <w:rPr>
          <w:rFonts w:ascii="Verdana" w:hAnsi="Verdana"/>
          <w:b/>
          <w:bCs/>
          <w:color w:val="0070C0"/>
          <w:sz w:val="20"/>
          <w:szCs w:val="20"/>
        </w:rPr>
        <w:t>Still a Mystery to Many Americans</w:t>
      </w:r>
    </w:p>
    <w:p w14:paraId="3EAE2C1F" w14:textId="77777777" w:rsidR="009631E0" w:rsidRPr="009631E0" w:rsidRDefault="009631E0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2A16C58" w14:textId="3BC7D9C5" w:rsidR="006A14AD" w:rsidRDefault="006A14AD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Although investments in cryptocurrency ha</w:t>
      </w:r>
      <w:r w:rsidR="005E11DD">
        <w:rPr>
          <w:rFonts w:ascii="Verdana" w:hAnsi="Verdana"/>
          <w:sz w:val="20"/>
          <w:szCs w:val="20"/>
        </w:rPr>
        <w:t>ve</w:t>
      </w:r>
      <w:r>
        <w:rPr>
          <w:rFonts w:ascii="Verdana" w:hAnsi="Verdana"/>
          <w:sz w:val="20"/>
          <w:szCs w:val="20"/>
        </w:rPr>
        <w:t xml:space="preserve"> increased substantially, the March 2022 Morning Consult survey found more US adults (36%) who were aware of cryptocurrency didn’t trust it, primarily because of </w:t>
      </w:r>
      <w:r w:rsidR="005E11DD">
        <w:rPr>
          <w:rFonts w:ascii="Verdana" w:hAnsi="Verdana"/>
          <w:sz w:val="20"/>
          <w:szCs w:val="20"/>
        </w:rPr>
        <w:t>fewer</w:t>
      </w:r>
      <w:r>
        <w:rPr>
          <w:rFonts w:ascii="Verdana" w:hAnsi="Verdana"/>
          <w:sz w:val="20"/>
          <w:szCs w:val="20"/>
        </w:rPr>
        <w:t xml:space="preserve"> government regulations.</w:t>
      </w:r>
    </w:p>
    <w:p w14:paraId="2D0D25F3" w14:textId="77777777" w:rsidR="006A14AD" w:rsidRDefault="006A14AD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81CEF50" w14:textId="28D41157" w:rsidR="006A14AD" w:rsidRDefault="006A14AD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Nonetheless, 24% of US adults said they plan to buy cryptocurrency during the next month, which was the same for buying Bitcoin. Fewer were expected to buy Ethereum (16%) and Dogecoin (13%).</w:t>
      </w:r>
    </w:p>
    <w:p w14:paraId="6AA9FF96" w14:textId="16BF0B31" w:rsidR="00C00310" w:rsidRDefault="00C00310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A1D0748" w14:textId="2824705E" w:rsidR="00C00310" w:rsidRDefault="00C00310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mystery of cryptocurrency is clearly revealed in the 57% of US adults who told Morning Consult in the March 2022 survey that they didn’t understand it as well as the 54% who said they didn’t trust it and 49% who said they didn’t think it was secure.</w:t>
      </w:r>
    </w:p>
    <w:p w14:paraId="232326A0" w14:textId="4512139C" w:rsidR="006A14AD" w:rsidRDefault="006A14AD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164BC537" w14:textId="682924DA" w:rsidR="00C00310" w:rsidRPr="006B00DB" w:rsidRDefault="00C00310" w:rsidP="00C00310">
      <w:pPr>
        <w:pStyle w:val="Header"/>
        <w:contextualSpacing/>
        <w:jc w:val="center"/>
        <w:rPr>
          <w:rFonts w:ascii="Verdana" w:hAnsi="Verdana"/>
          <w:b/>
          <w:sz w:val="20"/>
          <w:szCs w:val="20"/>
        </w:rPr>
      </w:pPr>
      <w:r>
        <w:rPr>
          <w:b/>
          <w:sz w:val="20"/>
          <w:szCs w:val="20"/>
        </w:rPr>
        <w:t>Top 10 Reasons US Adults Own Cryptocurrency, March 2022</w:t>
      </w:r>
    </w:p>
    <w:tbl>
      <w:tblPr>
        <w:tblW w:w="10512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89"/>
        <w:gridCol w:w="1267"/>
        <w:gridCol w:w="3989"/>
        <w:gridCol w:w="1267"/>
      </w:tblGrid>
      <w:tr w:rsidR="00C00310" w:rsidRPr="00DB0E88" w14:paraId="43BCD8AB" w14:textId="77777777" w:rsidTr="001C3F2F">
        <w:trPr>
          <w:jc w:val="center"/>
        </w:trPr>
        <w:tc>
          <w:tcPr>
            <w:tcW w:w="3989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73D99170" w14:textId="758A016B" w:rsidR="00C00310" w:rsidRPr="00DB0E88" w:rsidRDefault="00C00310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Reason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8" w:space="0" w:color="0070C0"/>
            </w:tcBorders>
            <w:vAlign w:val="center"/>
          </w:tcPr>
          <w:p w14:paraId="7CAD7A4F" w14:textId="77777777" w:rsidR="00C00310" w:rsidRPr="00DB0E88" w:rsidRDefault="00C00310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Percent</w:t>
            </w:r>
          </w:p>
        </w:tc>
        <w:tc>
          <w:tcPr>
            <w:tcW w:w="3989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vAlign w:val="center"/>
          </w:tcPr>
          <w:p w14:paraId="263A1606" w14:textId="7966284C" w:rsidR="00C00310" w:rsidRPr="00DB0E88" w:rsidRDefault="00C00310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Reason</w:t>
            </w:r>
          </w:p>
        </w:tc>
        <w:tc>
          <w:tcPr>
            <w:tcW w:w="1267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vAlign w:val="center"/>
          </w:tcPr>
          <w:p w14:paraId="1D6B9842" w14:textId="77777777" w:rsidR="00C00310" w:rsidRPr="00DB0E88" w:rsidRDefault="00C00310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Percent</w:t>
            </w:r>
          </w:p>
        </w:tc>
      </w:tr>
      <w:tr w:rsidR="00C00310" w:rsidRPr="00DB0E88" w14:paraId="797E38C1" w14:textId="77777777" w:rsidTr="0054442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989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3ED0F6E8" w14:textId="3DE2309B" w:rsidR="00C00310" w:rsidRPr="00DB0E88" w:rsidRDefault="00C00310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#1: To make money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00B050"/>
            <w:vAlign w:val="center"/>
          </w:tcPr>
          <w:p w14:paraId="719CF380" w14:textId="58F528AA" w:rsidR="00C00310" w:rsidRPr="00DB0E88" w:rsidRDefault="00C00310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66%</w:t>
            </w:r>
          </w:p>
        </w:tc>
        <w:tc>
          <w:tcPr>
            <w:tcW w:w="3989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2D3671CF" w14:textId="7F26F752" w:rsidR="00C00310" w:rsidRPr="00DB0E88" w:rsidRDefault="00C00310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#6: Crypto is cool</w:t>
            </w:r>
          </w:p>
        </w:tc>
        <w:tc>
          <w:tcPr>
            <w:tcW w:w="1267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1CB8D2DD" w14:textId="1ED9F114" w:rsidR="00C00310" w:rsidRPr="00DB0E88" w:rsidRDefault="00C00310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35%</w:t>
            </w:r>
          </w:p>
        </w:tc>
      </w:tr>
      <w:tr w:rsidR="00C00310" w:rsidRPr="00DB0E88" w14:paraId="3932BB6B" w14:textId="77777777" w:rsidTr="0054442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9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7A544776" w14:textId="1F4B493A" w:rsidR="00C00310" w:rsidRPr="00DB0E88" w:rsidRDefault="00C00310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#2: To diversify assets/investments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0E4663BF" w14:textId="424DD7E3" w:rsidR="00C00310" w:rsidRPr="00DB0E88" w:rsidRDefault="00C00310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49%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3D6D3CD3" w14:textId="445AD1CA" w:rsidR="00C00310" w:rsidRPr="00DB0E88" w:rsidRDefault="00C00310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#7: Prefer unregulated payments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22C34B76" w14:textId="446025FC" w:rsidR="00C00310" w:rsidRPr="00DB0E88" w:rsidRDefault="00C00310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29%</w:t>
            </w:r>
          </w:p>
        </w:tc>
      </w:tr>
      <w:tr w:rsidR="00C00310" w:rsidRPr="00DB0E88" w14:paraId="6C8AE6EA" w14:textId="77777777" w:rsidTr="0054442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9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6A4CD1A2" w14:textId="03AC5CDB" w:rsidR="00C00310" w:rsidRPr="00DB0E88" w:rsidRDefault="00C00310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#3: Believe crypto is the future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201324EC" w14:textId="706762DB" w:rsidR="00C00310" w:rsidRPr="00DB0E88" w:rsidRDefault="00C00310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44%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197C28E2" w14:textId="74DAF266" w:rsidR="00C00310" w:rsidRPr="00DB0E88" w:rsidRDefault="00C00310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#8: Like paying with a middleman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4B3933F4" w14:textId="4C87E47B" w:rsidR="00C00310" w:rsidRPr="00DB0E88" w:rsidRDefault="00C00310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24%</w:t>
            </w:r>
          </w:p>
        </w:tc>
      </w:tr>
      <w:tr w:rsidR="00C00310" w:rsidRPr="00DB0E88" w14:paraId="62E74E58" w14:textId="77777777" w:rsidTr="0054442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9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0070C0"/>
            </w:tcBorders>
            <w:vAlign w:val="center"/>
          </w:tcPr>
          <w:p w14:paraId="27C97F98" w14:textId="7EB0381A" w:rsidR="00C00310" w:rsidRPr="00DB0E88" w:rsidRDefault="00C00310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#4: Interested in the technology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7830A2F0" w14:textId="68944C4C" w:rsidR="00C00310" w:rsidRPr="00DB0E88" w:rsidRDefault="00C00310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39%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7CE7BE48" w14:textId="7500A57E" w:rsidR="00C00310" w:rsidRPr="00DB0E88" w:rsidRDefault="00C00310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#9: Enjoy the crypto community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617BBBFA" w14:textId="0E17E034" w:rsidR="00C00310" w:rsidRPr="00DB0E88" w:rsidRDefault="00C00310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24%</w:t>
            </w:r>
          </w:p>
        </w:tc>
      </w:tr>
      <w:tr w:rsidR="00C00310" w:rsidRPr="00DB0E88" w14:paraId="5C5B3A1F" w14:textId="77777777" w:rsidTr="0054442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9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70C0"/>
            </w:tcBorders>
            <w:vAlign w:val="center"/>
          </w:tcPr>
          <w:p w14:paraId="5EB56EB8" w14:textId="059F623E" w:rsidR="00C00310" w:rsidRPr="00DB0E88" w:rsidRDefault="00C00310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#5: Enjoy trading/investing in crypto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8" w:space="0" w:color="0070C0"/>
            </w:tcBorders>
            <w:shd w:val="clear" w:color="auto" w:fill="C2D69B" w:themeFill="accent3" w:themeFillTint="99"/>
            <w:vAlign w:val="center"/>
          </w:tcPr>
          <w:p w14:paraId="71656022" w14:textId="2B0C7E81" w:rsidR="00C00310" w:rsidRPr="00DB0E88" w:rsidRDefault="00C00310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35%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18" w:space="0" w:color="0070C0"/>
              <w:bottom w:val="single" w:sz="12" w:space="0" w:color="000000"/>
              <w:right w:val="single" w:sz="8" w:space="0" w:color="0070C0"/>
            </w:tcBorders>
            <w:shd w:val="clear" w:color="auto" w:fill="auto"/>
            <w:vAlign w:val="center"/>
          </w:tcPr>
          <w:p w14:paraId="5925E9A4" w14:textId="112D82DD" w:rsidR="00C00310" w:rsidRPr="00DB0E88" w:rsidRDefault="00C00310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#10: Received crypto as a gift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1E812AFF" w14:textId="79C613EA" w:rsidR="00C00310" w:rsidRPr="00DB0E88" w:rsidRDefault="00C00310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18%</w:t>
            </w:r>
          </w:p>
        </w:tc>
      </w:tr>
    </w:tbl>
    <w:p w14:paraId="6187155F" w14:textId="6B377B73" w:rsidR="00C00310" w:rsidRDefault="00C453F3" w:rsidP="00C453F3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sz w:val="16"/>
          <w:szCs w:val="16"/>
        </w:rPr>
        <w:t>Morning Consult, April 2022</w:t>
      </w:r>
    </w:p>
    <w:p w14:paraId="59F2A0A7" w14:textId="77777777" w:rsidR="00C453F3" w:rsidRDefault="00C453F3" w:rsidP="009631E0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3ADF8451" w14:textId="4A87E1EA" w:rsidR="009631E0" w:rsidRPr="00C453F3" w:rsidRDefault="009631E0" w:rsidP="00C453F3">
      <w:pPr>
        <w:spacing w:after="0" w:line="240" w:lineRule="auto"/>
        <w:contextualSpacing/>
        <w:mirrorIndents/>
        <w:jc w:val="center"/>
        <w:rPr>
          <w:rFonts w:ascii="Verdana" w:hAnsi="Verdana"/>
          <w:b/>
          <w:bCs/>
          <w:color w:val="0070C0"/>
          <w:sz w:val="20"/>
          <w:szCs w:val="20"/>
        </w:rPr>
      </w:pPr>
      <w:r w:rsidRPr="00C453F3">
        <w:rPr>
          <w:rFonts w:ascii="Verdana" w:hAnsi="Verdana"/>
          <w:b/>
          <w:bCs/>
          <w:color w:val="0070C0"/>
          <w:sz w:val="20"/>
          <w:szCs w:val="20"/>
        </w:rPr>
        <w:t>Banking Trends</w:t>
      </w:r>
    </w:p>
    <w:p w14:paraId="286AC9F6" w14:textId="77777777" w:rsidR="00F94CE8" w:rsidRPr="009631E0" w:rsidRDefault="00F94CE8" w:rsidP="009631E0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23D2BAA2" w14:textId="5266AD22" w:rsidR="00F94CE8" w:rsidRDefault="00C453F3" w:rsidP="009631E0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Banks must be prepared for the Federal Reserve’s introduction of FedNow during 2023, a real-time payment system that will allow the transfer of money within seconds. Other countries, including </w:t>
      </w:r>
      <w:r w:rsidR="004E11BC">
        <w:rPr>
          <w:rFonts w:ascii="Verdana" w:hAnsi="Verdana"/>
          <w:sz w:val="20"/>
          <w:szCs w:val="20"/>
        </w:rPr>
        <w:t>China, Brazil and India have already launched these systems.</w:t>
      </w:r>
    </w:p>
    <w:p w14:paraId="480CC57F" w14:textId="2D01724E" w:rsidR="004E11BC" w:rsidRDefault="004E11BC" w:rsidP="009631E0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2B8AD3A8" w14:textId="17A2D50D" w:rsidR="004E11BC" w:rsidRDefault="004E11BC" w:rsidP="009631E0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Neo-banks, or those that only operate online, are attracting more small businesses. BAI, a nonprofit financial services company, found 24% of businesses with less than $1 million in annual revenues are using neo-banks primarily because of their personalized services.</w:t>
      </w:r>
    </w:p>
    <w:p w14:paraId="5CD41835" w14:textId="4FB183D7" w:rsidR="004E11BC" w:rsidRDefault="004E11BC" w:rsidP="009631E0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681BC018" w14:textId="1278D1A8" w:rsidR="004E11BC" w:rsidRPr="009631E0" w:rsidRDefault="004E11BC" w:rsidP="009631E0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serve their customers better, especially young adults, banks are also challenged to advance their use of various technologies, especially artificial intelligence (AI).</w:t>
      </w:r>
      <w:r w:rsidR="006E77FD">
        <w:rPr>
          <w:rFonts w:ascii="Verdana" w:hAnsi="Verdana"/>
          <w:sz w:val="20"/>
          <w:szCs w:val="20"/>
        </w:rPr>
        <w:t xml:space="preserve"> More sophisticated AI applications can create more efficiencies and protect against fraud.</w:t>
      </w:r>
    </w:p>
    <w:p w14:paraId="664EB1A4" w14:textId="77777777" w:rsidR="00F94CE8" w:rsidRPr="009631E0" w:rsidRDefault="00F94CE8" w:rsidP="009631E0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7401C3C8" w14:textId="77777777" w:rsidR="00F94CE8" w:rsidRPr="009631E0" w:rsidRDefault="00F94CE8" w:rsidP="009631E0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02C0BC62" w14:textId="77777777" w:rsidR="00F94CE8" w:rsidRPr="009631E0" w:rsidRDefault="00F94CE8" w:rsidP="009631E0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37079E4B" w14:textId="77777777" w:rsidR="00F94CE8" w:rsidRPr="009631E0" w:rsidRDefault="00F94CE8" w:rsidP="009631E0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3A5080E9" w14:textId="77777777" w:rsidR="00F94CE8" w:rsidRPr="009631E0" w:rsidRDefault="00F94CE8" w:rsidP="009631E0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3D6E3712" w14:textId="77777777" w:rsidR="00F94CE8" w:rsidRPr="009631E0" w:rsidRDefault="00F94CE8" w:rsidP="009631E0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484391DE" w14:textId="77777777" w:rsidR="00F94CE8" w:rsidRPr="009631E0" w:rsidRDefault="00F94CE8" w:rsidP="009631E0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633FD3CD" w14:textId="77777777" w:rsidR="00F94CE8" w:rsidRPr="009631E0" w:rsidRDefault="00F94CE8" w:rsidP="009631E0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22AD5DBB" w14:textId="77777777" w:rsidR="00F94CE8" w:rsidRPr="009631E0" w:rsidRDefault="00F94CE8" w:rsidP="009631E0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6FF184E1" w14:textId="77777777" w:rsidR="00F94CE8" w:rsidRPr="009631E0" w:rsidRDefault="00F94CE8" w:rsidP="009631E0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1F83A38D" w14:textId="77777777" w:rsidR="00F94CE8" w:rsidRPr="009631E0" w:rsidRDefault="00F94CE8" w:rsidP="009631E0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18261CC9" w14:textId="77777777" w:rsidR="00F94CE8" w:rsidRPr="009631E0" w:rsidRDefault="00F94CE8" w:rsidP="009631E0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092B0637" w14:textId="77777777" w:rsidR="00F94CE8" w:rsidRPr="009631E0" w:rsidRDefault="00F94CE8" w:rsidP="009631E0">
      <w:pPr>
        <w:pStyle w:val="NoSpacing"/>
        <w:contextualSpacing/>
        <w:mirrorIndents/>
        <w:rPr>
          <w:rFonts w:ascii="Verdana" w:hAnsi="Verdana"/>
          <w:sz w:val="20"/>
          <w:szCs w:val="20"/>
        </w:rPr>
      </w:pPr>
    </w:p>
    <w:p w14:paraId="05B35E5D" w14:textId="3AFAA724" w:rsidR="00F94CE8" w:rsidRPr="00B75062" w:rsidRDefault="00FB418C" w:rsidP="00F94CE8">
      <w:pPr>
        <w:pStyle w:val="NoSpacing"/>
        <w:contextualSpacing/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lastRenderedPageBreak/>
        <w:t>More Valuable Insights</w:t>
      </w:r>
    </w:p>
    <w:p w14:paraId="4D37D21A" w14:textId="010ED23E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30A45137" w14:textId="6623543F" w:rsidR="00F80533" w:rsidRDefault="00F80533" w:rsidP="00F94CE8">
      <w:pPr>
        <w:pStyle w:val="NoSpacing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Data from five 2021 representative consumer/market surveys conducted by The Media Audit reveals heavy exposure to media for adults 18+ who described themselves as financial optimists, or having an </w:t>
      </w:r>
      <w:r w:rsidRPr="00F80533">
        <w:rPr>
          <w:sz w:val="20"/>
          <w:szCs w:val="20"/>
        </w:rPr>
        <w:t>improved financial situation by spring 2022</w:t>
      </w:r>
      <w:r>
        <w:rPr>
          <w:sz w:val="20"/>
          <w:szCs w:val="20"/>
        </w:rPr>
        <w:t>.</w:t>
      </w:r>
    </w:p>
    <w:p w14:paraId="7463D8B0" w14:textId="357CD60B" w:rsidR="007053D1" w:rsidRDefault="007053D1" w:rsidP="00F94CE8">
      <w:pPr>
        <w:pStyle w:val="NoSpacing"/>
        <w:contextualSpacing/>
        <w:rPr>
          <w:sz w:val="20"/>
          <w:szCs w:val="20"/>
        </w:rPr>
      </w:pPr>
    </w:p>
    <w:p w14:paraId="112C3273" w14:textId="04F986DA" w:rsidR="007053D1" w:rsidRDefault="007053D1" w:rsidP="00F94CE8">
      <w:pPr>
        <w:pStyle w:val="NoSpacing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The following table clearly shows that although some financial optimists over-indexed for heavy exposure to legacy media, they all over-indexed for heavy exposure to the five digital media. </w:t>
      </w:r>
    </w:p>
    <w:p w14:paraId="0981D96B" w14:textId="1A202F9E" w:rsidR="00F80533" w:rsidRPr="005D1511" w:rsidRDefault="00F80533" w:rsidP="00544421">
      <w:pPr>
        <w:spacing w:after="0" w:line="240" w:lineRule="auto"/>
        <w:contextualSpacing/>
        <w:mirrorIndents/>
        <w:rPr>
          <w:b/>
          <w:bCs/>
          <w:sz w:val="20"/>
          <w:szCs w:val="20"/>
        </w:rPr>
      </w:pPr>
    </w:p>
    <w:tbl>
      <w:tblPr>
        <w:tblW w:w="9412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1492"/>
        <w:gridCol w:w="1498"/>
        <w:gridCol w:w="1498"/>
        <w:gridCol w:w="1498"/>
        <w:gridCol w:w="1498"/>
      </w:tblGrid>
      <w:tr w:rsidR="00F80533" w:rsidRPr="005D1511" w14:paraId="57F9E5E1" w14:textId="77777777" w:rsidTr="001C3F2F">
        <w:trPr>
          <w:jc w:val="center"/>
        </w:trPr>
        <w:tc>
          <w:tcPr>
            <w:tcW w:w="1928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557E970A" w14:textId="77777777" w:rsidR="00F80533" w:rsidRPr="004815C1" w:rsidRDefault="00F80533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Media</w:t>
            </w:r>
          </w:p>
        </w:tc>
        <w:tc>
          <w:tcPr>
            <w:tcW w:w="1492" w:type="dxa"/>
            <w:tcBorders>
              <w:top w:val="single" w:sz="12" w:space="0" w:color="000000"/>
              <w:left w:val="single" w:sz="1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74754B2C" w14:textId="1DF48BF6" w:rsidR="00F80533" w:rsidRPr="004815C1" w:rsidRDefault="00544421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West Palm Beach, FL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52D1D071" w14:textId="2292068F" w:rsidR="00F80533" w:rsidRPr="004815C1" w:rsidRDefault="00544421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Indianapolis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563669D3" w14:textId="7024F91A" w:rsidR="00F80533" w:rsidRPr="004815C1" w:rsidRDefault="00544421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Minneapolis-St. Paul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8" w:space="0" w:color="0070C0"/>
            </w:tcBorders>
            <w:shd w:val="clear" w:color="auto" w:fill="auto"/>
            <w:vAlign w:val="center"/>
          </w:tcPr>
          <w:p w14:paraId="00869747" w14:textId="77777777" w:rsidR="00F80533" w:rsidRPr="004815C1" w:rsidRDefault="00F80533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Denver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000000"/>
            </w:tcBorders>
            <w:shd w:val="clear" w:color="auto" w:fill="auto"/>
            <w:vAlign w:val="center"/>
          </w:tcPr>
          <w:p w14:paraId="4666272E" w14:textId="14D76B7D" w:rsidR="00F80533" w:rsidRPr="004815C1" w:rsidRDefault="00544421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Monterey-Salinas, CA</w:t>
            </w:r>
          </w:p>
        </w:tc>
      </w:tr>
      <w:tr w:rsidR="00F80533" w:rsidRPr="005D1511" w14:paraId="3D699773" w14:textId="77777777" w:rsidTr="007053D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28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8F4C9B2" w14:textId="77777777" w:rsidR="00F80533" w:rsidRPr="004815C1" w:rsidRDefault="00F80533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Radio</w:t>
            </w:r>
          </w:p>
        </w:tc>
        <w:tc>
          <w:tcPr>
            <w:tcW w:w="1492" w:type="dxa"/>
            <w:tcBorders>
              <w:top w:val="single" w:sz="18" w:space="0" w:color="C0504D" w:themeColor="accent2"/>
              <w:left w:val="single" w:sz="18" w:space="0" w:color="0070C0"/>
              <w:bottom w:val="single" w:sz="4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51EA8D27" w14:textId="009A8D02" w:rsidR="00F80533" w:rsidRPr="004815C1" w:rsidRDefault="007053D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113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2E35E2B1" w14:textId="4138BED9" w:rsidR="00F80533" w:rsidRPr="004815C1" w:rsidRDefault="0054442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115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64466BC0" w14:textId="209F7973" w:rsidR="00F80533" w:rsidRPr="004815C1" w:rsidRDefault="0054442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84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7CA0A194" w14:textId="5BE315FD" w:rsidR="00544421" w:rsidRPr="00544421" w:rsidRDefault="00544421" w:rsidP="00544421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126</w:t>
            </w:r>
          </w:p>
        </w:tc>
        <w:tc>
          <w:tcPr>
            <w:tcW w:w="1498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39639C22" w14:textId="648B4A7F" w:rsidR="00F80533" w:rsidRPr="004815C1" w:rsidRDefault="00544421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36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122</w:t>
            </w:r>
          </w:p>
        </w:tc>
      </w:tr>
      <w:tr w:rsidR="00F80533" w:rsidRPr="005D1511" w14:paraId="09687B5A" w14:textId="77777777" w:rsidTr="007053D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16E3DB1D" w14:textId="77777777" w:rsidR="00F80533" w:rsidRPr="004815C1" w:rsidRDefault="00F80533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TV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3E59B430" w14:textId="23423170" w:rsidR="00F80533" w:rsidRPr="004815C1" w:rsidRDefault="007053D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12626850" w14:textId="6E49802D" w:rsidR="00F80533" w:rsidRPr="004815C1" w:rsidRDefault="0054442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6448747D" w14:textId="31E5137E" w:rsidR="00F80533" w:rsidRPr="004815C1" w:rsidRDefault="0054442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4AA9DECA" w14:textId="7D25023C" w:rsidR="00F80533" w:rsidRPr="004815C1" w:rsidRDefault="0054442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5B8B7" w:themeFill="accent2" w:themeFillTint="66"/>
            <w:vAlign w:val="center"/>
          </w:tcPr>
          <w:p w14:paraId="71D4BD20" w14:textId="2EC478A4" w:rsidR="00F80533" w:rsidRPr="00B00624" w:rsidRDefault="0054442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89</w:t>
            </w:r>
          </w:p>
        </w:tc>
      </w:tr>
      <w:tr w:rsidR="00F80533" w:rsidRPr="005D1511" w14:paraId="1792FEDA" w14:textId="77777777" w:rsidTr="007053D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8965BB6" w14:textId="5DB9F14E" w:rsidR="00F80533" w:rsidRDefault="00F80533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Newspaper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5B8B7" w:themeFill="accent2" w:themeFillTint="66"/>
            <w:vAlign w:val="center"/>
          </w:tcPr>
          <w:p w14:paraId="3B494AC1" w14:textId="725F1607" w:rsidR="00F80533" w:rsidRPr="004815C1" w:rsidRDefault="007053D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85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05C5AED9" w14:textId="5102B2BC" w:rsidR="00F80533" w:rsidRPr="004815C1" w:rsidRDefault="0054442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0BD1816B" w14:textId="1229DAFE" w:rsidR="00F80533" w:rsidRPr="004815C1" w:rsidRDefault="0054442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7F5E9D64" w14:textId="0ACA8AA6" w:rsidR="00F80533" w:rsidRPr="004815C1" w:rsidRDefault="0054442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6BC8F605" w14:textId="0EFC13D9" w:rsidR="00F80533" w:rsidRPr="00B00624" w:rsidRDefault="0054442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122</w:t>
            </w:r>
          </w:p>
        </w:tc>
      </w:tr>
      <w:tr w:rsidR="00F80533" w:rsidRPr="005D1511" w14:paraId="214C767B" w14:textId="77777777" w:rsidTr="007053D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0DA29DB3" w14:textId="1BFFC2B8" w:rsidR="00F80533" w:rsidRDefault="00F80533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Outdoor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3288A469" w14:textId="1AAF35CF" w:rsidR="00F80533" w:rsidRPr="004815C1" w:rsidRDefault="007053D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3F181574" w14:textId="60CC23E0" w:rsidR="00F80533" w:rsidRPr="004815C1" w:rsidRDefault="0054442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19FBDDA8" w14:textId="4636BACC" w:rsidR="00F80533" w:rsidRPr="004815C1" w:rsidRDefault="0054442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6E7339B0" w14:textId="6163A6B2" w:rsidR="00F80533" w:rsidRPr="004815C1" w:rsidRDefault="0054442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92D050"/>
            <w:vAlign w:val="center"/>
          </w:tcPr>
          <w:p w14:paraId="557915F7" w14:textId="06FACAF2" w:rsidR="00F80533" w:rsidRPr="00B00624" w:rsidRDefault="0054442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163</w:t>
            </w:r>
          </w:p>
        </w:tc>
      </w:tr>
      <w:tr w:rsidR="00F80533" w:rsidRPr="005D1511" w14:paraId="7ED86EC1" w14:textId="77777777" w:rsidTr="007053D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0A8A9C3" w14:textId="6DF87EBC" w:rsidR="00F80533" w:rsidRDefault="00F80533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Direct mail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51857BF3" w14:textId="0AE82026" w:rsidR="00F80533" w:rsidRPr="004815C1" w:rsidRDefault="007053D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F2DBDB" w:themeFill="accent2" w:themeFillTint="33"/>
            <w:vAlign w:val="center"/>
          </w:tcPr>
          <w:p w14:paraId="08F0F884" w14:textId="35CF3D2A" w:rsidR="00F80533" w:rsidRPr="004815C1" w:rsidRDefault="0054442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97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1F7A8E43" w14:textId="0ECD9D7C" w:rsidR="00F80533" w:rsidRPr="004815C1" w:rsidRDefault="0054442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EAF1DD" w:themeFill="accent3" w:themeFillTint="33"/>
            <w:vAlign w:val="center"/>
          </w:tcPr>
          <w:p w14:paraId="3BB05D8F" w14:textId="18938D06" w:rsidR="00F80533" w:rsidRPr="004815C1" w:rsidRDefault="0054442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107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7801F9C8" w14:textId="32C69182" w:rsidR="00F80533" w:rsidRPr="00B00624" w:rsidRDefault="0054442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154</w:t>
            </w:r>
          </w:p>
        </w:tc>
      </w:tr>
      <w:tr w:rsidR="00F80533" w:rsidRPr="005D1511" w14:paraId="08891A21" w14:textId="77777777" w:rsidTr="007053D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BF10EC1" w14:textId="6DE20502" w:rsidR="00F80533" w:rsidRDefault="00F80533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Internet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59CFDFC6" w14:textId="0A2ED48E" w:rsidR="00F80533" w:rsidRPr="004815C1" w:rsidRDefault="007053D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16C88AB8" w14:textId="618EC588" w:rsidR="00F80533" w:rsidRPr="004815C1" w:rsidRDefault="0054442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119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267E7BE1" w14:textId="1674BD1A" w:rsidR="00F80533" w:rsidRPr="004815C1" w:rsidRDefault="0054442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5D6321B5" w14:textId="505A6F32" w:rsidR="00F80533" w:rsidRPr="004815C1" w:rsidRDefault="0054442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F10F4B8" w14:textId="724011B6" w:rsidR="00F80533" w:rsidRPr="00B00624" w:rsidRDefault="0054442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105</w:t>
            </w:r>
          </w:p>
        </w:tc>
      </w:tr>
      <w:tr w:rsidR="00F80533" w:rsidRPr="005D1511" w14:paraId="320C7EEB" w14:textId="77777777" w:rsidTr="007053D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0850CF97" w14:textId="77777777" w:rsidR="00F80533" w:rsidRPr="004815C1" w:rsidRDefault="00F80533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Social media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1F38878F" w14:textId="37D871E0" w:rsidR="00F80533" w:rsidRPr="004815C1" w:rsidRDefault="007053D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56B53929" w14:textId="784F5276" w:rsidR="00F80533" w:rsidRPr="004815C1" w:rsidRDefault="0054442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015ECD4A" w14:textId="678CF46B" w:rsidR="00F80533" w:rsidRPr="004815C1" w:rsidRDefault="0054442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CF638DF" w14:textId="2E548585" w:rsidR="00F80533" w:rsidRPr="004815C1" w:rsidRDefault="0054442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7CF08432" w14:textId="220ACFB4" w:rsidR="00F80533" w:rsidRPr="00B00624" w:rsidRDefault="0054442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118</w:t>
            </w:r>
          </w:p>
        </w:tc>
      </w:tr>
      <w:tr w:rsidR="00F80533" w:rsidRPr="005D1511" w14:paraId="1EA155F8" w14:textId="77777777" w:rsidTr="007053D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46DCC46" w14:textId="77777777" w:rsidR="00F80533" w:rsidRDefault="00F80533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Audio streaming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342572C" w14:textId="4BDB8534" w:rsidR="00F80533" w:rsidRDefault="007053D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4317003C" w14:textId="71070260" w:rsidR="00F80533" w:rsidRDefault="0054442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143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6470E20D" w14:textId="059B0DE8" w:rsidR="00F80533" w:rsidRDefault="0054442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154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599CE7E9" w14:textId="20BA8FAC" w:rsidR="00F80533" w:rsidRDefault="0054442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D6E3BC" w:themeFill="accent3" w:themeFillTint="66"/>
            <w:vAlign w:val="center"/>
          </w:tcPr>
          <w:p w14:paraId="7379B1A7" w14:textId="41D35667" w:rsidR="00F80533" w:rsidRDefault="0054442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110</w:t>
            </w:r>
          </w:p>
        </w:tc>
      </w:tr>
      <w:tr w:rsidR="007053D1" w:rsidRPr="005D1511" w14:paraId="00A5D9E8" w14:textId="77777777" w:rsidTr="007053D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E6BE024" w14:textId="77777777" w:rsidR="00F80533" w:rsidRPr="004815C1" w:rsidRDefault="00F80533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Podcast listening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18" w:space="0" w:color="0070C0"/>
              <w:bottom w:val="single" w:sz="4" w:space="0" w:color="000000"/>
              <w:right w:val="single" w:sz="8" w:space="0" w:color="0070C0"/>
            </w:tcBorders>
            <w:shd w:val="clear" w:color="auto" w:fill="00B050"/>
            <w:vAlign w:val="center"/>
          </w:tcPr>
          <w:p w14:paraId="7B827EC5" w14:textId="7B52895A" w:rsidR="00F80533" w:rsidRPr="004815C1" w:rsidRDefault="007053D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195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58464686" w14:textId="715C56E9" w:rsidR="00F80533" w:rsidRPr="004815C1" w:rsidRDefault="0054442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135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92D050"/>
            <w:vAlign w:val="center"/>
          </w:tcPr>
          <w:p w14:paraId="1B0C5F5E" w14:textId="666EE0B0" w:rsidR="00F80533" w:rsidRPr="00B00624" w:rsidRDefault="0054442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168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44B36713" w14:textId="32ED85E6" w:rsidR="00F80533" w:rsidRPr="004815C1" w:rsidRDefault="0054442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4" w:space="0" w:color="000000"/>
              <w:right w:val="single" w:sz="12" w:space="0" w:color="000000"/>
            </w:tcBorders>
            <w:shd w:val="clear" w:color="auto" w:fill="EAF1DD" w:themeFill="accent3" w:themeFillTint="33"/>
            <w:vAlign w:val="center"/>
          </w:tcPr>
          <w:p w14:paraId="31861A25" w14:textId="49812BBD" w:rsidR="00F80533" w:rsidRPr="004815C1" w:rsidRDefault="0054442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102</w:t>
            </w:r>
          </w:p>
        </w:tc>
      </w:tr>
      <w:tr w:rsidR="00F80533" w:rsidRPr="005D1511" w14:paraId="1EDC8223" w14:textId="77777777" w:rsidTr="007053D1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28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2280E338" w14:textId="1DFB6292" w:rsidR="00F80533" w:rsidRDefault="00F80533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mirrorIndents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Video streaming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18" w:space="0" w:color="0070C0"/>
              <w:bottom w:val="single" w:sz="12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45999976" w14:textId="4F3CAF71" w:rsidR="00F80533" w:rsidRPr="004815C1" w:rsidRDefault="007053D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30A10D99" w14:textId="260B3684" w:rsidR="00F80533" w:rsidRPr="004815C1" w:rsidRDefault="0054442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117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C2D69B" w:themeFill="accent3" w:themeFillTint="99"/>
            <w:vAlign w:val="center"/>
          </w:tcPr>
          <w:p w14:paraId="2D93763B" w14:textId="13E6BF94" w:rsidR="00F80533" w:rsidRPr="00B00624" w:rsidRDefault="0054442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136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8" w:space="0" w:color="0070C0"/>
            </w:tcBorders>
            <w:shd w:val="clear" w:color="auto" w:fill="D6E3BC" w:themeFill="accent3" w:themeFillTint="66"/>
            <w:vAlign w:val="center"/>
          </w:tcPr>
          <w:p w14:paraId="0D2B927F" w14:textId="78C16768" w:rsidR="00F80533" w:rsidRPr="004815C1" w:rsidRDefault="0054442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120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8" w:space="0" w:color="0070C0"/>
              <w:bottom w:val="single" w:sz="12" w:space="0" w:color="auto"/>
              <w:right w:val="single" w:sz="12" w:space="0" w:color="000000"/>
            </w:tcBorders>
            <w:shd w:val="clear" w:color="auto" w:fill="C2D69B" w:themeFill="accent3" w:themeFillTint="99"/>
            <w:vAlign w:val="center"/>
          </w:tcPr>
          <w:p w14:paraId="5B9FDC8A" w14:textId="23EFF9B8" w:rsidR="00F80533" w:rsidRPr="004815C1" w:rsidRDefault="00544421" w:rsidP="001C3F2F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spacing w:after="0" w:line="240" w:lineRule="auto"/>
              <w:ind w:left="0" w:firstLine="0"/>
              <w:contextualSpacing/>
              <w:mirrorIndents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132</w:t>
            </w:r>
          </w:p>
        </w:tc>
      </w:tr>
    </w:tbl>
    <w:p w14:paraId="3F825A48" w14:textId="543C0805" w:rsidR="00F80533" w:rsidRDefault="00F80533" w:rsidP="00F80533">
      <w:pPr>
        <w:spacing w:after="0" w:line="240" w:lineRule="auto"/>
        <w:contextualSpacing/>
        <w:mirrorIndents/>
        <w:rPr>
          <w:sz w:val="16"/>
          <w:szCs w:val="16"/>
        </w:rPr>
      </w:pPr>
      <w:r w:rsidRPr="00573142">
        <w:rPr>
          <w:sz w:val="16"/>
          <w:szCs w:val="16"/>
        </w:rPr>
        <w:t xml:space="preserve">Based on The Media Audit’s 2021 surveys </w:t>
      </w:r>
    </w:p>
    <w:p w14:paraId="06CE577F" w14:textId="4D6B9C62" w:rsidR="00F80533" w:rsidRDefault="00F80533" w:rsidP="00F80533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  <w:r>
        <w:rPr>
          <w:sz w:val="16"/>
          <w:szCs w:val="16"/>
        </w:rPr>
        <w:t xml:space="preserve">(See definitions of heavy exposure to media </w:t>
      </w:r>
      <w:r w:rsidR="00544421">
        <w:rPr>
          <w:sz w:val="16"/>
          <w:szCs w:val="16"/>
        </w:rPr>
        <w:t>below</w:t>
      </w:r>
      <w:r>
        <w:rPr>
          <w:sz w:val="16"/>
          <w:szCs w:val="16"/>
        </w:rPr>
        <w:t>)</w:t>
      </w:r>
    </w:p>
    <w:p w14:paraId="34FF66B9" w14:textId="77777777" w:rsidR="00F80533" w:rsidRDefault="00F80533" w:rsidP="00F80533">
      <w:pPr>
        <w:spacing w:after="0" w:line="240" w:lineRule="auto"/>
        <w:contextualSpacing/>
        <w:mirrorIndents/>
        <w:rPr>
          <w:rFonts w:ascii="Verdana" w:hAnsi="Verdana"/>
          <w:sz w:val="20"/>
          <w:szCs w:val="20"/>
        </w:rPr>
      </w:pPr>
    </w:p>
    <w:p w14:paraId="72A9D893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78E679E8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5F1B727D" w14:textId="77777777" w:rsidR="00F80533" w:rsidRPr="007F1120" w:rsidRDefault="00F80533" w:rsidP="00F80533">
      <w:pPr>
        <w:pStyle w:val="Header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The Media Audit: Heavy Exposure to Media</w:t>
      </w:r>
      <w:r w:rsidRPr="007F1120">
        <w:rPr>
          <w:rFonts w:ascii="Verdana" w:hAnsi="Verdana"/>
          <w:b/>
          <w:sz w:val="20"/>
          <w:szCs w:val="20"/>
        </w:rPr>
        <w:t>,</w:t>
      </w:r>
      <w:r w:rsidRPr="007F112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2021</w:t>
      </w:r>
    </w:p>
    <w:tbl>
      <w:tblPr>
        <w:tblW w:w="4935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35"/>
        <w:gridCol w:w="3300"/>
      </w:tblGrid>
      <w:tr w:rsidR="00F80533" w:rsidRPr="007F1120" w14:paraId="1636C2D1" w14:textId="77777777" w:rsidTr="001C3F2F">
        <w:trPr>
          <w:jc w:val="center"/>
        </w:trPr>
        <w:tc>
          <w:tcPr>
            <w:tcW w:w="1635" w:type="dxa"/>
            <w:tcBorders>
              <w:top w:val="single" w:sz="12" w:space="0" w:color="000000"/>
              <w:left w:val="single" w:sz="12" w:space="0" w:color="000000"/>
              <w:bottom w:val="single" w:sz="18" w:space="0" w:color="C0504D" w:themeColor="accent2"/>
              <w:right w:val="single" w:sz="18" w:space="0" w:color="0070C0"/>
            </w:tcBorders>
            <w:shd w:val="clear" w:color="auto" w:fill="auto"/>
            <w:vAlign w:val="center"/>
          </w:tcPr>
          <w:p w14:paraId="3B04210B" w14:textId="77777777" w:rsidR="00F80533" w:rsidRPr="00294183" w:rsidRDefault="00F80533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Media</w:t>
            </w:r>
          </w:p>
        </w:tc>
        <w:tc>
          <w:tcPr>
            <w:tcW w:w="3300" w:type="dxa"/>
            <w:tcBorders>
              <w:top w:val="single" w:sz="12" w:space="0" w:color="000000"/>
              <w:left w:val="single" w:sz="8" w:space="0" w:color="0070C0"/>
              <w:bottom w:val="single" w:sz="18" w:space="0" w:color="C0504D" w:themeColor="accent2"/>
              <w:right w:val="single" w:sz="12" w:space="0" w:color="auto"/>
            </w:tcBorders>
            <w:shd w:val="clear" w:color="auto" w:fill="auto"/>
            <w:vAlign w:val="center"/>
          </w:tcPr>
          <w:p w14:paraId="28747199" w14:textId="77777777" w:rsidR="00F80533" w:rsidRPr="00294183" w:rsidRDefault="00F80533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Time</w:t>
            </w:r>
          </w:p>
        </w:tc>
      </w:tr>
      <w:tr w:rsidR="00F80533" w:rsidRPr="007F1120" w14:paraId="392A220F" w14:textId="77777777" w:rsidTr="001C3F2F">
        <w:trPr>
          <w:trHeight w:val="243"/>
          <w:jc w:val="center"/>
        </w:trPr>
        <w:tc>
          <w:tcPr>
            <w:tcW w:w="1635" w:type="dxa"/>
            <w:tcBorders>
              <w:top w:val="single" w:sz="18" w:space="0" w:color="C0504D" w:themeColor="accent2"/>
              <w:left w:val="single" w:sz="12" w:space="0" w:color="000000"/>
              <w:bottom w:val="single" w:sz="4" w:space="0" w:color="auto"/>
              <w:right w:val="single" w:sz="18" w:space="0" w:color="0070C0"/>
            </w:tcBorders>
            <w:shd w:val="clear" w:color="auto" w:fill="auto"/>
            <w:vAlign w:val="center"/>
          </w:tcPr>
          <w:p w14:paraId="4DDC834C" w14:textId="77777777" w:rsidR="00F80533" w:rsidRPr="00294183" w:rsidRDefault="00F80533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Radio</w:t>
            </w:r>
          </w:p>
        </w:tc>
        <w:tc>
          <w:tcPr>
            <w:tcW w:w="3300" w:type="dxa"/>
            <w:tcBorders>
              <w:top w:val="single" w:sz="18" w:space="0" w:color="C0504D" w:themeColor="accent2"/>
              <w:left w:val="single" w:sz="8" w:space="0" w:color="0070C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A5DD5E" w14:textId="77777777" w:rsidR="00F80533" w:rsidRPr="00294183" w:rsidRDefault="00F80533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180+ minutes during an average day</w:t>
            </w:r>
          </w:p>
        </w:tc>
      </w:tr>
      <w:tr w:rsidR="00F80533" w:rsidRPr="007F1120" w14:paraId="53D5227E" w14:textId="77777777" w:rsidTr="001C3F2F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0697B28" w14:textId="77777777" w:rsidR="00F80533" w:rsidRPr="00294183" w:rsidRDefault="00F80533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TV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09A681FB" w14:textId="77777777" w:rsidR="00F80533" w:rsidRPr="00294183" w:rsidRDefault="00F80533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300+ minutes during an average day</w:t>
            </w:r>
          </w:p>
        </w:tc>
      </w:tr>
      <w:tr w:rsidR="00F80533" w:rsidRPr="007F1120" w14:paraId="27E379B1" w14:textId="77777777" w:rsidTr="001C3F2F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2993156" w14:textId="77777777" w:rsidR="00F80533" w:rsidRPr="00294183" w:rsidRDefault="00F80533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Newspaper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A0689DB" w14:textId="77777777" w:rsidR="00F80533" w:rsidRPr="00294183" w:rsidRDefault="00F80533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60+ minutes during an average day</w:t>
            </w:r>
          </w:p>
        </w:tc>
      </w:tr>
      <w:tr w:rsidR="00F80533" w:rsidRPr="007F1120" w14:paraId="5276F6BC" w14:textId="77777777" w:rsidTr="001C3F2F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5CC03AB0" w14:textId="77777777" w:rsidR="00F80533" w:rsidRPr="00294183" w:rsidRDefault="00F80533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Outdoor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55986567" w14:textId="77777777" w:rsidR="00F80533" w:rsidRPr="00294183" w:rsidRDefault="00F80533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200+ miles during an average week</w:t>
            </w:r>
          </w:p>
        </w:tc>
      </w:tr>
      <w:tr w:rsidR="00F80533" w:rsidRPr="007F1120" w14:paraId="2766F55C" w14:textId="77777777" w:rsidTr="001C3F2F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8E46DBA" w14:textId="77777777" w:rsidR="00F80533" w:rsidRPr="00294183" w:rsidRDefault="00F80533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Direct mail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E5253D6" w14:textId="77777777" w:rsidR="00F80533" w:rsidRPr="00294183" w:rsidRDefault="00F80533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75+ read weekly</w:t>
            </w:r>
          </w:p>
        </w:tc>
      </w:tr>
      <w:tr w:rsidR="00F80533" w:rsidRPr="007F1120" w14:paraId="6841D16E" w14:textId="77777777" w:rsidTr="001C3F2F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3DFA23D" w14:textId="77777777" w:rsidR="00F80533" w:rsidRPr="00294183" w:rsidRDefault="00F80533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Internet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255FD381" w14:textId="77777777" w:rsidR="00F80533" w:rsidRPr="00294183" w:rsidRDefault="00F80533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180+ minutes during a typical day</w:t>
            </w:r>
          </w:p>
        </w:tc>
      </w:tr>
      <w:tr w:rsidR="00F80533" w:rsidRPr="007F1120" w14:paraId="25C92C8F" w14:textId="77777777" w:rsidTr="001C3F2F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400C536F" w14:textId="77777777" w:rsidR="00F80533" w:rsidRPr="00294183" w:rsidRDefault="00F80533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Social media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3E9A76F" w14:textId="77777777" w:rsidR="00F80533" w:rsidRPr="00294183" w:rsidRDefault="00F80533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180+ minutes during a typical day</w:t>
            </w:r>
          </w:p>
        </w:tc>
      </w:tr>
      <w:tr w:rsidR="00F80533" w:rsidRPr="007F1120" w14:paraId="66C85E05" w14:textId="77777777" w:rsidTr="001C3F2F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31BF3E9F" w14:textId="77777777" w:rsidR="00F80533" w:rsidRPr="00294183" w:rsidRDefault="00F80533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Audio streaming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10D216FB" w14:textId="77777777" w:rsidR="00F80533" w:rsidRPr="00294183" w:rsidRDefault="00F80533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180+ minutes during an average day</w:t>
            </w:r>
          </w:p>
        </w:tc>
      </w:tr>
      <w:tr w:rsidR="00F80533" w:rsidRPr="007F1120" w14:paraId="3AF20678" w14:textId="77777777" w:rsidTr="001C3F2F">
        <w:trPr>
          <w:trHeight w:val="243"/>
          <w:jc w:val="center"/>
        </w:trPr>
        <w:tc>
          <w:tcPr>
            <w:tcW w:w="1635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2FCBC08E" w14:textId="77777777" w:rsidR="00F80533" w:rsidRPr="00294183" w:rsidRDefault="00F80533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Podcast listening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8" w:space="0" w:color="0070C0"/>
              <w:bottom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6A6E027" w14:textId="77777777" w:rsidR="00F80533" w:rsidRPr="00294183" w:rsidRDefault="00F80533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180+ minutes during a typical day</w:t>
            </w:r>
          </w:p>
        </w:tc>
      </w:tr>
      <w:tr w:rsidR="00F80533" w:rsidRPr="007F1120" w14:paraId="0EB6E67E" w14:textId="77777777" w:rsidTr="001C3F2F">
        <w:trPr>
          <w:trHeight w:val="243"/>
          <w:jc w:val="center"/>
        </w:trPr>
        <w:tc>
          <w:tcPr>
            <w:tcW w:w="16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70C0"/>
            </w:tcBorders>
            <w:shd w:val="clear" w:color="auto" w:fill="auto"/>
            <w:vAlign w:val="center"/>
          </w:tcPr>
          <w:p w14:paraId="71EEFC50" w14:textId="77777777" w:rsidR="00F80533" w:rsidRPr="00294183" w:rsidRDefault="00F80533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Video streaming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8" w:space="0" w:color="0070C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78527747" w14:textId="77777777" w:rsidR="00F80533" w:rsidRPr="00294183" w:rsidRDefault="00F80533" w:rsidP="001C3F2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Verdana" w:eastAsia="Times New Roman" w:hAnsi="Verdana"/>
                <w:sz w:val="16"/>
                <w:szCs w:val="16"/>
              </w:rPr>
            </w:pPr>
            <w:r w:rsidRPr="00294183">
              <w:rPr>
                <w:rFonts w:ascii="Verdana" w:eastAsia="Times New Roman" w:hAnsi="Verdana"/>
                <w:sz w:val="16"/>
                <w:szCs w:val="16"/>
              </w:rPr>
              <w:t>180+ minutes during an average day</w:t>
            </w:r>
          </w:p>
        </w:tc>
      </w:tr>
    </w:tbl>
    <w:p w14:paraId="3C35B056" w14:textId="41DDACA0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70344133" w14:textId="77777777" w:rsidR="007053D1" w:rsidRDefault="007053D1" w:rsidP="00F94CE8">
      <w:pPr>
        <w:pStyle w:val="NoSpacing"/>
        <w:contextualSpacing/>
        <w:rPr>
          <w:sz w:val="20"/>
          <w:szCs w:val="20"/>
        </w:rPr>
      </w:pPr>
    </w:p>
    <w:p w14:paraId="72BAAFC7" w14:textId="47214A47" w:rsidR="00F94CE8" w:rsidRPr="007053D1" w:rsidRDefault="00F94CE8" w:rsidP="00F94CE8">
      <w:pPr>
        <w:spacing w:after="0" w:line="240" w:lineRule="auto"/>
        <w:rPr>
          <w:rFonts w:ascii="Verdana" w:hAnsi="Verdana"/>
          <w:sz w:val="16"/>
          <w:szCs w:val="16"/>
        </w:rPr>
      </w:pPr>
      <w:r w:rsidRPr="007053D1">
        <w:rPr>
          <w:rFonts w:ascii="Verdana" w:hAnsi="Verdana"/>
          <w:i/>
          <w:sz w:val="16"/>
          <w:szCs w:val="16"/>
        </w:rPr>
        <w:t>Sources:</w:t>
      </w:r>
      <w:r w:rsidRPr="007053D1">
        <w:rPr>
          <w:rFonts w:ascii="Verdana" w:hAnsi="Verdana"/>
          <w:sz w:val="16"/>
          <w:szCs w:val="16"/>
        </w:rPr>
        <w:t xml:space="preserve"> </w:t>
      </w:r>
      <w:r w:rsidR="007053D1" w:rsidRPr="007053D1">
        <w:rPr>
          <w:sz w:val="16"/>
          <w:szCs w:val="16"/>
        </w:rPr>
        <w:t>CNBC</w:t>
      </w:r>
      <w:r w:rsidR="007053D1" w:rsidRPr="007053D1">
        <w:rPr>
          <w:rFonts w:ascii="Verdana" w:hAnsi="Verdana"/>
          <w:sz w:val="16"/>
          <w:szCs w:val="16"/>
        </w:rPr>
        <w:t xml:space="preserve"> </w:t>
      </w:r>
      <w:r w:rsidRPr="007053D1">
        <w:rPr>
          <w:rFonts w:ascii="Verdana" w:hAnsi="Verdana"/>
          <w:sz w:val="16"/>
          <w:szCs w:val="16"/>
        </w:rPr>
        <w:t xml:space="preserve">Website, </w:t>
      </w:r>
      <w:r w:rsidR="005610BD" w:rsidRPr="007053D1">
        <w:rPr>
          <w:rFonts w:ascii="Verdana" w:hAnsi="Verdana"/>
          <w:sz w:val="16"/>
          <w:szCs w:val="16"/>
        </w:rPr>
        <w:t>5</w:t>
      </w:r>
      <w:r w:rsidR="00306D88" w:rsidRPr="007053D1">
        <w:rPr>
          <w:rFonts w:ascii="Verdana" w:hAnsi="Verdana"/>
          <w:sz w:val="16"/>
          <w:szCs w:val="16"/>
        </w:rPr>
        <w:t>/</w:t>
      </w:r>
      <w:r w:rsidR="00AE6B2A" w:rsidRPr="007053D1">
        <w:rPr>
          <w:rFonts w:ascii="Verdana" w:hAnsi="Verdana"/>
          <w:sz w:val="16"/>
          <w:szCs w:val="16"/>
        </w:rPr>
        <w:t>2</w:t>
      </w:r>
      <w:r w:rsidR="00C8473A" w:rsidRPr="007053D1">
        <w:rPr>
          <w:rFonts w:ascii="Verdana" w:hAnsi="Verdana"/>
          <w:sz w:val="16"/>
          <w:szCs w:val="16"/>
        </w:rPr>
        <w:t>2</w:t>
      </w:r>
      <w:r w:rsidRPr="007053D1">
        <w:rPr>
          <w:rFonts w:ascii="Verdana" w:hAnsi="Verdana"/>
          <w:sz w:val="16"/>
          <w:szCs w:val="16"/>
        </w:rPr>
        <w:t xml:space="preserve">; </w:t>
      </w:r>
      <w:r w:rsidR="007053D1" w:rsidRPr="007053D1">
        <w:rPr>
          <w:sz w:val="16"/>
          <w:szCs w:val="16"/>
        </w:rPr>
        <w:t xml:space="preserve">Federal Deposit Insurance Corporation </w:t>
      </w:r>
      <w:r w:rsidRPr="007053D1">
        <w:rPr>
          <w:rFonts w:ascii="Verdana" w:hAnsi="Verdana"/>
          <w:sz w:val="16"/>
          <w:szCs w:val="16"/>
        </w:rPr>
        <w:t xml:space="preserve">Website, </w:t>
      </w:r>
      <w:r w:rsidR="005610BD" w:rsidRPr="007053D1">
        <w:rPr>
          <w:rFonts w:ascii="Verdana" w:hAnsi="Verdana"/>
          <w:sz w:val="16"/>
          <w:szCs w:val="16"/>
        </w:rPr>
        <w:t>5</w:t>
      </w:r>
      <w:r w:rsidR="004E421A" w:rsidRPr="007053D1">
        <w:rPr>
          <w:rFonts w:ascii="Verdana" w:hAnsi="Verdana"/>
          <w:sz w:val="16"/>
          <w:szCs w:val="16"/>
        </w:rPr>
        <w:t>/</w:t>
      </w:r>
      <w:r w:rsidR="00AE6B2A" w:rsidRPr="007053D1">
        <w:rPr>
          <w:rFonts w:ascii="Verdana" w:hAnsi="Verdana"/>
          <w:sz w:val="16"/>
          <w:szCs w:val="16"/>
        </w:rPr>
        <w:t>2</w:t>
      </w:r>
      <w:r w:rsidR="00C8473A" w:rsidRPr="007053D1">
        <w:rPr>
          <w:rFonts w:ascii="Verdana" w:hAnsi="Verdana"/>
          <w:sz w:val="16"/>
          <w:szCs w:val="16"/>
        </w:rPr>
        <w:t>2</w:t>
      </w:r>
      <w:r w:rsidR="007053D1" w:rsidRPr="007053D1">
        <w:rPr>
          <w:rFonts w:ascii="Verdana" w:hAnsi="Verdana"/>
          <w:sz w:val="16"/>
          <w:szCs w:val="16"/>
        </w:rPr>
        <w:t>;</w:t>
      </w:r>
      <w:r w:rsidR="007053D1" w:rsidRPr="007053D1">
        <w:rPr>
          <w:sz w:val="16"/>
          <w:szCs w:val="16"/>
        </w:rPr>
        <w:t xml:space="preserve"> Banking Exchange </w:t>
      </w:r>
      <w:r w:rsidRPr="007053D1">
        <w:rPr>
          <w:rFonts w:ascii="Verdana" w:hAnsi="Verdana"/>
          <w:sz w:val="16"/>
          <w:szCs w:val="16"/>
        </w:rPr>
        <w:t>Website</w:t>
      </w:r>
      <w:r w:rsidR="00A00453" w:rsidRPr="007053D1">
        <w:rPr>
          <w:rFonts w:ascii="Verdana" w:hAnsi="Verdana"/>
          <w:sz w:val="16"/>
          <w:szCs w:val="16"/>
        </w:rPr>
        <w:t xml:space="preserve">, </w:t>
      </w:r>
      <w:r w:rsidR="005610BD" w:rsidRPr="007053D1">
        <w:rPr>
          <w:rFonts w:ascii="Verdana" w:hAnsi="Verdana"/>
          <w:sz w:val="16"/>
          <w:szCs w:val="16"/>
        </w:rPr>
        <w:t>5</w:t>
      </w:r>
      <w:r w:rsidR="00306D88" w:rsidRPr="007053D1">
        <w:rPr>
          <w:rFonts w:ascii="Verdana" w:hAnsi="Verdana"/>
          <w:sz w:val="16"/>
          <w:szCs w:val="16"/>
        </w:rPr>
        <w:t>/</w:t>
      </w:r>
      <w:r w:rsidR="00AE6B2A" w:rsidRPr="007053D1">
        <w:rPr>
          <w:rFonts w:ascii="Verdana" w:hAnsi="Verdana"/>
          <w:sz w:val="16"/>
          <w:szCs w:val="16"/>
        </w:rPr>
        <w:t>2</w:t>
      </w:r>
      <w:r w:rsidR="00C8473A" w:rsidRPr="007053D1">
        <w:rPr>
          <w:rFonts w:ascii="Verdana" w:hAnsi="Verdana"/>
          <w:sz w:val="16"/>
          <w:szCs w:val="16"/>
        </w:rPr>
        <w:t>2</w:t>
      </w:r>
      <w:r w:rsidR="007053D1">
        <w:rPr>
          <w:rFonts w:ascii="Verdana" w:hAnsi="Verdana"/>
          <w:sz w:val="16"/>
          <w:szCs w:val="16"/>
        </w:rPr>
        <w:t>;</w:t>
      </w:r>
      <w:r w:rsidR="007053D1" w:rsidRPr="007053D1">
        <w:rPr>
          <w:rFonts w:ascii="Verdana" w:hAnsi="Verdana"/>
          <w:sz w:val="16"/>
          <w:szCs w:val="16"/>
        </w:rPr>
        <w:t xml:space="preserve"> </w:t>
      </w:r>
      <w:r w:rsidR="007053D1" w:rsidRPr="007053D1">
        <w:rPr>
          <w:sz w:val="16"/>
          <w:szCs w:val="16"/>
        </w:rPr>
        <w:t>American Bankers Association Website</w:t>
      </w:r>
      <w:r w:rsidR="007053D1" w:rsidRPr="007053D1">
        <w:rPr>
          <w:rFonts w:ascii="Verdana" w:hAnsi="Verdana"/>
          <w:sz w:val="16"/>
          <w:szCs w:val="16"/>
        </w:rPr>
        <w:t>, 5/22;</w:t>
      </w:r>
      <w:r w:rsidR="007053D1" w:rsidRPr="007053D1">
        <w:rPr>
          <w:sz w:val="16"/>
          <w:szCs w:val="16"/>
        </w:rPr>
        <w:t xml:space="preserve"> Morning Consult Website</w:t>
      </w:r>
      <w:r w:rsidR="007053D1" w:rsidRPr="007053D1">
        <w:rPr>
          <w:rFonts w:ascii="Verdana" w:hAnsi="Verdana"/>
          <w:sz w:val="16"/>
          <w:szCs w:val="16"/>
        </w:rPr>
        <w:t>, 5/22;</w:t>
      </w:r>
      <w:r w:rsidR="007053D1" w:rsidRPr="007053D1">
        <w:rPr>
          <w:sz w:val="16"/>
          <w:szCs w:val="16"/>
        </w:rPr>
        <w:t xml:space="preserve"> Gallup Website</w:t>
      </w:r>
      <w:r w:rsidR="007053D1" w:rsidRPr="007053D1">
        <w:rPr>
          <w:rFonts w:ascii="Verdana" w:hAnsi="Verdana"/>
          <w:sz w:val="16"/>
          <w:szCs w:val="16"/>
        </w:rPr>
        <w:t>, 5/22;</w:t>
      </w:r>
      <w:r w:rsidR="007053D1" w:rsidRPr="007053D1">
        <w:rPr>
          <w:sz w:val="16"/>
          <w:szCs w:val="16"/>
        </w:rPr>
        <w:t xml:space="preserve"> Pew Research Center Website</w:t>
      </w:r>
      <w:r w:rsidR="007053D1" w:rsidRPr="007053D1">
        <w:rPr>
          <w:rFonts w:ascii="Verdana" w:hAnsi="Verdana"/>
          <w:sz w:val="16"/>
          <w:szCs w:val="16"/>
        </w:rPr>
        <w:t>, 5/22;</w:t>
      </w:r>
      <w:r w:rsidR="007053D1" w:rsidRPr="007053D1">
        <w:rPr>
          <w:sz w:val="16"/>
          <w:szCs w:val="16"/>
        </w:rPr>
        <w:t xml:space="preserve"> ThinkNow Website</w:t>
      </w:r>
      <w:r w:rsidR="007053D1" w:rsidRPr="007053D1">
        <w:rPr>
          <w:rFonts w:ascii="Verdana" w:hAnsi="Verdana"/>
          <w:sz w:val="16"/>
          <w:szCs w:val="16"/>
        </w:rPr>
        <w:t>, 5/22;</w:t>
      </w:r>
      <w:r w:rsidR="007053D1" w:rsidRPr="007053D1">
        <w:rPr>
          <w:sz w:val="16"/>
          <w:szCs w:val="16"/>
        </w:rPr>
        <w:t xml:space="preserve"> The Media Audit Website</w:t>
      </w:r>
      <w:r w:rsidR="007053D1" w:rsidRPr="007053D1">
        <w:rPr>
          <w:rFonts w:ascii="Verdana" w:hAnsi="Verdana"/>
          <w:sz w:val="16"/>
          <w:szCs w:val="16"/>
        </w:rPr>
        <w:t>, 5/22;</w:t>
      </w:r>
      <w:r w:rsidR="007053D1" w:rsidRPr="007053D1">
        <w:rPr>
          <w:sz w:val="16"/>
          <w:szCs w:val="16"/>
        </w:rPr>
        <w:t xml:space="preserve"> Marketing Charts Website</w:t>
      </w:r>
      <w:r w:rsidR="007053D1" w:rsidRPr="007053D1">
        <w:rPr>
          <w:rFonts w:ascii="Verdana" w:hAnsi="Verdana"/>
          <w:sz w:val="16"/>
          <w:szCs w:val="16"/>
        </w:rPr>
        <w:t>, 5/22;</w:t>
      </w:r>
      <w:r w:rsidR="007053D1" w:rsidRPr="007053D1">
        <w:rPr>
          <w:sz w:val="16"/>
          <w:szCs w:val="16"/>
        </w:rPr>
        <w:t xml:space="preserve"> The Financial Brand Website</w:t>
      </w:r>
      <w:r w:rsidR="007053D1" w:rsidRPr="007053D1">
        <w:rPr>
          <w:rFonts w:ascii="Verdana" w:hAnsi="Verdana"/>
          <w:sz w:val="16"/>
          <w:szCs w:val="16"/>
        </w:rPr>
        <w:t>, 5/22;</w:t>
      </w:r>
      <w:r w:rsidR="007053D1" w:rsidRPr="007053D1">
        <w:rPr>
          <w:sz w:val="16"/>
          <w:szCs w:val="16"/>
        </w:rPr>
        <w:t xml:space="preserve"> Quantum Metrics Website</w:t>
      </w:r>
      <w:r w:rsidR="007053D1" w:rsidRPr="007053D1">
        <w:rPr>
          <w:rFonts w:ascii="Verdana" w:hAnsi="Verdana"/>
          <w:sz w:val="16"/>
          <w:szCs w:val="16"/>
        </w:rPr>
        <w:t>, 5/22;</w:t>
      </w:r>
      <w:r w:rsidR="007053D1" w:rsidRPr="007053D1">
        <w:rPr>
          <w:sz w:val="16"/>
          <w:szCs w:val="16"/>
        </w:rPr>
        <w:t xml:space="preserve"> J.D. Power Website</w:t>
      </w:r>
      <w:r w:rsidR="007053D1" w:rsidRPr="007053D1">
        <w:rPr>
          <w:rFonts w:ascii="Verdana" w:hAnsi="Verdana"/>
          <w:sz w:val="16"/>
          <w:szCs w:val="16"/>
        </w:rPr>
        <w:t>, 5/22;</w:t>
      </w:r>
      <w:r w:rsidR="007053D1" w:rsidRPr="007053D1">
        <w:rPr>
          <w:sz w:val="16"/>
          <w:szCs w:val="16"/>
        </w:rPr>
        <w:t xml:space="preserve"> KPMG Website</w:t>
      </w:r>
      <w:r w:rsidR="007053D1" w:rsidRPr="007053D1">
        <w:rPr>
          <w:rFonts w:ascii="Verdana" w:hAnsi="Verdana"/>
          <w:sz w:val="16"/>
          <w:szCs w:val="16"/>
        </w:rPr>
        <w:t>, 5/22;</w:t>
      </w:r>
      <w:r w:rsidR="007053D1" w:rsidRPr="007053D1">
        <w:rPr>
          <w:sz w:val="16"/>
          <w:szCs w:val="16"/>
        </w:rPr>
        <w:t xml:space="preserve"> Plaid Website</w:t>
      </w:r>
      <w:r w:rsidR="007053D1" w:rsidRPr="007053D1">
        <w:rPr>
          <w:rFonts w:ascii="Verdana" w:hAnsi="Verdana"/>
          <w:sz w:val="16"/>
          <w:szCs w:val="16"/>
        </w:rPr>
        <w:t>, 5/22;</w:t>
      </w:r>
      <w:r w:rsidR="007053D1" w:rsidRPr="007053D1">
        <w:rPr>
          <w:sz w:val="16"/>
          <w:szCs w:val="16"/>
        </w:rPr>
        <w:t xml:space="preserve"> Payment Dive Website</w:t>
      </w:r>
      <w:r w:rsidR="007053D1" w:rsidRPr="007053D1">
        <w:rPr>
          <w:rFonts w:ascii="Verdana" w:hAnsi="Verdana"/>
          <w:sz w:val="16"/>
          <w:szCs w:val="16"/>
        </w:rPr>
        <w:t>, 5/22</w:t>
      </w:r>
      <w:r w:rsidR="007053D1">
        <w:rPr>
          <w:rFonts w:ascii="Verdana" w:hAnsi="Verdana"/>
          <w:sz w:val="16"/>
          <w:szCs w:val="16"/>
        </w:rPr>
        <w:t>.</w:t>
      </w:r>
    </w:p>
    <w:p w14:paraId="7EF64BA4" w14:textId="77777777" w:rsidR="00F94CE8" w:rsidRPr="00690E6A" w:rsidRDefault="00F94CE8" w:rsidP="00F94CE8">
      <w:pPr>
        <w:spacing w:after="0" w:line="240" w:lineRule="auto"/>
        <w:rPr>
          <w:rFonts w:ascii="Verdana" w:hAnsi="Verdana"/>
          <w:sz w:val="16"/>
        </w:rPr>
      </w:pPr>
    </w:p>
    <w:p w14:paraId="49C0D793" w14:textId="46F3EC19" w:rsidR="00F94CE8" w:rsidRPr="00690E6A" w:rsidRDefault="00F94CE8" w:rsidP="00F94CE8">
      <w:pPr>
        <w:spacing w:after="0" w:line="240" w:lineRule="auto"/>
        <w:rPr>
          <w:rFonts w:ascii="Verdana" w:hAnsi="Verdana"/>
          <w:strike/>
          <w:sz w:val="16"/>
        </w:rPr>
      </w:pPr>
      <w:r w:rsidRPr="00690E6A">
        <w:rPr>
          <w:rFonts w:ascii="Verdana" w:hAnsi="Verdana"/>
          <w:i/>
          <w:sz w:val="16"/>
        </w:rPr>
        <w:t>Updated</w:t>
      </w:r>
      <w:r w:rsidR="003F0FE1">
        <w:rPr>
          <w:rFonts w:ascii="Verdana" w:hAnsi="Verdana"/>
          <w:sz w:val="16"/>
        </w:rPr>
        <w:t xml:space="preserve">: </w:t>
      </w:r>
      <w:r w:rsidR="005610BD">
        <w:rPr>
          <w:rFonts w:ascii="Verdana" w:hAnsi="Verdana"/>
          <w:sz w:val="16"/>
        </w:rPr>
        <w:t>May</w:t>
      </w:r>
      <w:r w:rsidR="00C8473A">
        <w:rPr>
          <w:rFonts w:ascii="Verdana" w:hAnsi="Verdana"/>
          <w:sz w:val="16"/>
        </w:rPr>
        <w:t xml:space="preserve"> 2022</w:t>
      </w:r>
    </w:p>
    <w:p w14:paraId="061B0C21" w14:textId="77777777" w:rsidR="00F94CE8" w:rsidRDefault="00F94CE8" w:rsidP="00F94CE8">
      <w:pPr>
        <w:pStyle w:val="NoSpacing"/>
        <w:contextualSpacing/>
        <w:rPr>
          <w:sz w:val="20"/>
          <w:szCs w:val="20"/>
        </w:rPr>
      </w:pPr>
    </w:p>
    <w:p w14:paraId="56AD0CC7" w14:textId="00868E95" w:rsidR="00F94CE8" w:rsidRPr="00FF1EBA" w:rsidRDefault="00F94CE8" w:rsidP="00F94CE8">
      <w:pPr>
        <w:pStyle w:val="NoSpacing"/>
        <w:contextualSpacing/>
        <w:rPr>
          <w:sz w:val="16"/>
          <w:szCs w:val="16"/>
        </w:rPr>
      </w:pPr>
      <w:r w:rsidRPr="00FF1EBA">
        <w:rPr>
          <w:rFonts w:ascii="Verdana" w:hAnsi="Verdana"/>
          <w:sz w:val="16"/>
          <w:szCs w:val="16"/>
        </w:rPr>
        <w:t>©</w:t>
      </w:r>
      <w:r w:rsidR="00306D88">
        <w:rPr>
          <w:sz w:val="16"/>
          <w:szCs w:val="16"/>
        </w:rPr>
        <w:t xml:space="preserve"> 20</w:t>
      </w:r>
      <w:r w:rsidR="00AE6B2A">
        <w:rPr>
          <w:sz w:val="16"/>
          <w:szCs w:val="16"/>
        </w:rPr>
        <w:t>2</w:t>
      </w:r>
      <w:r w:rsidR="00C8473A">
        <w:rPr>
          <w:sz w:val="16"/>
          <w:szCs w:val="16"/>
        </w:rPr>
        <w:t>2</w:t>
      </w:r>
      <w:r>
        <w:rPr>
          <w:sz w:val="16"/>
          <w:szCs w:val="16"/>
        </w:rPr>
        <w:t xml:space="preserve"> Media Group Online, Inc</w:t>
      </w:r>
      <w:r w:rsidRPr="00FF1EBA">
        <w:rPr>
          <w:sz w:val="16"/>
          <w:szCs w:val="16"/>
        </w:rPr>
        <w:t>. All rights reserved.</w:t>
      </w:r>
    </w:p>
    <w:p w14:paraId="392FDD45" w14:textId="1390298D" w:rsidR="00AE1F72" w:rsidRPr="007053D1" w:rsidRDefault="00AE1F72" w:rsidP="007053D1">
      <w:pPr>
        <w:jc w:val="center"/>
        <w:rPr>
          <w:sz w:val="20"/>
          <w:szCs w:val="20"/>
        </w:rPr>
      </w:pPr>
      <w:r w:rsidRPr="00720E0B">
        <w:rPr>
          <w:b/>
          <w:color w:val="0070C0"/>
          <w:sz w:val="20"/>
          <w:szCs w:val="20"/>
        </w:rPr>
        <w:lastRenderedPageBreak/>
        <w:t xml:space="preserve">Local </w:t>
      </w:r>
      <w:r w:rsidR="0050254D">
        <w:rPr>
          <w:b/>
          <w:color w:val="0070C0"/>
          <w:sz w:val="20"/>
          <w:szCs w:val="20"/>
        </w:rPr>
        <w:t xml:space="preserve">Market </w:t>
      </w:r>
      <w:r w:rsidRPr="00720E0B">
        <w:rPr>
          <w:b/>
          <w:color w:val="0070C0"/>
          <w:sz w:val="20"/>
          <w:szCs w:val="20"/>
        </w:rPr>
        <w:t>and Station Information</w:t>
      </w:r>
    </w:p>
    <w:p w14:paraId="17AD3F99" w14:textId="77777777" w:rsidR="00AE1F72" w:rsidRPr="00260DE9" w:rsidRDefault="00AE1F72" w:rsidP="00260DE9">
      <w:pPr>
        <w:pStyle w:val="NoSpacing"/>
        <w:rPr>
          <w:sz w:val="20"/>
          <w:szCs w:val="20"/>
        </w:rPr>
      </w:pPr>
    </w:p>
    <w:sectPr w:rsidR="00AE1F72" w:rsidRPr="00260DE9" w:rsidSect="00260DE9">
      <w:headerReference w:type="default" r:id="rId8"/>
      <w:footerReference w:type="default" r:id="rId9"/>
      <w:pgSz w:w="12240" w:h="15840" w:code="1"/>
      <w:pgMar w:top="2160" w:right="1440" w:bottom="1440" w:left="1440" w:header="14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2A604" w14:textId="77777777" w:rsidR="00E514BC" w:rsidRDefault="00E514BC" w:rsidP="00260DE9">
      <w:pPr>
        <w:spacing w:after="0" w:line="240" w:lineRule="auto"/>
      </w:pPr>
      <w:r>
        <w:separator/>
      </w:r>
    </w:p>
  </w:endnote>
  <w:endnote w:type="continuationSeparator" w:id="0">
    <w:p w14:paraId="29BD9A00" w14:textId="77777777" w:rsidR="00E514BC" w:rsidRDefault="00E514BC" w:rsidP="0026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B63B7" w14:textId="77777777" w:rsidR="003E2E9B" w:rsidRDefault="003E2E9B" w:rsidP="003E2E9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4724D9F8" wp14:editId="6BCACCF1">
          <wp:extent cx="300990" cy="300990"/>
          <wp:effectExtent l="19050" t="0" r="3810" b="0"/>
          <wp:docPr id="4" name="Picture 3" descr="MGOlogoBlack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OlogoBlack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942" cy="300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8D5080" w14:textId="77777777" w:rsidR="00260DE9" w:rsidRPr="0097480E" w:rsidRDefault="00EF6AB9" w:rsidP="00EF6AB9">
    <w:pPr>
      <w:pStyle w:val="Footer"/>
      <w:jc w:val="center"/>
      <w:rPr>
        <w:rFonts w:ascii="Arial" w:hAnsi="Arial" w:cs="Arial"/>
        <w:sz w:val="16"/>
        <w:szCs w:val="16"/>
      </w:rPr>
    </w:pPr>
    <w:r w:rsidRPr="0097480E">
      <w:rPr>
        <w:rFonts w:ascii="Arial" w:hAnsi="Arial" w:cs="Arial"/>
        <w:sz w:val="16"/>
        <w:szCs w:val="16"/>
        <w:shd w:val="clear" w:color="auto" w:fill="FFFFFF"/>
      </w:rPr>
      <w:t>Media Group Online, Inc.</w:t>
    </w:r>
    <w:r w:rsidRPr="0097480E">
      <w:rPr>
        <w:rFonts w:ascii="Arial" w:hAnsi="Arial" w:cs="Arial"/>
        <w:sz w:val="16"/>
        <w:szCs w:val="16"/>
      </w:rPr>
      <w:t xml:space="preserve">• </w:t>
    </w:r>
    <w:r w:rsidRPr="0097480E">
      <w:rPr>
        <w:rFonts w:ascii="Arial" w:hAnsi="Arial" w:cs="Arial"/>
        <w:sz w:val="16"/>
        <w:szCs w:val="16"/>
        <w:shd w:val="clear" w:color="auto" w:fill="FFFFFF"/>
      </w:rPr>
      <w:t>103 Sterling Mine Rd.</w:t>
    </w:r>
    <w:r w:rsidRPr="0097480E">
      <w:rPr>
        <w:rFonts w:ascii="Arial" w:hAnsi="Arial" w:cs="Arial"/>
        <w:sz w:val="16"/>
        <w:szCs w:val="16"/>
      </w:rPr>
      <w:t xml:space="preserve">• </w:t>
    </w:r>
    <w:r w:rsidRPr="0097480E">
      <w:rPr>
        <w:rFonts w:ascii="Arial" w:hAnsi="Arial" w:cs="Arial"/>
        <w:sz w:val="16"/>
        <w:szCs w:val="16"/>
        <w:shd w:val="clear" w:color="auto" w:fill="FFFFFF"/>
      </w:rPr>
      <w:t xml:space="preserve">Sloatsburg, NY </w:t>
    </w:r>
    <w:r w:rsidR="0097480E" w:rsidRPr="0097480E">
      <w:rPr>
        <w:rFonts w:ascii="Arial" w:hAnsi="Arial" w:cs="Arial"/>
        <w:sz w:val="16"/>
        <w:szCs w:val="16"/>
        <w:shd w:val="clear" w:color="auto" w:fill="FFFFFF"/>
      </w:rPr>
      <w:t>10974</w:t>
    </w:r>
    <w:r w:rsidRPr="0097480E">
      <w:rPr>
        <w:rFonts w:ascii="Arial" w:hAnsi="Arial" w:cs="Arial"/>
        <w:sz w:val="16"/>
        <w:szCs w:val="16"/>
        <w:shd w:val="clear" w:color="auto" w:fill="FFFFFF"/>
      </w:rPr>
      <w:t xml:space="preserve"> </w:t>
    </w:r>
    <w:r w:rsidRPr="0097480E">
      <w:rPr>
        <w:rFonts w:ascii="Arial" w:hAnsi="Arial" w:cs="Arial"/>
        <w:sz w:val="16"/>
        <w:szCs w:val="16"/>
      </w:rPr>
      <w:t>• Tel 866-921-1026 • Fax 845-712-5168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125E1" w14:textId="77777777" w:rsidR="00E514BC" w:rsidRDefault="00E514BC" w:rsidP="00260DE9">
      <w:pPr>
        <w:spacing w:after="0" w:line="240" w:lineRule="auto"/>
      </w:pPr>
      <w:r>
        <w:separator/>
      </w:r>
    </w:p>
  </w:footnote>
  <w:footnote w:type="continuationSeparator" w:id="0">
    <w:p w14:paraId="34620F6D" w14:textId="77777777" w:rsidR="00E514BC" w:rsidRDefault="00E514BC" w:rsidP="0026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3DC73" w14:textId="77777777" w:rsidR="00260DE9" w:rsidRDefault="00635FF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BDB21C" wp14:editId="7366BB1A">
          <wp:simplePos x="0" y="0"/>
          <wp:positionH relativeFrom="column">
            <wp:posOffset>-638175</wp:posOffset>
          </wp:positionH>
          <wp:positionV relativeFrom="paragraph">
            <wp:posOffset>-771525</wp:posOffset>
          </wp:positionV>
          <wp:extent cx="5943600" cy="1192530"/>
          <wp:effectExtent l="0" t="0" r="0" b="0"/>
          <wp:wrapTight wrapText="bothSides">
            <wp:wrapPolygon edited="0">
              <wp:start x="1454" y="0"/>
              <wp:lineTo x="1038" y="690"/>
              <wp:lineTo x="69" y="4486"/>
              <wp:lineTo x="0" y="7936"/>
              <wp:lineTo x="0" y="13802"/>
              <wp:lineTo x="138" y="17252"/>
              <wp:lineTo x="1177" y="21393"/>
              <wp:lineTo x="1385" y="21393"/>
              <wp:lineTo x="2838" y="21393"/>
              <wp:lineTo x="8931" y="16907"/>
              <wp:lineTo x="21531" y="15872"/>
              <wp:lineTo x="21531" y="6901"/>
              <wp:lineTo x="19938" y="4831"/>
              <wp:lineTo x="2838" y="0"/>
              <wp:lineTo x="14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OProfilerHeader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2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93854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DE9"/>
    <w:rsid w:val="00004575"/>
    <w:rsid w:val="000052A8"/>
    <w:rsid w:val="00006EB7"/>
    <w:rsid w:val="00030B4A"/>
    <w:rsid w:val="0003466E"/>
    <w:rsid w:val="00052024"/>
    <w:rsid w:val="0005633E"/>
    <w:rsid w:val="000577D6"/>
    <w:rsid w:val="0007198D"/>
    <w:rsid w:val="00073B4D"/>
    <w:rsid w:val="00082B27"/>
    <w:rsid w:val="000830D7"/>
    <w:rsid w:val="000A7EF6"/>
    <w:rsid w:val="000C4B96"/>
    <w:rsid w:val="000C7821"/>
    <w:rsid w:val="000D2F3A"/>
    <w:rsid w:val="000D7C07"/>
    <w:rsid w:val="000E435E"/>
    <w:rsid w:val="000E586B"/>
    <w:rsid w:val="00112A85"/>
    <w:rsid w:val="0012010F"/>
    <w:rsid w:val="00124E30"/>
    <w:rsid w:val="00142DEE"/>
    <w:rsid w:val="00151F79"/>
    <w:rsid w:val="001531C2"/>
    <w:rsid w:val="00154344"/>
    <w:rsid w:val="00160474"/>
    <w:rsid w:val="00161442"/>
    <w:rsid w:val="0016492E"/>
    <w:rsid w:val="00173C93"/>
    <w:rsid w:val="00177D0F"/>
    <w:rsid w:val="00181B10"/>
    <w:rsid w:val="001A05E7"/>
    <w:rsid w:val="001B64B0"/>
    <w:rsid w:val="001C2831"/>
    <w:rsid w:val="001D53A3"/>
    <w:rsid w:val="001F5DFA"/>
    <w:rsid w:val="00260DE9"/>
    <w:rsid w:val="00267CCE"/>
    <w:rsid w:val="0027484C"/>
    <w:rsid w:val="002943AE"/>
    <w:rsid w:val="00294474"/>
    <w:rsid w:val="002A4A73"/>
    <w:rsid w:val="002A6286"/>
    <w:rsid w:val="002B0BCF"/>
    <w:rsid w:val="002B3E1A"/>
    <w:rsid w:val="002B428E"/>
    <w:rsid w:val="002D5E6D"/>
    <w:rsid w:val="002E1F38"/>
    <w:rsid w:val="00300DFF"/>
    <w:rsid w:val="00306D88"/>
    <w:rsid w:val="00315B36"/>
    <w:rsid w:val="00320C4C"/>
    <w:rsid w:val="003272E7"/>
    <w:rsid w:val="00327C87"/>
    <w:rsid w:val="003630CD"/>
    <w:rsid w:val="0038459A"/>
    <w:rsid w:val="003B417B"/>
    <w:rsid w:val="003B5CA1"/>
    <w:rsid w:val="003B7F88"/>
    <w:rsid w:val="003C15ED"/>
    <w:rsid w:val="003C2335"/>
    <w:rsid w:val="003D6958"/>
    <w:rsid w:val="003E2E9B"/>
    <w:rsid w:val="003F0FE1"/>
    <w:rsid w:val="00400606"/>
    <w:rsid w:val="0041142B"/>
    <w:rsid w:val="00412473"/>
    <w:rsid w:val="00415F1B"/>
    <w:rsid w:val="0041682E"/>
    <w:rsid w:val="00422A36"/>
    <w:rsid w:val="00424E79"/>
    <w:rsid w:val="00432903"/>
    <w:rsid w:val="0045212B"/>
    <w:rsid w:val="0045797F"/>
    <w:rsid w:val="004601E9"/>
    <w:rsid w:val="0046193A"/>
    <w:rsid w:val="00481D76"/>
    <w:rsid w:val="0048482F"/>
    <w:rsid w:val="00493426"/>
    <w:rsid w:val="00494CA5"/>
    <w:rsid w:val="004D4671"/>
    <w:rsid w:val="004E11BC"/>
    <w:rsid w:val="004E421A"/>
    <w:rsid w:val="004F3F82"/>
    <w:rsid w:val="004F7F58"/>
    <w:rsid w:val="0050254D"/>
    <w:rsid w:val="00520014"/>
    <w:rsid w:val="00526FE3"/>
    <w:rsid w:val="00544421"/>
    <w:rsid w:val="0055382D"/>
    <w:rsid w:val="005610BD"/>
    <w:rsid w:val="0056258A"/>
    <w:rsid w:val="0057012D"/>
    <w:rsid w:val="00571D6A"/>
    <w:rsid w:val="005817D6"/>
    <w:rsid w:val="00592462"/>
    <w:rsid w:val="00596832"/>
    <w:rsid w:val="005C3BA5"/>
    <w:rsid w:val="005C3CE2"/>
    <w:rsid w:val="005E11DD"/>
    <w:rsid w:val="005F19E9"/>
    <w:rsid w:val="00600CFD"/>
    <w:rsid w:val="00601F2D"/>
    <w:rsid w:val="00602D05"/>
    <w:rsid w:val="00627ACE"/>
    <w:rsid w:val="00635FF3"/>
    <w:rsid w:val="00637CB9"/>
    <w:rsid w:val="006557DC"/>
    <w:rsid w:val="00657B52"/>
    <w:rsid w:val="006605AA"/>
    <w:rsid w:val="00660F00"/>
    <w:rsid w:val="0067102D"/>
    <w:rsid w:val="00684741"/>
    <w:rsid w:val="0068770F"/>
    <w:rsid w:val="0069436D"/>
    <w:rsid w:val="006A14AD"/>
    <w:rsid w:val="006B00DB"/>
    <w:rsid w:val="006B34BF"/>
    <w:rsid w:val="006B3A10"/>
    <w:rsid w:val="006D1053"/>
    <w:rsid w:val="006E349A"/>
    <w:rsid w:val="006E6275"/>
    <w:rsid w:val="006E77FD"/>
    <w:rsid w:val="007053D1"/>
    <w:rsid w:val="00707104"/>
    <w:rsid w:val="007139CE"/>
    <w:rsid w:val="007226CB"/>
    <w:rsid w:val="007257B5"/>
    <w:rsid w:val="007541A0"/>
    <w:rsid w:val="007651A4"/>
    <w:rsid w:val="00766B75"/>
    <w:rsid w:val="00774B66"/>
    <w:rsid w:val="007862CF"/>
    <w:rsid w:val="007919F0"/>
    <w:rsid w:val="00793BD0"/>
    <w:rsid w:val="007B6E29"/>
    <w:rsid w:val="007D3185"/>
    <w:rsid w:val="008058FD"/>
    <w:rsid w:val="0082749D"/>
    <w:rsid w:val="00875007"/>
    <w:rsid w:val="00880DD8"/>
    <w:rsid w:val="0088350D"/>
    <w:rsid w:val="0088505B"/>
    <w:rsid w:val="0089324F"/>
    <w:rsid w:val="008F7659"/>
    <w:rsid w:val="009229BB"/>
    <w:rsid w:val="00923C8D"/>
    <w:rsid w:val="009312E8"/>
    <w:rsid w:val="00931A86"/>
    <w:rsid w:val="009419F0"/>
    <w:rsid w:val="009631E0"/>
    <w:rsid w:val="0097289D"/>
    <w:rsid w:val="0097480E"/>
    <w:rsid w:val="00984DF0"/>
    <w:rsid w:val="0099377F"/>
    <w:rsid w:val="009A3728"/>
    <w:rsid w:val="009A3EBE"/>
    <w:rsid w:val="009A4526"/>
    <w:rsid w:val="009A6479"/>
    <w:rsid w:val="009C6A17"/>
    <w:rsid w:val="009F3C8C"/>
    <w:rsid w:val="00A00453"/>
    <w:rsid w:val="00A031C1"/>
    <w:rsid w:val="00A1268F"/>
    <w:rsid w:val="00A12BB9"/>
    <w:rsid w:val="00A17B4D"/>
    <w:rsid w:val="00A30B01"/>
    <w:rsid w:val="00A55AAE"/>
    <w:rsid w:val="00A55AB4"/>
    <w:rsid w:val="00A61F9B"/>
    <w:rsid w:val="00A71026"/>
    <w:rsid w:val="00A820F9"/>
    <w:rsid w:val="00A964C1"/>
    <w:rsid w:val="00AA300B"/>
    <w:rsid w:val="00AA58BA"/>
    <w:rsid w:val="00AB01D8"/>
    <w:rsid w:val="00AD5FA7"/>
    <w:rsid w:val="00AE087E"/>
    <w:rsid w:val="00AE1F72"/>
    <w:rsid w:val="00AE6B2A"/>
    <w:rsid w:val="00AE71B7"/>
    <w:rsid w:val="00B12A59"/>
    <w:rsid w:val="00B33B46"/>
    <w:rsid w:val="00B36421"/>
    <w:rsid w:val="00B4203D"/>
    <w:rsid w:val="00B456B3"/>
    <w:rsid w:val="00B6421F"/>
    <w:rsid w:val="00BC0DB8"/>
    <w:rsid w:val="00BC2144"/>
    <w:rsid w:val="00BC4022"/>
    <w:rsid w:val="00BE4BEC"/>
    <w:rsid w:val="00BE6114"/>
    <w:rsid w:val="00BE6652"/>
    <w:rsid w:val="00BF579C"/>
    <w:rsid w:val="00C00310"/>
    <w:rsid w:val="00C11931"/>
    <w:rsid w:val="00C147E3"/>
    <w:rsid w:val="00C20878"/>
    <w:rsid w:val="00C21D13"/>
    <w:rsid w:val="00C340FB"/>
    <w:rsid w:val="00C412D4"/>
    <w:rsid w:val="00C453F3"/>
    <w:rsid w:val="00C54007"/>
    <w:rsid w:val="00C65128"/>
    <w:rsid w:val="00C76E7A"/>
    <w:rsid w:val="00C77B54"/>
    <w:rsid w:val="00C8473A"/>
    <w:rsid w:val="00CE3B31"/>
    <w:rsid w:val="00CE7889"/>
    <w:rsid w:val="00D06C35"/>
    <w:rsid w:val="00D16971"/>
    <w:rsid w:val="00D17DB0"/>
    <w:rsid w:val="00D22E81"/>
    <w:rsid w:val="00D26223"/>
    <w:rsid w:val="00D30252"/>
    <w:rsid w:val="00D37649"/>
    <w:rsid w:val="00D636B1"/>
    <w:rsid w:val="00D8342E"/>
    <w:rsid w:val="00D93E11"/>
    <w:rsid w:val="00DA1474"/>
    <w:rsid w:val="00DC053B"/>
    <w:rsid w:val="00DC4F7C"/>
    <w:rsid w:val="00DD5A41"/>
    <w:rsid w:val="00DE0FDD"/>
    <w:rsid w:val="00E11645"/>
    <w:rsid w:val="00E13B28"/>
    <w:rsid w:val="00E20F93"/>
    <w:rsid w:val="00E21202"/>
    <w:rsid w:val="00E31C88"/>
    <w:rsid w:val="00E45F8D"/>
    <w:rsid w:val="00E514BC"/>
    <w:rsid w:val="00E80C14"/>
    <w:rsid w:val="00E90FA4"/>
    <w:rsid w:val="00E926A9"/>
    <w:rsid w:val="00EA5786"/>
    <w:rsid w:val="00ED42A4"/>
    <w:rsid w:val="00EF6801"/>
    <w:rsid w:val="00EF6AB9"/>
    <w:rsid w:val="00EF6DEB"/>
    <w:rsid w:val="00F056FA"/>
    <w:rsid w:val="00F20CAD"/>
    <w:rsid w:val="00F24961"/>
    <w:rsid w:val="00F2704A"/>
    <w:rsid w:val="00F40636"/>
    <w:rsid w:val="00F66EA8"/>
    <w:rsid w:val="00F70E29"/>
    <w:rsid w:val="00F80533"/>
    <w:rsid w:val="00F94CE8"/>
    <w:rsid w:val="00FA495C"/>
    <w:rsid w:val="00FB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90252B"/>
  <w15:docId w15:val="{00033884-83A0-4105-8CD5-C8A13830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0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0DE9"/>
  </w:style>
  <w:style w:type="paragraph" w:styleId="Footer">
    <w:name w:val="footer"/>
    <w:basedOn w:val="Normal"/>
    <w:link w:val="FooterChar"/>
    <w:uiPriority w:val="99"/>
    <w:unhideWhenUsed/>
    <w:rsid w:val="0026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E9"/>
  </w:style>
  <w:style w:type="paragraph" w:styleId="NoSpacing">
    <w:name w:val="No Spacing"/>
    <w:uiPriority w:val="1"/>
    <w:qFormat/>
    <w:rsid w:val="00260D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1ABECD-D5BF-8A47-B41B-5E66C68C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Whelan</dc:creator>
  <cp:lastModifiedBy>Bob Sillick</cp:lastModifiedBy>
  <cp:revision>2</cp:revision>
  <dcterms:created xsi:type="dcterms:W3CDTF">2022-05-08T17:46:00Z</dcterms:created>
  <dcterms:modified xsi:type="dcterms:W3CDTF">2022-05-08T17:46:00Z</dcterms:modified>
</cp:coreProperties>
</file>