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7F22867A" w:rsidR="00F94CE8" w:rsidRPr="005F19E9" w:rsidRDefault="00C47473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Security Systems and Products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4C7325" w:rsidRDefault="00F94CE8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1A077A9" w14:textId="77777777" w:rsidR="004C7325" w:rsidRPr="004C7325" w:rsidRDefault="004C7325" w:rsidP="004C732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C7325">
        <w:rPr>
          <w:rFonts w:ascii="Verdana" w:hAnsi="Verdana"/>
          <w:b/>
          <w:bCs/>
          <w:color w:val="0070C0"/>
          <w:sz w:val="20"/>
          <w:szCs w:val="20"/>
        </w:rPr>
        <w:t>Security Experts’ Industry Perspectives</w:t>
      </w:r>
    </w:p>
    <w:p w14:paraId="641B7784" w14:textId="77777777" w:rsidR="004C7325" w:rsidRP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DBF25B0" w14:textId="125054D0" w:rsidR="004C7325" w:rsidRDefault="002E0983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security experts interviewed for </w:t>
      </w:r>
      <w:r w:rsidRPr="004F04A7">
        <w:rPr>
          <w:rFonts w:ascii="Verdana" w:hAnsi="Verdana"/>
          <w:i/>
          <w:iCs/>
          <w:sz w:val="20"/>
          <w:szCs w:val="20"/>
        </w:rPr>
        <w:t>Security Sales &amp; Integration</w:t>
      </w:r>
      <w:r>
        <w:rPr>
          <w:rFonts w:ascii="Verdana" w:hAnsi="Verdana"/>
          <w:sz w:val="20"/>
          <w:szCs w:val="20"/>
        </w:rPr>
        <w:t>’s January 2022 Special Report</w:t>
      </w:r>
      <w:r w:rsidR="00EC7052">
        <w:rPr>
          <w:rFonts w:ascii="Verdana" w:hAnsi="Verdana"/>
          <w:sz w:val="20"/>
          <w:szCs w:val="20"/>
        </w:rPr>
        <w:t xml:space="preserve"> note</w:t>
      </w:r>
      <w:r w:rsidR="004F04A7">
        <w:rPr>
          <w:rFonts w:ascii="Verdana" w:hAnsi="Verdana"/>
          <w:sz w:val="20"/>
          <w:szCs w:val="20"/>
        </w:rPr>
        <w:t>d</w:t>
      </w:r>
      <w:r w:rsidR="00EC7052">
        <w:rPr>
          <w:rFonts w:ascii="Verdana" w:hAnsi="Verdana"/>
          <w:sz w:val="20"/>
          <w:szCs w:val="20"/>
        </w:rPr>
        <w:t xml:space="preserve"> many opportunities in th</w:t>
      </w:r>
      <w:r w:rsidR="004F04A7">
        <w:rPr>
          <w:rFonts w:ascii="Verdana" w:hAnsi="Verdana"/>
          <w:sz w:val="20"/>
          <w:szCs w:val="20"/>
        </w:rPr>
        <w:t>e</w:t>
      </w:r>
      <w:r w:rsidR="00EC7052">
        <w:rPr>
          <w:rFonts w:ascii="Verdana" w:hAnsi="Verdana"/>
          <w:sz w:val="20"/>
          <w:szCs w:val="20"/>
        </w:rPr>
        <w:t xml:space="preserve"> industry, from more emphasis on services than hardware to the use of artificial intelligence to business needs in the hybrid workplace.</w:t>
      </w:r>
    </w:p>
    <w:p w14:paraId="330B3A96" w14:textId="77777777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979B781" w14:textId="42FDDAAB" w:rsidR="004C7325" w:rsidRDefault="00EC7052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experts expect the industry to face continuing challenges from consumer DIY security products, the upgrading of companies’ IT infrastructures to combat sophisticated cybercrimes and </w:t>
      </w:r>
      <w:r w:rsidR="00084A05">
        <w:rPr>
          <w:rFonts w:ascii="Verdana" w:hAnsi="Verdana"/>
          <w:sz w:val="20"/>
          <w:szCs w:val="20"/>
        </w:rPr>
        <w:t xml:space="preserve">2022 project delays because of supply-chain issues. </w:t>
      </w:r>
    </w:p>
    <w:p w14:paraId="66EFDB2B" w14:textId="77777777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A924F0D" w14:textId="7B34C7E2" w:rsidR="004C7325" w:rsidRDefault="00CE167E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home networks proliferate and become more integrated, security companies </w:t>
      </w:r>
      <w:r w:rsidR="004F04A7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>expand</w:t>
      </w:r>
      <w:r w:rsidR="004F04A7">
        <w:rPr>
          <w:rFonts w:ascii="Verdana" w:hAnsi="Verdana"/>
          <w:sz w:val="20"/>
          <w:szCs w:val="20"/>
        </w:rPr>
        <w:t xml:space="preserve">ing </w:t>
      </w:r>
      <w:r>
        <w:rPr>
          <w:rFonts w:ascii="Verdana" w:hAnsi="Verdana"/>
          <w:sz w:val="20"/>
          <w:szCs w:val="20"/>
        </w:rPr>
        <w:t>their services to include network design and installation</w:t>
      </w:r>
      <w:r w:rsidR="00942C42">
        <w:rPr>
          <w:rFonts w:ascii="Verdana" w:hAnsi="Verdana"/>
          <w:sz w:val="20"/>
          <w:szCs w:val="20"/>
        </w:rPr>
        <w:t>, which can lead to larger and more profitable service contracts.</w:t>
      </w:r>
    </w:p>
    <w:p w14:paraId="6EBF2561" w14:textId="77777777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370C676" w14:textId="61BD8AD7" w:rsidR="00AF7375" w:rsidRPr="00192F64" w:rsidRDefault="00AF7375" w:rsidP="00AF7375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Factors Inhibiting Secur</w:t>
      </w:r>
      <w:r w:rsidR="0039709F">
        <w:rPr>
          <w:rFonts w:ascii="Verdana" w:hAnsi="Verdana"/>
          <w:b/>
          <w:noProof/>
          <w:sz w:val="20"/>
          <w:szCs w:val="20"/>
        </w:rPr>
        <w:t>i</w:t>
      </w:r>
      <w:r>
        <w:rPr>
          <w:rFonts w:ascii="Verdana" w:hAnsi="Verdana"/>
          <w:b/>
          <w:noProof/>
          <w:sz w:val="20"/>
          <w:szCs w:val="20"/>
        </w:rPr>
        <w:t>ty System Sales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Q3 2021</w:t>
      </w:r>
    </w:p>
    <w:tbl>
      <w:tblPr>
        <w:tblW w:w="106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1267"/>
        <w:gridCol w:w="4061"/>
        <w:gridCol w:w="1260"/>
      </w:tblGrid>
      <w:tr w:rsidR="00AF7375" w:rsidRPr="00192F64" w14:paraId="3229F90A" w14:textId="77777777" w:rsidTr="004F04A7">
        <w:trPr>
          <w:jc w:val="center"/>
        </w:trPr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01FBEC6" w14:textId="2A853010" w:rsidR="00AF7375" w:rsidRPr="00192F64" w:rsidRDefault="00AF7375" w:rsidP="004F04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Factor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CE6A998" w14:textId="660C47C4" w:rsidR="00AF7375" w:rsidRPr="00192F64" w:rsidRDefault="00AF7375" w:rsidP="004F04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  <w:tc>
          <w:tcPr>
            <w:tcW w:w="406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804E2D8" w14:textId="05F61D19" w:rsidR="00AF7375" w:rsidRPr="00192F64" w:rsidRDefault="00AF7375" w:rsidP="004F04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Factor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E7F3BE8" w14:textId="3486FC67" w:rsidR="00AF7375" w:rsidRPr="00192F64" w:rsidRDefault="00AF7375" w:rsidP="004F04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</w:tr>
      <w:tr w:rsidR="00AF7375" w:rsidRPr="00192F64" w14:paraId="2EF0D3DB" w14:textId="77777777" w:rsidTr="000E1FF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F43D299" w14:textId="4DB216E8" w:rsidR="00AF7375" w:rsidRPr="00192F64" w:rsidRDefault="00AF737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#1: DIY security systems competition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FF0000"/>
            <w:vAlign w:val="center"/>
          </w:tcPr>
          <w:p w14:paraId="37F2E284" w14:textId="375A9006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39%</w:t>
            </w:r>
          </w:p>
        </w:tc>
        <w:tc>
          <w:tcPr>
            <w:tcW w:w="406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BE8BEDC" w14:textId="3CA44337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#5: Consumers hesitant to have technicians in their homes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AEF071E" w14:textId="7395359D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5%</w:t>
            </w:r>
          </w:p>
        </w:tc>
      </w:tr>
      <w:tr w:rsidR="00AF7375" w:rsidRPr="00192F64" w14:paraId="0C1DE7BA" w14:textId="77777777" w:rsidTr="000E1FF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A64B51B" w14:textId="2B845A23" w:rsidR="00AF7375" w:rsidRPr="00192F64" w:rsidRDefault="000E1FF4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#2: Supply-chain disruption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484BAF5" w14:textId="20A0B809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22%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304FD14" w14:textId="0F369950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#6: Inadequate training for new hires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16DCB53" w14:textId="533185FF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3%</w:t>
            </w:r>
          </w:p>
        </w:tc>
      </w:tr>
      <w:tr w:rsidR="00AF7375" w:rsidRPr="00192F64" w14:paraId="1B560F75" w14:textId="77777777" w:rsidTr="000E1FF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24F835D" w14:textId="36F0C334" w:rsidR="00AF7375" w:rsidRPr="00192F64" w:rsidRDefault="000E1FF4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#3: Unable to hire needed employees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6F6F7AD9" w14:textId="377F2B97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18%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2C8BE9C" w14:textId="3B730802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#7: Unfair competition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A45302E" w14:textId="7502FFA1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4%</w:t>
            </w:r>
          </w:p>
        </w:tc>
      </w:tr>
      <w:tr w:rsidR="00AF7375" w:rsidRPr="00192F64" w14:paraId="0964235F" w14:textId="77777777" w:rsidTr="000E1FF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4F9BBE90" w14:textId="1F3942E5" w:rsidR="00AF7375" w:rsidRPr="00192F64" w:rsidRDefault="000E1FF4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#4: Constrained consumer spending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24EA89F5" w14:textId="0266FF69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7%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4BB4834" w14:textId="3A47E5F9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#8: Available financing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FCDE8AE" w14:textId="2184139A" w:rsidR="00AF7375" w:rsidRPr="00192F64" w:rsidRDefault="000E1FF4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1%</w:t>
            </w:r>
          </w:p>
        </w:tc>
      </w:tr>
    </w:tbl>
    <w:p w14:paraId="32FFCAAB" w14:textId="47DDF552" w:rsidR="004C7325" w:rsidRDefault="000E1FF4" w:rsidP="000E1FF4">
      <w:pPr>
        <w:spacing w:after="0" w:line="240" w:lineRule="auto"/>
        <w:ind w:hanging="630"/>
        <w:contextualSpacing/>
        <w:mirrorIndents/>
        <w:rPr>
          <w:rFonts w:ascii="Verdana" w:hAnsi="Verdana"/>
          <w:sz w:val="20"/>
          <w:szCs w:val="20"/>
        </w:rPr>
      </w:pPr>
      <w:r w:rsidRPr="00F0725F">
        <w:rPr>
          <w:rFonts w:ascii="Verdana" w:hAnsi="Verdana"/>
          <w:i/>
          <w:iCs/>
          <w:noProof/>
          <w:sz w:val="16"/>
          <w:szCs w:val="16"/>
        </w:rPr>
        <w:t>Security Sales &amp; Integration</w:t>
      </w:r>
      <w:r w:rsidR="00AF7375" w:rsidRPr="00192F64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November 2021</w:t>
      </w:r>
    </w:p>
    <w:p w14:paraId="44A97A1A" w14:textId="77777777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CC4FD17" w14:textId="32D6F62F" w:rsidR="004C7325" w:rsidRPr="00F0725F" w:rsidRDefault="004C7325" w:rsidP="00F0725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F0725F">
        <w:rPr>
          <w:rFonts w:ascii="Verdana" w:hAnsi="Verdana"/>
          <w:b/>
          <w:bCs/>
          <w:color w:val="0070C0"/>
          <w:sz w:val="20"/>
          <w:szCs w:val="20"/>
        </w:rPr>
        <w:t xml:space="preserve">Home Security </w:t>
      </w:r>
      <w:r w:rsidR="003B687D">
        <w:rPr>
          <w:rFonts w:ascii="Verdana" w:hAnsi="Verdana"/>
          <w:b/>
          <w:bCs/>
          <w:color w:val="0070C0"/>
          <w:sz w:val="20"/>
          <w:szCs w:val="20"/>
        </w:rPr>
        <w:t>Habits and Preferences</w:t>
      </w:r>
    </w:p>
    <w:p w14:paraId="7C2E11AD" w14:textId="77777777" w:rsidR="004C7325" w:rsidRP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00BD064" w14:textId="47BDBA29" w:rsidR="00F0725F" w:rsidRDefault="003B687D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a recent survey from Consumer Affairs, respondents who had recently purchased a home security system spent an average of $1,233. A doorbell camera was the most recent security purchase of these respondents at 29%.</w:t>
      </w:r>
    </w:p>
    <w:p w14:paraId="7ED7585D" w14:textId="549B9CF2" w:rsidR="00F0725F" w:rsidRDefault="00F0725F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E0D8E3" w14:textId="0C2FB992" w:rsidR="003B687D" w:rsidRDefault="003B687D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the survey respondents, 48% said they were motivated to buy a home security system because of crime content on social media, followed by high local crime rates at 46%, stolen packages at 33%, a previous break-in at 31% and property vandalism at 30%.</w:t>
      </w:r>
    </w:p>
    <w:p w14:paraId="1DEECF23" w14:textId="6D8D34EC" w:rsidR="003B687D" w:rsidRDefault="003B687D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D343F50" w14:textId="1F2A369C" w:rsidR="003B687D" w:rsidRDefault="0071754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survey respondents’ top five brands for feeling safe in their homes were Ring, ADT/Blue, Abode, Brinks Home and Scout Alarm. 69% of them said they activate their alarm systems anytime they leave home. </w:t>
      </w:r>
    </w:p>
    <w:p w14:paraId="2E454973" w14:textId="38F23A81" w:rsidR="00F0725F" w:rsidRDefault="00F0725F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748DA7" w14:textId="1744785C" w:rsidR="00717545" w:rsidRPr="00192F64" w:rsidRDefault="00717545" w:rsidP="00717545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Home Security Features and Actions Consumers Take to Feel Secure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2022</w:t>
      </w:r>
    </w:p>
    <w:tbl>
      <w:tblPr>
        <w:tblW w:w="106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1267"/>
        <w:gridCol w:w="4061"/>
        <w:gridCol w:w="1260"/>
      </w:tblGrid>
      <w:tr w:rsidR="00717545" w:rsidRPr="00192F64" w14:paraId="799396BB" w14:textId="77777777" w:rsidTr="00675D1F">
        <w:trPr>
          <w:jc w:val="center"/>
        </w:trPr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B6AF863" w14:textId="5CC00917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Feature/Action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1C7DB0F" w14:textId="77777777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  <w:tc>
          <w:tcPr>
            <w:tcW w:w="406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B2BBA45" w14:textId="112FC51C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Feature/Action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6795D184" w14:textId="77777777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</w:tr>
      <w:tr w:rsidR="00717545" w:rsidRPr="00192F64" w14:paraId="5B25EF05" w14:textId="77777777" w:rsidTr="00DC5E7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E0A85B6" w14:textId="35CDFD1E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#1: Ensure doors are locked at night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4B861AB" w14:textId="04AC9A02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43%</w:t>
            </w:r>
          </w:p>
        </w:tc>
        <w:tc>
          <w:tcPr>
            <w:tcW w:w="406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087D310" w14:textId="389AAA0B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#6: Deadbolt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5B8BC8B" w14:textId="71015799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32%</w:t>
            </w:r>
          </w:p>
        </w:tc>
      </w:tr>
      <w:tr w:rsidR="00717545" w:rsidRPr="00192F64" w14:paraId="6B7E67BF" w14:textId="77777777" w:rsidTr="00DC5E7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94F7A71" w14:textId="3F84330C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#2: Ensure windows are closed and locked at night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91922E8" w14:textId="053AC64A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42%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45D00AA" w14:textId="7E8E6BD7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#7: Motion-activated lights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EEF4030" w14:textId="4B8AF3FD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31%</w:t>
            </w:r>
          </w:p>
        </w:tc>
      </w:tr>
      <w:tr w:rsidR="00717545" w:rsidRPr="00192F64" w14:paraId="41D0ABA5" w14:textId="77777777" w:rsidTr="00DC5E7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B5F0365" w14:textId="411DD58C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#3: Dog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7122105" w14:textId="37DB1F44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41%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8982E0" w14:textId="40DA5C5B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#8: Motion detectors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F6E9ED9" w14:textId="426C3335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31%</w:t>
            </w:r>
          </w:p>
        </w:tc>
      </w:tr>
      <w:tr w:rsidR="00717545" w:rsidRPr="00192F64" w14:paraId="18A4DE7B" w14:textId="77777777" w:rsidTr="00DC5E7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A93B659" w14:textId="6D7476F4" w:rsidR="00717545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#4: Self-monitoring security cameras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FC7645A" w14:textId="106EA38F" w:rsidR="00717545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40%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F619960" w14:textId="7AD889F9" w:rsidR="00717545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#9: Security sticker or sign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E45D90F" w14:textId="43BCBF1E" w:rsidR="00717545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29%</w:t>
            </w:r>
          </w:p>
        </w:tc>
      </w:tr>
      <w:tr w:rsidR="00717545" w:rsidRPr="00192F64" w14:paraId="6DD37760" w14:textId="77777777" w:rsidTr="00DC5E7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7D55B759" w14:textId="2DF5A9B6" w:rsidR="00717545" w:rsidRPr="00192F64" w:rsidRDefault="0071754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#5: System with integrated alarm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C67CC70" w14:textId="15325E6B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39%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51ACF50" w14:textId="7345C0D2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#10: Firearm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08FF5BF" w14:textId="508C0244" w:rsidR="00717545" w:rsidRPr="00192F64" w:rsidRDefault="0071754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28%</w:t>
            </w:r>
          </w:p>
        </w:tc>
      </w:tr>
    </w:tbl>
    <w:p w14:paraId="649799A8" w14:textId="3B767C22" w:rsidR="00717545" w:rsidRDefault="00717545" w:rsidP="00717545">
      <w:pPr>
        <w:spacing w:after="0" w:line="240" w:lineRule="auto"/>
        <w:ind w:hanging="63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t>Consumer Affairs</w:t>
      </w:r>
      <w:r w:rsidRPr="00192F64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March 2022</w:t>
      </w:r>
    </w:p>
    <w:p w14:paraId="3FBB3F34" w14:textId="26EE9E92" w:rsidR="00717545" w:rsidRDefault="0071754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690E24" w14:textId="2665E66A" w:rsidR="004C7325" w:rsidRPr="00DC5E78" w:rsidRDefault="004C7325" w:rsidP="00DC5E7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DC5E78">
        <w:rPr>
          <w:rFonts w:ascii="Verdana" w:hAnsi="Verdana"/>
          <w:b/>
          <w:bCs/>
          <w:color w:val="0070C0"/>
          <w:sz w:val="20"/>
          <w:szCs w:val="20"/>
        </w:rPr>
        <w:lastRenderedPageBreak/>
        <w:t>Physical Security Is a Major Business Concern</w:t>
      </w:r>
    </w:p>
    <w:p w14:paraId="511A6846" w14:textId="77777777" w:rsidR="00DC5E78" w:rsidRDefault="00DC5E78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F502AF4" w14:textId="5ABF953C" w:rsidR="004C7325" w:rsidRDefault="00DC5E78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Results from </w:t>
      </w:r>
      <w:r w:rsidR="004C7325" w:rsidRPr="004C7325">
        <w:rPr>
          <w:rFonts w:ascii="Verdana" w:hAnsi="Verdana"/>
          <w:sz w:val="20"/>
          <w:szCs w:val="20"/>
        </w:rPr>
        <w:t>Pro-Vigil</w:t>
      </w:r>
      <w:r>
        <w:rPr>
          <w:rFonts w:ascii="Verdana" w:hAnsi="Verdana"/>
          <w:sz w:val="20"/>
          <w:szCs w:val="20"/>
        </w:rPr>
        <w:t xml:space="preserve">’s report, The State of Physical Security Entering 2022, revealed 28% of surveyed businesses had more physical security incidents during 2021 than 2020 </w:t>
      </w:r>
      <w:r w:rsidR="008B6ED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20%</w:t>
      </w:r>
      <w:r w:rsidR="008B6ED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and 27% expected those incidents would increase during 2022.</w:t>
      </w:r>
    </w:p>
    <w:p w14:paraId="0E947EFA" w14:textId="71D8062C" w:rsidR="00DC5E78" w:rsidRDefault="00DC5E78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771BF86" w14:textId="1C96A12B" w:rsidR="00DC5E78" w:rsidRDefault="00176517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those surveyed, most of them (38.71%) said supply-chain issues w</w:t>
      </w:r>
      <w:r w:rsidR="0039709F">
        <w:rPr>
          <w:rFonts w:ascii="Verdana" w:hAnsi="Verdana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 xml:space="preserve"> the #1 factor causing more physical security incidents, followed by reduced business hours at 22.58% and security guard shortages at 9.68%. Another 22.58% didn’t know why.</w:t>
      </w:r>
    </w:p>
    <w:p w14:paraId="23E5E9F5" w14:textId="464D0EA8" w:rsidR="00176517" w:rsidRDefault="00176517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53814C8" w14:textId="2AEA12D3" w:rsidR="00176517" w:rsidRDefault="00176517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</w:t>
      </w:r>
      <w:r w:rsidR="001C1E99">
        <w:rPr>
          <w:rFonts w:ascii="Verdana" w:hAnsi="Verdana"/>
          <w:sz w:val="20"/>
          <w:szCs w:val="20"/>
        </w:rPr>
        <w:t xml:space="preserve"> to System Surveyor’s 2022 Physical Security Benchmark Report, 34% of systems integrators/companies said the top challenge to bid on new projects was “gathering accurate customer site information.”</w:t>
      </w:r>
    </w:p>
    <w:p w14:paraId="70E0F4ED" w14:textId="012124DC" w:rsidR="001C1E99" w:rsidRDefault="001C1E9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FC406BC" w14:textId="77777777" w:rsidR="001C1E99" w:rsidRDefault="001C1E99" w:rsidP="001C1E99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What Steps Businesses Took to Upgrade Their </w:t>
      </w:r>
    </w:p>
    <w:p w14:paraId="4ED2E45E" w14:textId="0B8FBB4D" w:rsidR="001C1E99" w:rsidRPr="00192F64" w:rsidRDefault="001C1E99" w:rsidP="001C1E99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Security During 2021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November–December 2021</w:t>
      </w:r>
    </w:p>
    <w:tbl>
      <w:tblPr>
        <w:tblW w:w="530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1267"/>
      </w:tblGrid>
      <w:tr w:rsidR="001C1E99" w:rsidRPr="00192F64" w14:paraId="45D5FA00" w14:textId="77777777" w:rsidTr="001C1E99">
        <w:trPr>
          <w:jc w:val="center"/>
        </w:trPr>
        <w:tc>
          <w:tcPr>
            <w:tcW w:w="40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913EA2B" w14:textId="47A0AEAC" w:rsidR="001C1E99" w:rsidRPr="00192F64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Upgrade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2C0B3AA8" w14:textId="77777777" w:rsidR="001C1E99" w:rsidRPr="00192F64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</w:tr>
      <w:tr w:rsidR="001C1E99" w:rsidRPr="00192F64" w14:paraId="1BC5DC6B" w14:textId="77777777" w:rsidTr="001C1E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3CE4A9F7" w14:textId="0F89EBAD" w:rsidR="001C1E99" w:rsidRPr="00192F64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No upgrade; strategy hasn’t changed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B594C03" w14:textId="151FA49F" w:rsidR="001C1E99" w:rsidRPr="00192F64" w:rsidRDefault="001C1E9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56.60%</w:t>
            </w:r>
          </w:p>
        </w:tc>
      </w:tr>
      <w:tr w:rsidR="001C1E99" w:rsidRPr="00192F64" w14:paraId="1084CDC6" w14:textId="77777777" w:rsidTr="001C1E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F72BC60" w14:textId="5EC6E50E" w:rsidR="001C1E99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Installed security cameras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FB1BBF6" w14:textId="744AA308" w:rsidR="001C1E99" w:rsidRDefault="001C1E9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29.25%</w:t>
            </w:r>
          </w:p>
        </w:tc>
      </w:tr>
      <w:tr w:rsidR="001C1E99" w:rsidRPr="00192F64" w14:paraId="7FF8B795" w14:textId="77777777" w:rsidTr="001C1E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1D6CCB7" w14:textId="5FDD558A" w:rsidR="001C1E99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Installed alarm system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87873A1" w14:textId="10808AE1" w:rsidR="001C1E99" w:rsidRDefault="001C1E9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15.09%</w:t>
            </w:r>
          </w:p>
        </w:tc>
      </w:tr>
      <w:tr w:rsidR="001C1E99" w:rsidRPr="00192F64" w14:paraId="488DE7E2" w14:textId="77777777" w:rsidTr="001C1E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03A7D601" w14:textId="4D4B731E" w:rsidR="001C1E99" w:rsidRPr="00192F64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Added security guards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8C9960A" w14:textId="643E3BC2" w:rsidR="001C1E99" w:rsidRPr="00192F64" w:rsidRDefault="001C1E9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6.60%</w:t>
            </w:r>
          </w:p>
        </w:tc>
      </w:tr>
      <w:tr w:rsidR="001C1E99" w:rsidRPr="00192F64" w14:paraId="284C955F" w14:textId="77777777" w:rsidTr="001C1E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0705924F" w14:textId="0B275BE2" w:rsidR="001C1E99" w:rsidRPr="00192F64" w:rsidRDefault="001C1E9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CAA5EE" w14:textId="2D2DC31E" w:rsidR="001C1E99" w:rsidRPr="00192F64" w:rsidRDefault="001C1E9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7.55%</w:t>
            </w:r>
          </w:p>
        </w:tc>
      </w:tr>
    </w:tbl>
    <w:p w14:paraId="1D0B255F" w14:textId="188A19E1" w:rsidR="001C1E99" w:rsidRPr="00192F64" w:rsidRDefault="003B6A9E" w:rsidP="003B6A9E">
      <w:pPr>
        <w:tabs>
          <w:tab w:val="left" w:pos="2070"/>
        </w:tabs>
        <w:spacing w:after="0" w:line="240" w:lineRule="auto"/>
        <w:ind w:hanging="450"/>
        <w:contextualSpacing/>
        <w:mirrorIndents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 w:rsidR="001C1E99">
        <w:rPr>
          <w:rFonts w:ascii="Verdana" w:hAnsi="Verdana"/>
          <w:noProof/>
          <w:sz w:val="16"/>
          <w:szCs w:val="16"/>
        </w:rPr>
        <w:t>Pro-Vigil</w:t>
      </w:r>
      <w:r w:rsidR="001C1E99" w:rsidRPr="00192F64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February</w:t>
      </w:r>
      <w:r w:rsidR="001C1E99" w:rsidRPr="00192F64">
        <w:rPr>
          <w:rFonts w:ascii="Verdana" w:hAnsi="Verdana"/>
          <w:noProof/>
          <w:sz w:val="16"/>
          <w:szCs w:val="16"/>
        </w:rPr>
        <w:t xml:space="preserve"> 202</w:t>
      </w:r>
      <w:r w:rsidR="001C1E99">
        <w:rPr>
          <w:rFonts w:ascii="Verdana" w:hAnsi="Verdana"/>
          <w:noProof/>
          <w:sz w:val="16"/>
          <w:szCs w:val="16"/>
        </w:rPr>
        <w:t>2</w:t>
      </w:r>
    </w:p>
    <w:p w14:paraId="6F8FA9AA" w14:textId="77777777" w:rsidR="001C1E99" w:rsidRPr="004C7325" w:rsidRDefault="001C1E9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2E615C4" w14:textId="43A71501" w:rsidR="004C7325" w:rsidRPr="00772A77" w:rsidRDefault="004C7325" w:rsidP="00772A7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72A77">
        <w:rPr>
          <w:rFonts w:ascii="Verdana" w:hAnsi="Verdana"/>
          <w:b/>
          <w:bCs/>
          <w:color w:val="0070C0"/>
          <w:sz w:val="20"/>
          <w:szCs w:val="20"/>
        </w:rPr>
        <w:t>Cybersecurity Insights</w:t>
      </w:r>
    </w:p>
    <w:p w14:paraId="0FDDCA76" w14:textId="7F9823E8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AA66B9A" w14:textId="1ABD69AF" w:rsidR="00772A77" w:rsidRDefault="000903F7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7A2B78">
        <w:rPr>
          <w:rFonts w:ascii="Verdana" w:hAnsi="Verdana"/>
          <w:i/>
          <w:iCs/>
          <w:sz w:val="20"/>
          <w:szCs w:val="20"/>
        </w:rPr>
        <w:t>Security Sales &amp; Integration</w:t>
      </w:r>
      <w:r>
        <w:rPr>
          <w:rFonts w:ascii="Verdana" w:hAnsi="Verdana"/>
          <w:sz w:val="20"/>
          <w:szCs w:val="20"/>
        </w:rPr>
        <w:t>’s 2022 Cybersecurity Deep Dive report, compared to its 2018 report, strongly indicates increased cybersecurity threat</w:t>
      </w:r>
      <w:r w:rsidR="008B6ED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 78% of surveyed security integrators/companies said they were a</w:t>
      </w:r>
      <w:r w:rsidR="00391689">
        <w:rPr>
          <w:rFonts w:ascii="Verdana" w:hAnsi="Verdana"/>
          <w:sz w:val="20"/>
          <w:szCs w:val="20"/>
        </w:rPr>
        <w:t>ware</w:t>
      </w:r>
      <w:r>
        <w:rPr>
          <w:rFonts w:ascii="Verdana" w:hAnsi="Verdana"/>
          <w:sz w:val="20"/>
          <w:szCs w:val="20"/>
        </w:rPr>
        <w:t xml:space="preserve"> of customer breaches, more than twice 2018.</w:t>
      </w:r>
    </w:p>
    <w:p w14:paraId="56ED3C48" w14:textId="662E83ED" w:rsidR="00772A77" w:rsidRDefault="00772A77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187F8E9" w14:textId="35A5A231" w:rsidR="00772A77" w:rsidRDefault="0039168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Security integrators/companies also said their customers have significantly shifted their priority from physical security (51% in the 2018 survey to 30% in the 2022 survey) to cybersecurity (from 13% to 59%, respectively).</w:t>
      </w:r>
    </w:p>
    <w:p w14:paraId="2E4C05B9" w14:textId="35844E78" w:rsidR="00391689" w:rsidRDefault="0039168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A6D9ACD" w14:textId="3F103725" w:rsidR="007A2B78" w:rsidRDefault="007A2B78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survey also found customers’ video surveillance (on-premise, via the cloud, hybrid or wireless devices) w</w:t>
      </w:r>
      <w:r w:rsidR="003011B1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rated either with extreme or high cybersecurity vulnerability, at 60%, 65%, 63% and 67%, respectively.</w:t>
      </w:r>
    </w:p>
    <w:p w14:paraId="1FF65571" w14:textId="3AA616A3" w:rsidR="00391689" w:rsidRDefault="0039168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31B3F0F" w14:textId="1C5C0CC3" w:rsidR="00D54A21" w:rsidRPr="00192F64" w:rsidRDefault="00D54A21" w:rsidP="00D54A21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Top 10 Security Markets With Highest Cybersecurity Vulnerability*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2022</w:t>
      </w:r>
    </w:p>
    <w:tbl>
      <w:tblPr>
        <w:tblW w:w="1032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267"/>
        <w:gridCol w:w="3902"/>
        <w:gridCol w:w="1260"/>
      </w:tblGrid>
      <w:tr w:rsidR="00D54A21" w:rsidRPr="00192F64" w14:paraId="3A10CE12" w14:textId="77777777" w:rsidTr="00BD3066">
        <w:trPr>
          <w:jc w:val="center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74ED448" w14:textId="77777777" w:rsidR="00D54A21" w:rsidRPr="00192F64" w:rsidRDefault="00D54A2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Feature/Action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4632799D" w14:textId="77777777" w:rsidR="00D54A21" w:rsidRPr="00192F64" w:rsidRDefault="00D54A2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970635D" w14:textId="77777777" w:rsidR="00D54A21" w:rsidRPr="00192F64" w:rsidRDefault="00D54A2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Feature/Action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7A0ACC6" w14:textId="77777777" w:rsidR="00D54A21" w:rsidRPr="00192F64" w:rsidRDefault="00D54A2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</w:tr>
      <w:tr w:rsidR="00D54A21" w:rsidRPr="00192F64" w14:paraId="31B2AEAF" w14:textId="77777777" w:rsidTr="00BD30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0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31BE4D79" w14:textId="1FE319AC" w:rsidR="00D54A21" w:rsidRPr="00192F64" w:rsidRDefault="00D54A2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#1: Financial institutions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FF0000"/>
            <w:vAlign w:val="center"/>
          </w:tcPr>
          <w:p w14:paraId="6CAEF8FD" w14:textId="01966A07" w:rsidR="00D54A21" w:rsidRPr="00192F64" w:rsidRDefault="00D54A21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80%</w:t>
            </w:r>
          </w:p>
        </w:tc>
        <w:tc>
          <w:tcPr>
            <w:tcW w:w="390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F93008B" w14:textId="05E35B81" w:rsidR="00D54A21" w:rsidRPr="00192F64" w:rsidRDefault="00D54A21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#6: Commerical offices 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15888713" w14:textId="5F9D4AEF" w:rsidR="00D54A21" w:rsidRPr="00192F64" w:rsidRDefault="00D54A21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65%</w:t>
            </w:r>
          </w:p>
        </w:tc>
      </w:tr>
      <w:tr w:rsidR="00D54A21" w:rsidRPr="00192F64" w14:paraId="0006B4B7" w14:textId="77777777" w:rsidTr="00BD30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EE42DB1" w14:textId="1CF90DD5" w:rsidR="00D54A21" w:rsidRPr="00192F64" w:rsidRDefault="00D54A21" w:rsidP="00D54A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#2: Government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F0000"/>
            <w:vAlign w:val="center"/>
          </w:tcPr>
          <w:p w14:paraId="02B9A909" w14:textId="09DA276B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78%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796678F" w14:textId="7E3A2127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#7: Small to midsize businesses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00F8FA6" w14:textId="1E19FCF5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63%</w:t>
            </w:r>
          </w:p>
        </w:tc>
      </w:tr>
      <w:tr w:rsidR="00D54A21" w:rsidRPr="00192F64" w14:paraId="553F19E9" w14:textId="77777777" w:rsidTr="00BD30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1C4F890E" w14:textId="5BA89F89" w:rsidR="00D54A21" w:rsidRPr="00192F64" w:rsidRDefault="00D54A21" w:rsidP="00D54A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#3: Healthcare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324996E2" w14:textId="3F6F35E2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74%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C2E3770" w14:textId="3305FA64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#8: </w:t>
            </w:r>
            <w:r w:rsidR="00BD3066">
              <w:rPr>
                <w:rFonts w:ascii="Verdana" w:eastAsia="Times New Roman" w:hAnsi="Verdana"/>
                <w:noProof/>
                <w:sz w:val="20"/>
                <w:szCs w:val="20"/>
              </w:rPr>
              <w:t>Higher 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2411ADA3" w14:textId="5C59489F" w:rsidR="00D54A21" w:rsidRPr="00192F64" w:rsidRDefault="00BD3066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60%</w:t>
            </w:r>
          </w:p>
        </w:tc>
      </w:tr>
      <w:tr w:rsidR="00D54A21" w:rsidRPr="00192F64" w14:paraId="395FE587" w14:textId="77777777" w:rsidTr="00BD30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0D1D55C" w14:textId="64D65DEF" w:rsidR="00D54A21" w:rsidRDefault="00D54A21" w:rsidP="00D54A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#4: Critical infrastructure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3CF322D5" w14:textId="12C23275" w:rsidR="00D54A21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71%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68C1B52" w14:textId="3F679F95" w:rsidR="00D54A21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#9: </w:t>
            </w:r>
            <w:r w:rsidR="00BD3066">
              <w:rPr>
                <w:rFonts w:ascii="Verdana" w:eastAsia="Times New Roman" w:hAnsi="Verdana"/>
                <w:noProof/>
                <w:sz w:val="20"/>
                <w:szCs w:val="20"/>
              </w:rPr>
              <w:t>Sports/Events/Entertainment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800FFBD" w14:textId="1190FEFE" w:rsidR="00D54A21" w:rsidRDefault="00BD3066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60%</w:t>
            </w:r>
          </w:p>
        </w:tc>
      </w:tr>
      <w:tr w:rsidR="00D54A21" w:rsidRPr="00192F64" w14:paraId="05E1E501" w14:textId="77777777" w:rsidTr="00BD30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2EF54D27" w14:textId="12DA7A4D" w:rsidR="00D54A21" w:rsidRPr="00192F64" w:rsidRDefault="00D54A21" w:rsidP="00D54A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#5: Industrial facilities/warehouses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139D943B" w14:textId="6104391F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71%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F4C64B7" w14:textId="53499EDB" w:rsidR="00D54A21" w:rsidRPr="00192F64" w:rsidRDefault="00D54A21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 xml:space="preserve">#10: </w:t>
            </w:r>
            <w:r w:rsidR="00BD3066">
              <w:rPr>
                <w:rFonts w:ascii="Verdana" w:eastAsia="Times New Roman" w:hAnsi="Verdana"/>
                <w:noProof/>
                <w:sz w:val="20"/>
                <w:szCs w:val="20"/>
              </w:rPr>
              <w:t>Elderly homes/facilities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0C08CAF" w14:textId="02F1DA2C" w:rsidR="00D54A21" w:rsidRPr="00192F64" w:rsidRDefault="00BD3066" w:rsidP="00D54A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59%</w:t>
            </w:r>
          </w:p>
        </w:tc>
      </w:tr>
    </w:tbl>
    <w:p w14:paraId="06F2A8BD" w14:textId="63368EE4" w:rsidR="00BD3066" w:rsidRDefault="00BD3066" w:rsidP="00BD306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F0725F">
        <w:rPr>
          <w:rFonts w:ascii="Verdana" w:hAnsi="Verdana"/>
          <w:i/>
          <w:iCs/>
          <w:noProof/>
          <w:sz w:val="16"/>
          <w:szCs w:val="16"/>
        </w:rPr>
        <w:t>Security Sales &amp; Integration</w:t>
      </w:r>
      <w:r w:rsidRPr="00192F64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April 2022 issue</w:t>
      </w:r>
      <w:r>
        <w:rPr>
          <w:rFonts w:ascii="Verdana" w:hAnsi="Verdana"/>
          <w:noProof/>
          <w:sz w:val="16"/>
          <w:szCs w:val="16"/>
        </w:rPr>
        <w:tab/>
        <w:t>*total of “extreme” and “high” vulnerability</w:t>
      </w:r>
    </w:p>
    <w:p w14:paraId="10BF39DB" w14:textId="77777777" w:rsidR="00D54A21" w:rsidRDefault="00D54A21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B821F0F" w14:textId="653D6D9F" w:rsidR="00391689" w:rsidRDefault="00391689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0A3610E" w14:textId="77777777" w:rsidR="00612D0E" w:rsidRPr="004C7325" w:rsidRDefault="00612D0E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ACC491" w14:textId="77777777" w:rsidR="004C7325" w:rsidRPr="00612D0E" w:rsidRDefault="004C7325" w:rsidP="00612D0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12D0E">
        <w:rPr>
          <w:rFonts w:ascii="Verdana" w:hAnsi="Verdana"/>
          <w:b/>
          <w:bCs/>
          <w:color w:val="0070C0"/>
          <w:sz w:val="20"/>
          <w:szCs w:val="20"/>
        </w:rPr>
        <w:lastRenderedPageBreak/>
        <w:t>Home Improvements: Security Systems</w:t>
      </w:r>
    </w:p>
    <w:p w14:paraId="60FDD540" w14:textId="16CF05F8" w:rsidR="004C7325" w:rsidRDefault="004C7325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24B132" w14:textId="36EC4C4E" w:rsidR="00612D0E" w:rsidRDefault="008D7893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Media Audit’s 2021 Aggregate Report of 49 consumer/market surveys shows Gen Zers and Millennials over-indexed the most among five generational groups for planning an alarm or security services </w:t>
      </w:r>
      <w:r w:rsidR="00492AD3">
        <w:rPr>
          <w:rFonts w:ascii="Verdana" w:hAnsi="Verdana"/>
          <w:sz w:val="20"/>
          <w:szCs w:val="20"/>
        </w:rPr>
        <w:t xml:space="preserve">for their home </w:t>
      </w:r>
      <w:r>
        <w:rPr>
          <w:rFonts w:ascii="Verdana" w:hAnsi="Verdana"/>
          <w:sz w:val="20"/>
          <w:szCs w:val="20"/>
        </w:rPr>
        <w:t>during the next 12 months, at 160 and 148, respectively.</w:t>
      </w:r>
    </w:p>
    <w:p w14:paraId="0CCB1DD5" w14:textId="4F405482" w:rsidR="00612D0E" w:rsidRDefault="00612D0E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1F6DF35" w14:textId="5B7190D1" w:rsidR="009863BE" w:rsidRDefault="009C5172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863BE">
        <w:rPr>
          <w:rFonts w:ascii="Verdana" w:hAnsi="Verdana"/>
          <w:sz w:val="20"/>
          <w:szCs w:val="20"/>
        </w:rPr>
        <w:t>dults 18+ with household incomes of $100,000–$149,999 and $150,000 or more over-indexed the most for planning an alarm or security services at 117 and 124, respectively.</w:t>
      </w:r>
    </w:p>
    <w:p w14:paraId="07C51806" w14:textId="2F376630" w:rsidR="009863BE" w:rsidRDefault="009863BE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580844" w14:textId="7789F85A" w:rsidR="009863BE" w:rsidRDefault="009863BE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African Americans at 137 and Latinx Americans at 145 were the only two ethnic groups that over-indexed</w:t>
      </w:r>
      <w:r w:rsidR="00FA1C21">
        <w:rPr>
          <w:rFonts w:ascii="Verdana" w:hAnsi="Verdana"/>
          <w:sz w:val="20"/>
          <w:szCs w:val="20"/>
        </w:rPr>
        <w:t>. Caucasian Americans at 84 and Asian Americans at 94 under-indexed.</w:t>
      </w:r>
    </w:p>
    <w:p w14:paraId="043D46B2" w14:textId="3DCDCF57" w:rsidR="00FA1C21" w:rsidRDefault="00FA1C21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5C8B824" w14:textId="404D0B74" w:rsidR="00492AD3" w:rsidRPr="005D1511" w:rsidRDefault="00492AD3" w:rsidP="00492AD3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US Adults Who Planned an Alarm or Security Services Home Improvement*</w:t>
      </w:r>
      <w:r w:rsidRPr="005D1511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by Generation and Their Home Value, </w:t>
      </w:r>
      <w:r w:rsidRPr="005D1511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</w:p>
    <w:tbl>
      <w:tblPr>
        <w:tblW w:w="936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397"/>
        <w:gridCol w:w="1397"/>
        <w:gridCol w:w="1397"/>
        <w:gridCol w:w="1397"/>
        <w:gridCol w:w="1401"/>
      </w:tblGrid>
      <w:tr w:rsidR="00492AD3" w:rsidRPr="005D1511" w14:paraId="15495306" w14:textId="77777777" w:rsidTr="00492AD3">
        <w:trPr>
          <w:jc w:val="center"/>
        </w:trPr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65769A4" w14:textId="18908F2E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Home Value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27C8396" w14:textId="77777777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DD0BE25" w14:textId="77777777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C1B9B89" w14:textId="77777777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A2ABE8B" w14:textId="77777777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4DCCA4A" w14:textId="77777777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492AD3" w:rsidRPr="005D1511" w14:paraId="51802B2A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902D45D" w14:textId="16E2D049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$100,000–$199,999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C99BCB1" w14:textId="13DA9049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0E8A206" w14:textId="5B5027FE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79CA436" w14:textId="4B13DB0E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F5471FA" w14:textId="4D8E3AF2" w:rsidR="00492AD3" w:rsidRPr="00F678A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5A54CCD" w14:textId="2DA91D4B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</w:tr>
      <w:tr w:rsidR="00492AD3" w:rsidRPr="005D1511" w14:paraId="340B557F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D04CA2B" w14:textId="29F6523E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$200,000–$299,999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7BCC9A46" w14:textId="5E1D75A5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3477AA5" w14:textId="7D07F899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838F8AA" w14:textId="2838F3D8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A85AD0" w14:textId="19C8EC44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1B0BB39" w14:textId="3276BED3" w:rsidR="00492AD3" w:rsidRPr="00B00624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</w:tr>
      <w:tr w:rsidR="00492AD3" w:rsidRPr="005D1511" w14:paraId="5D8435C8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DBB02C" w14:textId="03241911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$300,000–$399,999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540242F4" w14:textId="1D53EA93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5CF629A" w14:textId="31A4D789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006B797" w14:textId="73295FA0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CBDE943" w14:textId="1CC29C66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CAA54CD" w14:textId="37B9182C" w:rsidR="00492AD3" w:rsidRPr="00B00624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</w:tr>
      <w:tr w:rsidR="00492AD3" w:rsidRPr="005D1511" w14:paraId="617805B2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410167E" w14:textId="3CF4DD85" w:rsidR="00492AD3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$400,000–$499,999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683BBBA2" w14:textId="2489C441" w:rsidR="00492AD3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69A2A37" w14:textId="6D823F7C" w:rsidR="00492AD3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3525D30" w14:textId="0B20821D" w:rsidR="00492AD3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9CDF924" w14:textId="002C4ED5" w:rsidR="00492AD3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DDBB9EA" w14:textId="3A27821F" w:rsidR="00492AD3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</w:tr>
      <w:tr w:rsidR="00492AD3" w:rsidRPr="005D1511" w14:paraId="47327B57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47F66A3" w14:textId="653FCDF5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$500,000–$999,999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3691676A" w14:textId="5CC05B0B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3390C14" w14:textId="562783DF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E910214" w14:textId="355E502D" w:rsidR="00492AD3" w:rsidRPr="00B00624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09968D" w14:textId="19CD39E2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6E19588" w14:textId="5B0171DA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160</w:t>
            </w:r>
          </w:p>
        </w:tc>
      </w:tr>
      <w:tr w:rsidR="00492AD3" w:rsidRPr="005D1511" w14:paraId="23DDB1B6" w14:textId="77777777" w:rsidTr="00492AD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6B29909" w14:textId="60EC80FF" w:rsidR="00492AD3" w:rsidRPr="004815C1" w:rsidRDefault="00492AD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 million or more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CA5E5B5" w14:textId="1287B68E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36A18E9" w14:textId="081CBD6E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84A7969" w14:textId="6C59694F" w:rsidR="00492AD3" w:rsidRPr="00B00624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C209806" w14:textId="767DF1B2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974E0B7" w14:textId="1A3BFC44" w:rsidR="00492AD3" w:rsidRPr="004815C1" w:rsidRDefault="00492AD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</w:tr>
    </w:tbl>
    <w:p w14:paraId="0AF755CF" w14:textId="5EBD6D0F" w:rsidR="00492AD3" w:rsidRPr="00986F35" w:rsidRDefault="00492AD3" w:rsidP="00492AD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>49-Market 2021 Aggregate Survey</w:t>
      </w:r>
      <w:r>
        <w:rPr>
          <w:sz w:val="16"/>
          <w:szCs w:val="16"/>
        </w:rPr>
        <w:tab/>
        <w:t>*during the next 12 months</w:t>
      </w:r>
    </w:p>
    <w:p w14:paraId="1B980AAF" w14:textId="77777777" w:rsidR="00FA1C21" w:rsidRDefault="00FA1C21" w:rsidP="004C732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6805E0EB" w:rsidR="00F94CE8" w:rsidRPr="00A77AE8" w:rsidRDefault="00A77AE8" w:rsidP="00A77AE8">
      <w:pPr>
        <w:pStyle w:val="NoSpacing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77AE8">
        <w:rPr>
          <w:rFonts w:ascii="Verdana" w:hAnsi="Verdana"/>
          <w:b/>
          <w:bCs/>
          <w:color w:val="0070C0"/>
          <w:sz w:val="20"/>
          <w:szCs w:val="20"/>
        </w:rPr>
        <w:t>Media Habits of Adults 18+ Planning a</w:t>
      </w:r>
      <w:r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Pr="00A77AE8">
        <w:rPr>
          <w:rFonts w:ascii="Verdana" w:hAnsi="Verdana"/>
          <w:b/>
          <w:bCs/>
          <w:color w:val="0070C0"/>
          <w:sz w:val="20"/>
          <w:szCs w:val="20"/>
        </w:rPr>
        <w:t>Security Services Home Improvement</w:t>
      </w:r>
    </w:p>
    <w:p w14:paraId="664EB1A4" w14:textId="77777777" w:rsidR="00F94CE8" w:rsidRPr="004C7325" w:rsidRDefault="00F94CE8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3A6E806F" w:rsidR="00F94CE8" w:rsidRDefault="000D21A7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Media Audit’s Aggregate Report also shows adults 18+ planning an alarm or security services over-indexed for heavy exposure to six of seven media: radio at 157, newspaper at 200, outdoor at 125, direct mail at 151, the Internet at 111 and social media at 150.</w:t>
      </w:r>
    </w:p>
    <w:p w14:paraId="3C41F246" w14:textId="48F83A00" w:rsidR="000D21A7" w:rsidRDefault="000D21A7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5D5F248" w14:textId="0B879F25" w:rsidR="000D21A7" w:rsidRDefault="000D21A7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generation, Gen Zers over-indexed the most for heavy exposure to social media while Millennials over-indexed for the same six media as above. Unsurprisingly, Baby Boomers and members of the Silent Generation only over-indexed for heavy exposure to TV.</w:t>
      </w:r>
    </w:p>
    <w:p w14:paraId="53C06C6A" w14:textId="6E240969" w:rsidR="009C5172" w:rsidRDefault="009C5172" w:rsidP="009C517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>(See definitions of heavy exposure to media on page 4.)</w:t>
      </w:r>
    </w:p>
    <w:p w14:paraId="02C0BC62" w14:textId="77777777" w:rsidR="00F94CE8" w:rsidRPr="004C7325" w:rsidRDefault="00F94CE8" w:rsidP="004C732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923253B" w14:textId="44582412" w:rsidR="009C5172" w:rsidRPr="005D1511" w:rsidRDefault="000D21A7" w:rsidP="009C517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US Adults Who Planned an Alarm or Security Services Home Improvement*</w:t>
      </w:r>
      <w:r w:rsidRPr="005D1511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by Generation and Logging onto Social Media</w:t>
      </w:r>
      <w:r>
        <w:rPr>
          <w:rFonts w:ascii="Verdana" w:hAnsi="Verdana"/>
          <w:b/>
          <w:bCs/>
          <w:sz w:val="20"/>
          <w:szCs w:val="20"/>
        </w:rPr>
        <w:t>†</w:t>
      </w:r>
      <w:r>
        <w:rPr>
          <w:b/>
          <w:bCs/>
          <w:sz w:val="20"/>
          <w:szCs w:val="20"/>
        </w:rPr>
        <w:t xml:space="preserve">, </w:t>
      </w:r>
      <w:r w:rsidRPr="005D1511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</w:p>
    <w:tbl>
      <w:tblPr>
        <w:tblW w:w="848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397"/>
        <w:gridCol w:w="1397"/>
        <w:gridCol w:w="1397"/>
        <w:gridCol w:w="1397"/>
        <w:gridCol w:w="1401"/>
      </w:tblGrid>
      <w:tr w:rsidR="000D21A7" w:rsidRPr="005D1511" w14:paraId="666BB90A" w14:textId="77777777" w:rsidTr="009C5172">
        <w:trPr>
          <w:jc w:val="center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4616B9C" w14:textId="5E7DB7C6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86A10E5" w14:textId="77777777" w:rsidR="000D21A7" w:rsidRPr="004815C1" w:rsidRDefault="000D21A7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816F723" w14:textId="77777777" w:rsidR="000D21A7" w:rsidRPr="004815C1" w:rsidRDefault="000D21A7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413BA4E" w14:textId="77777777" w:rsidR="000D21A7" w:rsidRPr="004815C1" w:rsidRDefault="000D21A7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3DF0BD7" w14:textId="77777777" w:rsidR="000D21A7" w:rsidRPr="004815C1" w:rsidRDefault="000D21A7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ED61837" w14:textId="77777777" w:rsidR="000D21A7" w:rsidRPr="004815C1" w:rsidRDefault="000D21A7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0D21A7" w:rsidRPr="005D1511" w14:paraId="6E4CAF15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A6A447" w14:textId="26ACBDCC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YouTube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CF90400" w14:textId="74607E1C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93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81B1D0F" w14:textId="4A5A4361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336B6F8" w14:textId="168EF88C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75161EDC" w14:textId="4F213534" w:rsidR="000D21A7" w:rsidRPr="00F678A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4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CAAC4CC" w14:textId="33F4746F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</w:tr>
      <w:tr w:rsidR="000D21A7" w:rsidRPr="005D1511" w14:paraId="6DF47E9B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EE5A4E7" w14:textId="701F56D8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Facebook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AF3F787" w14:textId="2157AFE3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C6BC612" w14:textId="6D8F7F9A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D9A53B6" w14:textId="38292326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48A6FA4" w14:textId="6A30DDA4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DE9D09A" w14:textId="604F6BAA" w:rsidR="000D21A7" w:rsidRPr="00B00624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</w:tr>
      <w:tr w:rsidR="000D21A7" w:rsidRPr="005D1511" w14:paraId="6967F6B2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7A9F845" w14:textId="45C41243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LinkedIn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EA64190" w14:textId="0E556ACE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B2E0AA1" w14:textId="312E01B8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05A89BE" w14:textId="3C2D3762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C633442" w14:textId="34EBB096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D8BA17" w14:textId="10CF204D" w:rsidR="000D21A7" w:rsidRPr="00B00624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</w:t>
            </w:r>
          </w:p>
        </w:tc>
      </w:tr>
      <w:tr w:rsidR="000D21A7" w:rsidRPr="005D1511" w14:paraId="090F9750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46FEB8C" w14:textId="7BA66E9F" w:rsidR="009C5172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Twitter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4AC2E60" w14:textId="6B2ACC5F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C7C14E2" w14:textId="2D9F0737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F39ED2D" w14:textId="0B42968A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C4CD7B3" w14:textId="547C77AC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AFBCDB6" w14:textId="3602D600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</w:tr>
      <w:tr w:rsidR="000D21A7" w:rsidRPr="005D1511" w14:paraId="12FA29EB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08C45F5" w14:textId="0F1A623A" w:rsidR="000D21A7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Pinterest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064A37D" w14:textId="7D29D41B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FE0EA4C" w14:textId="3FAEBD0B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2893110" w14:textId="5C47988E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42C0948" w14:textId="405B8AD0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86CDA29" w14:textId="12A56E1B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</w:tr>
      <w:tr w:rsidR="000D21A7" w:rsidRPr="005D1511" w14:paraId="76DD94A3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8EDCFD3" w14:textId="30FB927A" w:rsidR="000D21A7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Instagram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64AD35B" w14:textId="58AAA8D1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F9B0DA4" w14:textId="72EADB47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A6746A2" w14:textId="06B73C47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70DB101" w14:textId="3B3B5904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34C72D2" w14:textId="23EB1E7E" w:rsidR="000D21A7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</w:t>
            </w:r>
          </w:p>
        </w:tc>
      </w:tr>
      <w:tr w:rsidR="000D21A7" w:rsidRPr="005D1511" w14:paraId="1AD8E217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62C8386" w14:textId="20190914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Snapchat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BE6CA4" w14:textId="339E9204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85ABBEC" w14:textId="6CCD0E16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BE83F99" w14:textId="1BBAFFA4" w:rsidR="000D21A7" w:rsidRPr="00B00624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27DCBBF5" w14:textId="1677FE68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A2364A5" w14:textId="146791CF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0D21A7" w:rsidRPr="005D1511" w14:paraId="20A05266" w14:textId="77777777" w:rsidTr="00D4343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D663F29" w14:textId="47380E2E" w:rsidR="000D21A7" w:rsidRPr="004815C1" w:rsidRDefault="009C517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TikTok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691C137" w14:textId="3FA73EC9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0AE3319" w14:textId="2C612AF2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5EB10EF" w14:textId="3045A011" w:rsidR="000D21A7" w:rsidRPr="00B00624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55F58C45" w14:textId="66719AAD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8131F30" w14:textId="2F47C37A" w:rsidR="000D21A7" w:rsidRPr="004815C1" w:rsidRDefault="009C5172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</w:tbl>
    <w:p w14:paraId="21968DD2" w14:textId="77777777" w:rsidR="009C5172" w:rsidRDefault="009C5172" w:rsidP="009C5172">
      <w:pPr>
        <w:pStyle w:val="NoSpacing"/>
        <w:tabs>
          <w:tab w:val="left" w:pos="450"/>
        </w:tabs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="000D21A7" w:rsidRPr="00573142">
        <w:rPr>
          <w:sz w:val="16"/>
          <w:szCs w:val="16"/>
        </w:rPr>
        <w:t xml:space="preserve">Based on The Media Audit’s </w:t>
      </w:r>
      <w:r w:rsidR="000D21A7">
        <w:rPr>
          <w:sz w:val="16"/>
          <w:szCs w:val="16"/>
        </w:rPr>
        <w:t>49-Market 2021 Aggregate Survey</w:t>
      </w:r>
      <w:r w:rsidR="000D21A7">
        <w:rPr>
          <w:sz w:val="16"/>
          <w:szCs w:val="16"/>
        </w:rPr>
        <w:tab/>
      </w:r>
    </w:p>
    <w:p w14:paraId="4185E45A" w14:textId="052AB515" w:rsidR="000D21A7" w:rsidRPr="009C5172" w:rsidRDefault="009C5172" w:rsidP="009C5172">
      <w:pPr>
        <w:pStyle w:val="NoSpacing"/>
        <w:tabs>
          <w:tab w:val="left" w:pos="450"/>
        </w:tabs>
        <w:contextualSpacing/>
        <w:mirrorIndents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ab/>
      </w:r>
      <w:r w:rsidR="000D21A7">
        <w:rPr>
          <w:sz w:val="16"/>
          <w:szCs w:val="16"/>
        </w:rPr>
        <w:t>*during the next 12 months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C5172">
        <w:rPr>
          <w:rFonts w:ascii="Verdana" w:hAnsi="Verdana"/>
          <w:sz w:val="16"/>
          <w:szCs w:val="16"/>
        </w:rPr>
        <w:t xml:space="preserve">†logged on during </w:t>
      </w:r>
      <w:r w:rsidR="003011B1">
        <w:rPr>
          <w:rFonts w:ascii="Verdana" w:hAnsi="Verdana"/>
          <w:sz w:val="16"/>
          <w:szCs w:val="16"/>
        </w:rPr>
        <w:t xml:space="preserve">the </w:t>
      </w:r>
      <w:r w:rsidRPr="009C5172">
        <w:rPr>
          <w:rFonts w:ascii="Verdana" w:hAnsi="Verdana"/>
          <w:sz w:val="16"/>
          <w:szCs w:val="16"/>
        </w:rPr>
        <w:t>past month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2AD839B9" w:rsidR="00F94CE8" w:rsidRDefault="00B6450B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According to 2022 research from Parks Associates, the installation of DIY security systems by homeowners has been a competitive challenge for many local security system companies. Of those consumers surveyed, 42% said they installed </w:t>
      </w:r>
      <w:r w:rsidR="00EC7B0A">
        <w:rPr>
          <w:sz w:val="20"/>
          <w:szCs w:val="20"/>
        </w:rPr>
        <w:t>a</w:t>
      </w:r>
      <w:r>
        <w:rPr>
          <w:sz w:val="20"/>
          <w:szCs w:val="20"/>
        </w:rPr>
        <w:t xml:space="preserve"> system themselves. Almost half (49%) of those DIY installation</w:t>
      </w:r>
      <w:r w:rsidR="003011B1">
        <w:rPr>
          <w:sz w:val="20"/>
          <w:szCs w:val="20"/>
        </w:rPr>
        <w:t>s</w:t>
      </w:r>
      <w:r>
        <w:rPr>
          <w:sz w:val="20"/>
          <w:szCs w:val="20"/>
        </w:rPr>
        <w:t xml:space="preserve"> were the result of a home burglary while approximately half (27%) had a system installed by professionals. </w:t>
      </w:r>
    </w:p>
    <w:p w14:paraId="7AB1C584" w14:textId="10F34634" w:rsidR="00B6450B" w:rsidRDefault="00B6450B" w:rsidP="00F94CE8">
      <w:pPr>
        <w:pStyle w:val="NoSpacing"/>
        <w:contextualSpacing/>
        <w:rPr>
          <w:sz w:val="20"/>
          <w:szCs w:val="20"/>
        </w:rPr>
      </w:pPr>
    </w:p>
    <w:p w14:paraId="5FD8E612" w14:textId="5A44C8DE" w:rsidR="00B6450B" w:rsidRDefault="00B6450B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Professionally-installed home security systems ha</w:t>
      </w:r>
      <w:r w:rsidR="003011B1">
        <w:rPr>
          <w:sz w:val="20"/>
          <w:szCs w:val="20"/>
        </w:rPr>
        <w:t>ve</w:t>
      </w:r>
      <w:r>
        <w:rPr>
          <w:sz w:val="20"/>
          <w:szCs w:val="20"/>
        </w:rPr>
        <w:t xml:space="preserve"> increase</w:t>
      </w:r>
      <w:r w:rsidR="003011B1">
        <w:rPr>
          <w:sz w:val="20"/>
          <w:szCs w:val="20"/>
        </w:rPr>
        <w:t>d</w:t>
      </w:r>
      <w:r>
        <w:rPr>
          <w:sz w:val="20"/>
          <w:szCs w:val="20"/>
        </w:rPr>
        <w:t xml:space="preserve"> since Q2 2020 during the initial wave of the pandemic as many homeowners did not </w:t>
      </w:r>
      <w:r w:rsidR="003011B1">
        <w:rPr>
          <w:sz w:val="20"/>
          <w:szCs w:val="20"/>
        </w:rPr>
        <w:t xml:space="preserve">want </w:t>
      </w:r>
      <w:r>
        <w:rPr>
          <w:sz w:val="20"/>
          <w:szCs w:val="20"/>
        </w:rPr>
        <w:t>any such vendors entering their homes</w:t>
      </w:r>
      <w:r w:rsidR="000248B9">
        <w:rPr>
          <w:sz w:val="20"/>
          <w:szCs w:val="20"/>
        </w:rPr>
        <w:t xml:space="preserve"> at the time</w:t>
      </w:r>
      <w:r>
        <w:rPr>
          <w:sz w:val="20"/>
          <w:szCs w:val="20"/>
        </w:rPr>
        <w:t>. Whether these systems are self-installed or professionally installed, 90% of homeowners still want professional monitoring of their systems.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7F8FB90" w14:textId="228FE83E" w:rsidR="00742809" w:rsidRPr="005D1511" w:rsidRDefault="00742809" w:rsidP="00742809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Percentage of Security Dealers Selling Selected Services, 2018</w:t>
      </w:r>
      <w:r>
        <w:rPr>
          <w:rFonts w:ascii="Verdana" w:hAnsi="Verdana"/>
          <w:b/>
          <w:noProof/>
          <w:sz w:val="20"/>
          <w:szCs w:val="20"/>
        </w:rPr>
        <w:t>–</w:t>
      </w:r>
      <w:r w:rsidRPr="005D1511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</w:p>
    <w:tbl>
      <w:tblPr>
        <w:tblW w:w="980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1397"/>
        <w:gridCol w:w="1397"/>
        <w:gridCol w:w="1397"/>
        <w:gridCol w:w="1401"/>
      </w:tblGrid>
      <w:tr w:rsidR="00742809" w:rsidRPr="005D1511" w14:paraId="0A05555F" w14:textId="77777777" w:rsidTr="00742809">
        <w:trPr>
          <w:jc w:val="center"/>
        </w:trPr>
        <w:tc>
          <w:tcPr>
            <w:tcW w:w="420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5D79417" w14:textId="507FEF13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Service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A58E27E" w14:textId="3E323C3D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2018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23CDCD5" w14:textId="1A03113C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3F080E3" w14:textId="58E7F24B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6C8D766E" w14:textId="48DC9F34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</w:tr>
      <w:tr w:rsidR="00742809" w:rsidRPr="005D1511" w14:paraId="595D0E13" w14:textId="77777777" w:rsidTr="00A6316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0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9A8D749" w14:textId="6F8F3590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verification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2D57C0B8" w14:textId="10048395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B504994" w14:textId="13E4383A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56%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223633E" w14:textId="671FD97C" w:rsidR="00742809" w:rsidRPr="00F678A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  <w:tc>
          <w:tcPr>
            <w:tcW w:w="14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2A32F5E" w14:textId="41A95234" w:rsidR="00742809" w:rsidRPr="004815C1" w:rsidRDefault="007F606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71%</w:t>
            </w:r>
          </w:p>
        </w:tc>
      </w:tr>
      <w:tr w:rsidR="00742809" w:rsidRPr="005D1511" w14:paraId="14D60B55" w14:textId="77777777" w:rsidTr="00A6316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04BB1B5" w14:textId="583D0CD1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Home network, cybersecurity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2ED6026" w14:textId="6DE393CD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6723EEF" w14:textId="7022B18E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7E548B6" w14:textId="57D63EFA" w:rsidR="00742809" w:rsidRPr="004815C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22371EB" w14:textId="7F6785AB" w:rsidR="00742809" w:rsidRPr="00B00624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60%</w:t>
            </w:r>
          </w:p>
        </w:tc>
      </w:tr>
      <w:tr w:rsidR="00742809" w:rsidRPr="005D1511" w14:paraId="0705F096" w14:textId="77777777" w:rsidTr="00A6316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27D6FE0" w14:textId="1D5BD66E" w:rsidR="00742809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Personal emergency response systems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139E6D3" w14:textId="2A6C3CC6" w:rsidR="00742809" w:rsidRPr="00742809" w:rsidRDefault="00742809" w:rsidP="0074280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4B991AB" w14:textId="7961C63E" w:rsidR="00742809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E162277" w14:textId="0A346CD3" w:rsidR="00742809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23504CC" w14:textId="563C0596" w:rsidR="00742809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56%</w:t>
            </w:r>
          </w:p>
        </w:tc>
      </w:tr>
      <w:tr w:rsidR="00742809" w:rsidRPr="005D1511" w14:paraId="399F7E45" w14:textId="77777777" w:rsidTr="00A6316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9EB623E" w14:textId="4AA8277E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Aging-in-place/independent living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6249D65" w14:textId="77A90D86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895AD01" w14:textId="7D536AF4" w:rsidR="00742809" w:rsidRPr="00B00624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11AC233" w14:textId="4FDC6DFD" w:rsidR="00742809" w:rsidRPr="004815C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A98F944" w14:textId="05CA0F98" w:rsidR="00742809" w:rsidRPr="004815C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55%</w:t>
            </w:r>
          </w:p>
        </w:tc>
      </w:tr>
      <w:tr w:rsidR="00742809" w:rsidRPr="005D1511" w14:paraId="3563E0E6" w14:textId="77777777" w:rsidTr="00A6316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6BBEB5E" w14:textId="3230B135" w:rsidR="00742809" w:rsidRPr="004815C1" w:rsidRDefault="0074280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Vehicle alarm monitoring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24147DE" w14:textId="52F83A70" w:rsidR="00742809" w:rsidRPr="004815C1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260E0EE8" w14:textId="2A476A95" w:rsidR="00742809" w:rsidRPr="00B00624" w:rsidRDefault="0074280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40%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045EAB6F" w14:textId="752C9F98" w:rsidR="00742809" w:rsidRPr="004815C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EE369F0" w14:textId="5C0A8E51" w:rsidR="00742809" w:rsidRPr="004815C1" w:rsidRDefault="007F606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</w:tr>
    </w:tbl>
    <w:p w14:paraId="0F01DDAD" w14:textId="5956FC63" w:rsidR="007F6068" w:rsidRDefault="007F6068" w:rsidP="007F606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F0725F">
        <w:rPr>
          <w:rFonts w:ascii="Verdana" w:hAnsi="Verdana"/>
          <w:i/>
          <w:iCs/>
          <w:noProof/>
          <w:sz w:val="16"/>
          <w:szCs w:val="16"/>
        </w:rPr>
        <w:t>Security Sales &amp; Integration</w:t>
      </w:r>
      <w:r w:rsidRPr="00192F64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November 2021</w:t>
      </w:r>
      <w:r>
        <w:rPr>
          <w:rFonts w:ascii="Verdana" w:hAnsi="Verdana"/>
          <w:noProof/>
          <w:sz w:val="16"/>
          <w:szCs w:val="16"/>
        </w:rPr>
        <w:tab/>
        <w:t>(color represents change from the previous year)</w:t>
      </w:r>
    </w:p>
    <w:p w14:paraId="6DC49CD3" w14:textId="469C3E34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30B288E" w14:textId="77777777" w:rsidR="00742809" w:rsidRDefault="00742809" w:rsidP="00F94CE8">
      <w:pPr>
        <w:pStyle w:val="NoSpacing"/>
        <w:contextualSpacing/>
        <w:rPr>
          <w:sz w:val="20"/>
          <w:szCs w:val="20"/>
        </w:rPr>
      </w:pPr>
    </w:p>
    <w:p w14:paraId="070CA95B" w14:textId="77777777" w:rsidR="00D43435" w:rsidRPr="007F1120" w:rsidRDefault="00D43435" w:rsidP="00D43435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Media Audit: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D43435" w:rsidRPr="007F1120" w14:paraId="232E2CFF" w14:textId="77777777" w:rsidTr="00675D1F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BC9AD74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530FE0C1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D43435" w:rsidRPr="007F1120" w14:paraId="01DC0C6E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D810728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C5F2D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D43435" w:rsidRPr="007F1120" w14:paraId="738DA2AB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1D58B95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58D91B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D43435" w:rsidRPr="007F1120" w14:paraId="51370FB3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BA66D5D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BE4A59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D43435" w:rsidRPr="007F1120" w14:paraId="0FE09FC6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86217EC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3CA707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D43435" w:rsidRPr="007F1120" w14:paraId="6A6D3355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75E1585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6C57B3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D43435" w:rsidRPr="007F1120" w14:paraId="66C13B73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A5744C1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F58A24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43435" w:rsidRPr="007F1120" w14:paraId="6207DF05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E12A9B6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055E84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43435" w:rsidRPr="007F1120" w14:paraId="0324D96D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303A053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Audio streaming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2A845E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D43435" w:rsidRPr="007F1120" w14:paraId="2C8241F5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7B5E4D1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Podcast 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1804F0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D43435" w:rsidRPr="007F1120" w14:paraId="2C32346D" w14:textId="77777777" w:rsidTr="00675D1F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C291485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Video streaming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04F4DA" w14:textId="77777777" w:rsidR="00D43435" w:rsidRPr="00294183" w:rsidRDefault="00D4343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</w:tbl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11D5A6B7" w:rsidR="00F94CE8" w:rsidRPr="00A7707D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A7707D">
        <w:rPr>
          <w:rFonts w:ascii="Verdana" w:hAnsi="Verdana"/>
          <w:i/>
          <w:sz w:val="16"/>
          <w:szCs w:val="16"/>
        </w:rPr>
        <w:t>Sources:</w:t>
      </w:r>
      <w:r w:rsidRPr="00A7707D">
        <w:rPr>
          <w:rFonts w:ascii="Verdana" w:hAnsi="Verdana"/>
          <w:sz w:val="16"/>
          <w:szCs w:val="16"/>
        </w:rPr>
        <w:t xml:space="preserve"> </w:t>
      </w:r>
      <w:r w:rsidR="00A7707D" w:rsidRPr="00A7707D">
        <w:rPr>
          <w:i/>
          <w:iCs/>
          <w:sz w:val="16"/>
          <w:szCs w:val="16"/>
        </w:rPr>
        <w:t>Security Sales &amp; Integration</w:t>
      </w:r>
      <w:r w:rsidR="00A7707D" w:rsidRPr="00A7707D">
        <w:rPr>
          <w:sz w:val="16"/>
          <w:szCs w:val="16"/>
        </w:rPr>
        <w:t xml:space="preserve"> </w:t>
      </w:r>
      <w:r w:rsidRPr="00A7707D">
        <w:rPr>
          <w:rFonts w:ascii="Verdana" w:hAnsi="Verdana"/>
          <w:sz w:val="16"/>
          <w:szCs w:val="16"/>
        </w:rPr>
        <w:t xml:space="preserve">Website, </w:t>
      </w:r>
      <w:r w:rsidR="005610BD" w:rsidRPr="00A7707D">
        <w:rPr>
          <w:rFonts w:ascii="Verdana" w:hAnsi="Verdana"/>
          <w:sz w:val="16"/>
          <w:szCs w:val="16"/>
        </w:rPr>
        <w:t>5</w:t>
      </w:r>
      <w:r w:rsidR="00306D88" w:rsidRPr="00A7707D">
        <w:rPr>
          <w:rFonts w:ascii="Verdana" w:hAnsi="Verdana"/>
          <w:sz w:val="16"/>
          <w:szCs w:val="16"/>
        </w:rPr>
        <w:t>/</w:t>
      </w:r>
      <w:r w:rsidR="00AE6B2A" w:rsidRPr="00A7707D">
        <w:rPr>
          <w:rFonts w:ascii="Verdana" w:hAnsi="Verdana"/>
          <w:sz w:val="16"/>
          <w:szCs w:val="16"/>
        </w:rPr>
        <w:t>2</w:t>
      </w:r>
      <w:r w:rsidR="00C8473A" w:rsidRPr="00A7707D">
        <w:rPr>
          <w:rFonts w:ascii="Verdana" w:hAnsi="Verdana"/>
          <w:sz w:val="16"/>
          <w:szCs w:val="16"/>
        </w:rPr>
        <w:t>2</w:t>
      </w:r>
      <w:r w:rsidRPr="00A7707D">
        <w:rPr>
          <w:rFonts w:ascii="Verdana" w:hAnsi="Verdana"/>
          <w:sz w:val="16"/>
          <w:szCs w:val="16"/>
        </w:rPr>
        <w:t xml:space="preserve">; </w:t>
      </w:r>
      <w:r w:rsidR="00A7707D" w:rsidRPr="00A7707D">
        <w:rPr>
          <w:sz w:val="16"/>
          <w:szCs w:val="16"/>
        </w:rPr>
        <w:t xml:space="preserve">Consumer Affairs </w:t>
      </w:r>
      <w:r w:rsidRPr="00A7707D">
        <w:rPr>
          <w:rFonts w:ascii="Verdana" w:hAnsi="Verdana"/>
          <w:sz w:val="16"/>
          <w:szCs w:val="16"/>
        </w:rPr>
        <w:t xml:space="preserve">Website, </w:t>
      </w:r>
      <w:r w:rsidR="005610BD" w:rsidRPr="00A7707D">
        <w:rPr>
          <w:rFonts w:ascii="Verdana" w:hAnsi="Verdana"/>
          <w:sz w:val="16"/>
          <w:szCs w:val="16"/>
        </w:rPr>
        <w:t>5</w:t>
      </w:r>
      <w:r w:rsidR="004E421A" w:rsidRPr="00A7707D">
        <w:rPr>
          <w:rFonts w:ascii="Verdana" w:hAnsi="Verdana"/>
          <w:sz w:val="16"/>
          <w:szCs w:val="16"/>
        </w:rPr>
        <w:t>/</w:t>
      </w:r>
      <w:r w:rsidR="00AE6B2A" w:rsidRPr="00A7707D">
        <w:rPr>
          <w:rFonts w:ascii="Verdana" w:hAnsi="Verdana"/>
          <w:sz w:val="16"/>
          <w:szCs w:val="16"/>
        </w:rPr>
        <w:t>2</w:t>
      </w:r>
      <w:r w:rsidR="00C8473A" w:rsidRPr="00A7707D">
        <w:rPr>
          <w:rFonts w:ascii="Verdana" w:hAnsi="Verdana"/>
          <w:sz w:val="16"/>
          <w:szCs w:val="16"/>
        </w:rPr>
        <w:t>2</w:t>
      </w:r>
      <w:r w:rsidRPr="00A7707D">
        <w:rPr>
          <w:rFonts w:ascii="Verdana" w:hAnsi="Verdana"/>
          <w:sz w:val="16"/>
          <w:szCs w:val="16"/>
        </w:rPr>
        <w:t xml:space="preserve">; </w:t>
      </w:r>
      <w:r w:rsidR="00A7707D" w:rsidRPr="00A7707D">
        <w:rPr>
          <w:sz w:val="16"/>
          <w:szCs w:val="16"/>
        </w:rPr>
        <w:t xml:space="preserve">Pro-Vigil </w:t>
      </w:r>
      <w:r w:rsidRPr="00A7707D">
        <w:rPr>
          <w:rFonts w:ascii="Verdana" w:hAnsi="Verdana"/>
          <w:sz w:val="16"/>
          <w:szCs w:val="16"/>
        </w:rPr>
        <w:t>Website</w:t>
      </w:r>
      <w:r w:rsidR="00A00453" w:rsidRPr="00A7707D">
        <w:rPr>
          <w:rFonts w:ascii="Verdana" w:hAnsi="Verdana"/>
          <w:sz w:val="16"/>
          <w:szCs w:val="16"/>
        </w:rPr>
        <w:t xml:space="preserve">, </w:t>
      </w:r>
      <w:r w:rsidR="005610BD" w:rsidRPr="00A7707D">
        <w:rPr>
          <w:rFonts w:ascii="Verdana" w:hAnsi="Verdana"/>
          <w:sz w:val="16"/>
          <w:szCs w:val="16"/>
        </w:rPr>
        <w:t>5</w:t>
      </w:r>
      <w:r w:rsidR="00306D88" w:rsidRPr="00A7707D">
        <w:rPr>
          <w:rFonts w:ascii="Verdana" w:hAnsi="Verdana"/>
          <w:sz w:val="16"/>
          <w:szCs w:val="16"/>
        </w:rPr>
        <w:t>/</w:t>
      </w:r>
      <w:r w:rsidR="00AE6B2A" w:rsidRPr="00A7707D">
        <w:rPr>
          <w:rFonts w:ascii="Verdana" w:hAnsi="Verdana"/>
          <w:sz w:val="16"/>
          <w:szCs w:val="16"/>
        </w:rPr>
        <w:t>2</w:t>
      </w:r>
      <w:r w:rsidR="00C8473A" w:rsidRPr="00A7707D">
        <w:rPr>
          <w:rFonts w:ascii="Verdana" w:hAnsi="Verdana"/>
          <w:sz w:val="16"/>
          <w:szCs w:val="16"/>
        </w:rPr>
        <w:t>2</w:t>
      </w:r>
      <w:r w:rsidR="00A7707D">
        <w:rPr>
          <w:rFonts w:ascii="Verdana" w:hAnsi="Verdana"/>
          <w:sz w:val="16"/>
          <w:szCs w:val="16"/>
        </w:rPr>
        <w:t>;</w:t>
      </w:r>
      <w:r w:rsidR="00A7707D" w:rsidRPr="00A7707D">
        <w:rPr>
          <w:rFonts w:ascii="Verdana" w:hAnsi="Verdana"/>
          <w:sz w:val="16"/>
          <w:szCs w:val="16"/>
        </w:rPr>
        <w:t xml:space="preserve"> </w:t>
      </w:r>
      <w:r w:rsidR="00A7707D" w:rsidRPr="00A7707D">
        <w:rPr>
          <w:sz w:val="16"/>
          <w:szCs w:val="16"/>
        </w:rPr>
        <w:t>System Surveyor Website</w:t>
      </w:r>
      <w:r w:rsidR="00A7707D">
        <w:rPr>
          <w:sz w:val="16"/>
          <w:szCs w:val="16"/>
        </w:rPr>
        <w:t>, 5/22;</w:t>
      </w:r>
      <w:r w:rsidR="00A7707D" w:rsidRPr="00A7707D">
        <w:rPr>
          <w:sz w:val="16"/>
          <w:szCs w:val="16"/>
        </w:rPr>
        <w:t xml:space="preserve"> The Media Audit Website</w:t>
      </w:r>
      <w:r w:rsidR="00A7707D">
        <w:rPr>
          <w:sz w:val="16"/>
          <w:szCs w:val="16"/>
        </w:rPr>
        <w:t>, 5/22.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6F3EC19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5610BD">
        <w:rPr>
          <w:rFonts w:ascii="Verdana" w:hAnsi="Verdana"/>
          <w:sz w:val="16"/>
        </w:rPr>
        <w:t>May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7373" w14:textId="77777777" w:rsidR="001D1E5E" w:rsidRDefault="001D1E5E" w:rsidP="00260DE9">
      <w:pPr>
        <w:spacing w:after="0" w:line="240" w:lineRule="auto"/>
      </w:pPr>
      <w:r>
        <w:separator/>
      </w:r>
    </w:p>
  </w:endnote>
  <w:endnote w:type="continuationSeparator" w:id="0">
    <w:p w14:paraId="3183DF2C" w14:textId="77777777" w:rsidR="001D1E5E" w:rsidRDefault="001D1E5E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86B7" w14:textId="77777777" w:rsidR="001D1E5E" w:rsidRDefault="001D1E5E" w:rsidP="00260DE9">
      <w:pPr>
        <w:spacing w:after="0" w:line="240" w:lineRule="auto"/>
      </w:pPr>
      <w:r>
        <w:separator/>
      </w:r>
    </w:p>
  </w:footnote>
  <w:footnote w:type="continuationSeparator" w:id="0">
    <w:p w14:paraId="4D34FC8F" w14:textId="77777777" w:rsidR="001D1E5E" w:rsidRDefault="001D1E5E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23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248B9"/>
    <w:rsid w:val="00030B4A"/>
    <w:rsid w:val="0003466E"/>
    <w:rsid w:val="00052024"/>
    <w:rsid w:val="0005633E"/>
    <w:rsid w:val="000577D6"/>
    <w:rsid w:val="0007198D"/>
    <w:rsid w:val="000830D7"/>
    <w:rsid w:val="00084A05"/>
    <w:rsid w:val="000903F7"/>
    <w:rsid w:val="000C4B96"/>
    <w:rsid w:val="000C7821"/>
    <w:rsid w:val="000D21A7"/>
    <w:rsid w:val="000D2F3A"/>
    <w:rsid w:val="000D7C07"/>
    <w:rsid w:val="000E1FF4"/>
    <w:rsid w:val="00112A85"/>
    <w:rsid w:val="0012010F"/>
    <w:rsid w:val="00142DEE"/>
    <w:rsid w:val="001531C2"/>
    <w:rsid w:val="00154344"/>
    <w:rsid w:val="00160474"/>
    <w:rsid w:val="00161442"/>
    <w:rsid w:val="0016492E"/>
    <w:rsid w:val="00176517"/>
    <w:rsid w:val="00177D0F"/>
    <w:rsid w:val="001A05E7"/>
    <w:rsid w:val="001A6AB9"/>
    <w:rsid w:val="001B64B0"/>
    <w:rsid w:val="001C1E99"/>
    <w:rsid w:val="001C2831"/>
    <w:rsid w:val="001D1E5E"/>
    <w:rsid w:val="001D53A3"/>
    <w:rsid w:val="001F5DFA"/>
    <w:rsid w:val="00260DE9"/>
    <w:rsid w:val="00294474"/>
    <w:rsid w:val="002A4A73"/>
    <w:rsid w:val="002A6286"/>
    <w:rsid w:val="002B0BCF"/>
    <w:rsid w:val="002B3E1A"/>
    <w:rsid w:val="002B428E"/>
    <w:rsid w:val="002E0983"/>
    <w:rsid w:val="002E1F38"/>
    <w:rsid w:val="003011B1"/>
    <w:rsid w:val="00306D88"/>
    <w:rsid w:val="00327C87"/>
    <w:rsid w:val="003630CD"/>
    <w:rsid w:val="0038459A"/>
    <w:rsid w:val="00391689"/>
    <w:rsid w:val="0039709F"/>
    <w:rsid w:val="003B417B"/>
    <w:rsid w:val="003B687D"/>
    <w:rsid w:val="003B6A9E"/>
    <w:rsid w:val="003C15ED"/>
    <w:rsid w:val="003D6958"/>
    <w:rsid w:val="003E2E9B"/>
    <w:rsid w:val="003F0FE1"/>
    <w:rsid w:val="00400606"/>
    <w:rsid w:val="00412473"/>
    <w:rsid w:val="00422A36"/>
    <w:rsid w:val="00424E79"/>
    <w:rsid w:val="00432903"/>
    <w:rsid w:val="0045212B"/>
    <w:rsid w:val="0045797F"/>
    <w:rsid w:val="0046193A"/>
    <w:rsid w:val="0048482F"/>
    <w:rsid w:val="00492AD3"/>
    <w:rsid w:val="00493426"/>
    <w:rsid w:val="00494CA5"/>
    <w:rsid w:val="004C171C"/>
    <w:rsid w:val="004C7325"/>
    <w:rsid w:val="004D4671"/>
    <w:rsid w:val="004E421A"/>
    <w:rsid w:val="004F04A7"/>
    <w:rsid w:val="004F7F58"/>
    <w:rsid w:val="0050254D"/>
    <w:rsid w:val="00520014"/>
    <w:rsid w:val="005610BD"/>
    <w:rsid w:val="0056258A"/>
    <w:rsid w:val="0057012D"/>
    <w:rsid w:val="00571D6A"/>
    <w:rsid w:val="00592462"/>
    <w:rsid w:val="00596832"/>
    <w:rsid w:val="005C3BA5"/>
    <w:rsid w:val="005F19E9"/>
    <w:rsid w:val="005F63E2"/>
    <w:rsid w:val="00600CFD"/>
    <w:rsid w:val="00601F2D"/>
    <w:rsid w:val="00612D0E"/>
    <w:rsid w:val="00635FF3"/>
    <w:rsid w:val="00637CB9"/>
    <w:rsid w:val="006557DC"/>
    <w:rsid w:val="00657B52"/>
    <w:rsid w:val="0067102D"/>
    <w:rsid w:val="0068770F"/>
    <w:rsid w:val="0069436D"/>
    <w:rsid w:val="006B3A10"/>
    <w:rsid w:val="006D1053"/>
    <w:rsid w:val="006E6275"/>
    <w:rsid w:val="00707104"/>
    <w:rsid w:val="007139CE"/>
    <w:rsid w:val="00717545"/>
    <w:rsid w:val="007257B5"/>
    <w:rsid w:val="00742809"/>
    <w:rsid w:val="007651A4"/>
    <w:rsid w:val="00772A77"/>
    <w:rsid w:val="00775789"/>
    <w:rsid w:val="007862CF"/>
    <w:rsid w:val="00793BD0"/>
    <w:rsid w:val="007A2B78"/>
    <w:rsid w:val="007B6E29"/>
    <w:rsid w:val="007D3185"/>
    <w:rsid w:val="007F6068"/>
    <w:rsid w:val="008058FD"/>
    <w:rsid w:val="0082749D"/>
    <w:rsid w:val="00875007"/>
    <w:rsid w:val="0088350D"/>
    <w:rsid w:val="0088505B"/>
    <w:rsid w:val="0089324F"/>
    <w:rsid w:val="008B6ED0"/>
    <w:rsid w:val="008D7893"/>
    <w:rsid w:val="009229BB"/>
    <w:rsid w:val="00923C8D"/>
    <w:rsid w:val="00931A86"/>
    <w:rsid w:val="009419F0"/>
    <w:rsid w:val="00942C42"/>
    <w:rsid w:val="0097289D"/>
    <w:rsid w:val="0097480E"/>
    <w:rsid w:val="00984DF0"/>
    <w:rsid w:val="009863BE"/>
    <w:rsid w:val="0099377F"/>
    <w:rsid w:val="009A3728"/>
    <w:rsid w:val="009A3EBE"/>
    <w:rsid w:val="009A4526"/>
    <w:rsid w:val="009A6479"/>
    <w:rsid w:val="009C5172"/>
    <w:rsid w:val="009C6A17"/>
    <w:rsid w:val="009F3C8C"/>
    <w:rsid w:val="00A00453"/>
    <w:rsid w:val="00A031C1"/>
    <w:rsid w:val="00A12BB9"/>
    <w:rsid w:val="00A30B01"/>
    <w:rsid w:val="00A55AAE"/>
    <w:rsid w:val="00A55AB4"/>
    <w:rsid w:val="00A61F9B"/>
    <w:rsid w:val="00A6316B"/>
    <w:rsid w:val="00A71026"/>
    <w:rsid w:val="00A7707D"/>
    <w:rsid w:val="00A77AE8"/>
    <w:rsid w:val="00A820F9"/>
    <w:rsid w:val="00AB01D8"/>
    <w:rsid w:val="00AE087E"/>
    <w:rsid w:val="00AE1F72"/>
    <w:rsid w:val="00AE6B2A"/>
    <w:rsid w:val="00AE71B7"/>
    <w:rsid w:val="00AF7375"/>
    <w:rsid w:val="00B12A59"/>
    <w:rsid w:val="00B14875"/>
    <w:rsid w:val="00B33B46"/>
    <w:rsid w:val="00B36421"/>
    <w:rsid w:val="00B4203D"/>
    <w:rsid w:val="00B6421F"/>
    <w:rsid w:val="00B6450B"/>
    <w:rsid w:val="00BC0DB8"/>
    <w:rsid w:val="00BC2144"/>
    <w:rsid w:val="00BD3066"/>
    <w:rsid w:val="00BE4BEC"/>
    <w:rsid w:val="00BE6652"/>
    <w:rsid w:val="00C11931"/>
    <w:rsid w:val="00C147E3"/>
    <w:rsid w:val="00C20878"/>
    <w:rsid w:val="00C21D13"/>
    <w:rsid w:val="00C412D4"/>
    <w:rsid w:val="00C47473"/>
    <w:rsid w:val="00C54007"/>
    <w:rsid w:val="00C65128"/>
    <w:rsid w:val="00C7442B"/>
    <w:rsid w:val="00C77B54"/>
    <w:rsid w:val="00C8473A"/>
    <w:rsid w:val="00CE167E"/>
    <w:rsid w:val="00CE3B31"/>
    <w:rsid w:val="00CE7889"/>
    <w:rsid w:val="00D16971"/>
    <w:rsid w:val="00D17826"/>
    <w:rsid w:val="00D17DB0"/>
    <w:rsid w:val="00D22E81"/>
    <w:rsid w:val="00D26223"/>
    <w:rsid w:val="00D37649"/>
    <w:rsid w:val="00D43435"/>
    <w:rsid w:val="00D54A21"/>
    <w:rsid w:val="00D8342E"/>
    <w:rsid w:val="00D93E11"/>
    <w:rsid w:val="00DA1474"/>
    <w:rsid w:val="00DC4F7C"/>
    <w:rsid w:val="00DC5E78"/>
    <w:rsid w:val="00DD5A41"/>
    <w:rsid w:val="00DE0FDD"/>
    <w:rsid w:val="00E02D3C"/>
    <w:rsid w:val="00E13B28"/>
    <w:rsid w:val="00E20F93"/>
    <w:rsid w:val="00E21202"/>
    <w:rsid w:val="00E31C88"/>
    <w:rsid w:val="00E45F8D"/>
    <w:rsid w:val="00E80C14"/>
    <w:rsid w:val="00E926A9"/>
    <w:rsid w:val="00EC7052"/>
    <w:rsid w:val="00EC7B0A"/>
    <w:rsid w:val="00ED42A4"/>
    <w:rsid w:val="00ED6363"/>
    <w:rsid w:val="00EF6801"/>
    <w:rsid w:val="00EF6AB9"/>
    <w:rsid w:val="00F056FA"/>
    <w:rsid w:val="00F0725F"/>
    <w:rsid w:val="00F2704A"/>
    <w:rsid w:val="00F66EA8"/>
    <w:rsid w:val="00F70E29"/>
    <w:rsid w:val="00F94CE8"/>
    <w:rsid w:val="00FA1C21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2022-05-16T15:40:00Z</dcterms:created>
  <dcterms:modified xsi:type="dcterms:W3CDTF">2022-05-16T15:40:00Z</dcterms:modified>
</cp:coreProperties>
</file>