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1905F3C1" w:rsidR="00F94CE8" w:rsidRPr="005F19E9" w:rsidRDefault="0031488D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Auto &amp; Truck Market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PLUS</w:t>
      </w:r>
    </w:p>
    <w:p w14:paraId="11DB62D2" w14:textId="77777777" w:rsidR="00F94CE8" w:rsidRPr="00120A28" w:rsidRDefault="00F94CE8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9BB86CD" w14:textId="106D4917" w:rsidR="00120A28" w:rsidRPr="0051680B" w:rsidRDefault="00120A28" w:rsidP="0051680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51680B">
        <w:rPr>
          <w:rFonts w:ascii="Verdana" w:hAnsi="Verdana"/>
          <w:b/>
          <w:bCs/>
          <w:color w:val="0070C0"/>
          <w:sz w:val="20"/>
          <w:szCs w:val="20"/>
        </w:rPr>
        <w:t xml:space="preserve">Inventory Challenges Frustrates Response to </w:t>
      </w:r>
      <w:r w:rsidR="00053ADB">
        <w:rPr>
          <w:rFonts w:ascii="Verdana" w:hAnsi="Verdana"/>
          <w:b/>
          <w:bCs/>
          <w:color w:val="0070C0"/>
          <w:sz w:val="20"/>
          <w:szCs w:val="20"/>
        </w:rPr>
        <w:t xml:space="preserve">Consumer </w:t>
      </w:r>
      <w:r w:rsidRPr="0051680B">
        <w:rPr>
          <w:rFonts w:ascii="Verdana" w:hAnsi="Verdana"/>
          <w:b/>
          <w:bCs/>
          <w:color w:val="0070C0"/>
          <w:sz w:val="20"/>
          <w:szCs w:val="20"/>
        </w:rPr>
        <w:t>Demand</w:t>
      </w:r>
    </w:p>
    <w:p w14:paraId="1A2F2245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46783FD" w14:textId="2385696F" w:rsidR="0051680B" w:rsidRDefault="0051680B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 consumers are in the market for a new vehicle, with a total estimated pent-up demand of one million; however, manufacturers still can’t build enough, primarily because of continued supply-chain issues, which are unlikely to rebalance until 2023.</w:t>
      </w:r>
    </w:p>
    <w:p w14:paraId="502A9D0B" w14:textId="0DD7810C" w:rsidR="0051680B" w:rsidRDefault="0051680B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7E58DE" w14:textId="3970C5C1" w:rsidR="0051680B" w:rsidRPr="0051680B" w:rsidRDefault="0051680B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Media Group Online’s June 2022 Auto Update Report shared the grim news that </w:t>
      </w:r>
      <w:r w:rsidRPr="0051680B">
        <w:rPr>
          <w:sz w:val="20"/>
          <w:szCs w:val="20"/>
        </w:rPr>
        <w:t xml:space="preserve">all the reporting manufacturers had YOY double-digit </w:t>
      </w:r>
      <w:r>
        <w:rPr>
          <w:sz w:val="20"/>
          <w:szCs w:val="20"/>
        </w:rPr>
        <w:t xml:space="preserve">sales </w:t>
      </w:r>
      <w:r w:rsidRPr="0051680B">
        <w:rPr>
          <w:sz w:val="20"/>
          <w:szCs w:val="20"/>
        </w:rPr>
        <w:t>declines</w:t>
      </w:r>
      <w:r>
        <w:rPr>
          <w:sz w:val="20"/>
          <w:szCs w:val="20"/>
        </w:rPr>
        <w:t xml:space="preserve"> during May</w:t>
      </w:r>
      <w:r w:rsidRPr="0051680B">
        <w:rPr>
          <w:sz w:val="20"/>
          <w:szCs w:val="20"/>
        </w:rPr>
        <w:t>, except Ford</w:t>
      </w:r>
      <w:r>
        <w:rPr>
          <w:sz w:val="20"/>
          <w:szCs w:val="20"/>
        </w:rPr>
        <w:t>, which achieved a “respectable” YOY decrease of 4.4%</w:t>
      </w:r>
      <w:r w:rsidRPr="0051680B">
        <w:rPr>
          <w:sz w:val="20"/>
          <w:szCs w:val="20"/>
        </w:rPr>
        <w:t>.</w:t>
      </w:r>
    </w:p>
    <w:p w14:paraId="3EA6E1AE" w14:textId="77777777" w:rsidR="0051680B" w:rsidRPr="0051680B" w:rsidRDefault="0051680B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1E3B927" w14:textId="73C197E4" w:rsidR="0051680B" w:rsidRDefault="00FA30C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Reports from dealership</w:t>
      </w:r>
      <w:r w:rsidR="00ED7EA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across the country indicate a vast majority of any new-vehicle inventory they receive is already sold. Most can only take pre-orders and many consumers are waiting as much as 12 months before they take delivery of a new vehicle.</w:t>
      </w:r>
    </w:p>
    <w:p w14:paraId="0827566D" w14:textId="2E2E26F8" w:rsidR="00FA30CA" w:rsidRDefault="00FA30C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D1F91EC" w14:textId="1570B1CA" w:rsidR="0032299A" w:rsidRDefault="0032299A" w:rsidP="0032299A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Comparison of Indices* of New-Vehicle Inventory </w:t>
      </w:r>
    </w:p>
    <w:p w14:paraId="06AEEB76" w14:textId="7C7504E1" w:rsidR="0032299A" w:rsidRPr="00D07612" w:rsidRDefault="0032299A" w:rsidP="0032299A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Franchised-Dealers’ Profits, Q3 2021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>Q2 2022</w:t>
      </w:r>
    </w:p>
    <w:tbl>
      <w:tblPr>
        <w:tblW w:w="411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35"/>
        <w:gridCol w:w="1339"/>
      </w:tblGrid>
      <w:tr w:rsidR="0032299A" w:rsidRPr="00D07612" w14:paraId="6CE16E19" w14:textId="77777777" w:rsidTr="0032299A">
        <w:trPr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3ECA732" w14:textId="7A72B58D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8D6D6F1" w14:textId="7D0DC781" w:rsidR="0032299A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Inventory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6500DB14" w14:textId="14AB949B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Profits</w:t>
            </w:r>
          </w:p>
        </w:tc>
      </w:tr>
      <w:tr w:rsidR="0032299A" w:rsidRPr="00D07612" w14:paraId="3CED4B0B" w14:textId="77777777" w:rsidTr="00B00E9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F499B23" w14:textId="789189A2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Q3 2021</w:t>
            </w:r>
          </w:p>
        </w:tc>
        <w:tc>
          <w:tcPr>
            <w:tcW w:w="133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00000"/>
            <w:vAlign w:val="center"/>
          </w:tcPr>
          <w:p w14:paraId="65D15079" w14:textId="62710229" w:rsidR="0032299A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A092C18" w14:textId="7AFD759B" w:rsidR="0032299A" w:rsidRPr="00D07612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</w:tr>
      <w:tr w:rsidR="0032299A" w:rsidRPr="00D07612" w14:paraId="0E88FBBA" w14:textId="77777777" w:rsidTr="00B00E9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74FBB16" w14:textId="7513A563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Q4 2021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00000"/>
            <w:vAlign w:val="center"/>
          </w:tcPr>
          <w:p w14:paraId="58C91727" w14:textId="1F510170" w:rsidR="0032299A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58A1D0B" w14:textId="5030FCE7" w:rsidR="0032299A" w:rsidRPr="00D07612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</w:tr>
      <w:tr w:rsidR="0032299A" w:rsidRPr="00D07612" w14:paraId="2E8F65D6" w14:textId="77777777" w:rsidTr="00B00E9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82DC20C" w14:textId="0188584C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Q1 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4E7A1808" w14:textId="0AC9B5F9" w:rsidR="0032299A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CF8C44C" w14:textId="5507AAEE" w:rsidR="0032299A" w:rsidRPr="00D07612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</w:tr>
      <w:tr w:rsidR="0032299A" w:rsidRPr="00D07612" w14:paraId="0692CC65" w14:textId="77777777" w:rsidTr="00B00E9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428E7F" w14:textId="13D3C2E2" w:rsidR="0032299A" w:rsidRPr="00D07612" w:rsidRDefault="0032299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Q2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6A616A1D" w14:textId="09C641CE" w:rsidR="0032299A" w:rsidRPr="00D07612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630BB6B" w14:textId="79FCF037" w:rsidR="0032299A" w:rsidRPr="00D07612" w:rsidRDefault="0032299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</w:tr>
    </w:tbl>
    <w:p w14:paraId="48B7EDF9" w14:textId="4F10182E" w:rsidR="0032299A" w:rsidRDefault="0032299A" w:rsidP="0032299A">
      <w:pPr>
        <w:tabs>
          <w:tab w:val="left" w:pos="261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Cox Automotive</w:t>
      </w:r>
      <w:r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June 2022</w:t>
      </w:r>
      <w:r>
        <w:rPr>
          <w:rFonts w:ascii="Verdana" w:hAnsi="Verdana"/>
          <w:sz w:val="16"/>
          <w:szCs w:val="16"/>
        </w:rPr>
        <w:tab/>
        <w:t>*an index of 100 is the average</w:t>
      </w:r>
    </w:p>
    <w:p w14:paraId="3B99C3C6" w14:textId="77777777" w:rsidR="0032299A" w:rsidRDefault="0032299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D427999" w14:textId="232C9F30" w:rsidR="00120A28" w:rsidRPr="00711E1A" w:rsidRDefault="00120A28" w:rsidP="00711E1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11E1A">
        <w:rPr>
          <w:rFonts w:ascii="Verdana" w:hAnsi="Verdana"/>
          <w:b/>
          <w:bCs/>
          <w:color w:val="0070C0"/>
          <w:sz w:val="20"/>
          <w:szCs w:val="20"/>
        </w:rPr>
        <w:t>More Dealership Challenges</w:t>
      </w:r>
    </w:p>
    <w:p w14:paraId="1A3FB5D4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16B29C2" w14:textId="6F67C192" w:rsidR="00711E1A" w:rsidRDefault="00711E1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Tesla has been the pioneer in direct-to-consumer sales while some manufacturers are considering updating vehicles remotely, reducing trips to a dealership’s service department. State legislatures are addressing this trend to protect dealer franchise laws. </w:t>
      </w:r>
    </w:p>
    <w:p w14:paraId="15867116" w14:textId="61AD0520" w:rsidR="00711E1A" w:rsidRDefault="00711E1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5AA75F1" w14:textId="799F5194" w:rsidR="00711E1A" w:rsidRDefault="00AD5A2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inventory under-indexed significantly in the Q2 2022 Cox Automotive Dealer Sentiment Index cited in the table above, dealers rated the current market for vehicles in their market areas better: franchised dealers at 67 and independent dealers at 50.</w:t>
      </w:r>
    </w:p>
    <w:p w14:paraId="7009A395" w14:textId="3CD57F0B" w:rsidR="00AD5A29" w:rsidRDefault="00AD5A2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577A2D5" w14:textId="3628E0D9" w:rsidR="00AD5A29" w:rsidRDefault="00AD5A2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Their sentiment for their markets by the beginning of Q3 2022 is not much better: franchised dealers at 64 and independent dealers at 50. During Q1 2022, these indices were 69 and 63, respectively, for the beginning of Q2.</w:t>
      </w:r>
    </w:p>
    <w:p w14:paraId="5946A771" w14:textId="06928640" w:rsidR="00AD5A29" w:rsidRDefault="00AD5A2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E68E4C" w14:textId="77777777" w:rsidR="00A324F8" w:rsidRDefault="00A324F8" w:rsidP="00A324F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Comparison of Indices* of Various Dealer </w:t>
      </w:r>
    </w:p>
    <w:p w14:paraId="35BAD5A3" w14:textId="30491D7C" w:rsidR="00A324F8" w:rsidRPr="00D07612" w:rsidRDefault="00A324F8" w:rsidP="00A324F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Sentiment Categories, Q3 2021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>Q2 2022</w:t>
      </w:r>
    </w:p>
    <w:tbl>
      <w:tblPr>
        <w:tblW w:w="850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1267"/>
        <w:gridCol w:w="1267"/>
        <w:gridCol w:w="1267"/>
        <w:gridCol w:w="1267"/>
      </w:tblGrid>
      <w:tr w:rsidR="00A324F8" w:rsidRPr="00D07612" w14:paraId="473B1F24" w14:textId="77777777" w:rsidTr="00A324F8">
        <w:trPr>
          <w:jc w:val="center"/>
        </w:trPr>
        <w:tc>
          <w:tcPr>
            <w:tcW w:w="34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6F864A3" w14:textId="77777777" w:rsidR="00A324F8" w:rsidRPr="00D07612" w:rsidRDefault="00A324F8" w:rsidP="00A324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2398DB4" w14:textId="254B1121" w:rsidR="00A324F8" w:rsidRDefault="00A324F8" w:rsidP="00A324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Q3 2021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6228020" w14:textId="3B99CC8D" w:rsidR="00A324F8" w:rsidRPr="00D07612" w:rsidRDefault="00A324F8" w:rsidP="00A324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Q4 2021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64EF17B" w14:textId="4193A5B2" w:rsidR="00A324F8" w:rsidRPr="00D07612" w:rsidRDefault="00A324F8" w:rsidP="00A324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Q1 2022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4FE34C5" w14:textId="3F42DBDC" w:rsidR="00A324F8" w:rsidRPr="00D07612" w:rsidRDefault="00A324F8" w:rsidP="00A324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Q2 2022</w:t>
            </w:r>
          </w:p>
        </w:tc>
      </w:tr>
      <w:tr w:rsidR="00A324F8" w:rsidRPr="00D07612" w14:paraId="78BE0002" w14:textId="77777777" w:rsidTr="00861B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2267D0C" w14:textId="739E91C4" w:rsidR="00A324F8" w:rsidRPr="00D07612" w:rsidRDefault="00A324F8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Customer Traffic 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9980E73" w14:textId="18AE5C53" w:rsidR="00A324F8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04F5E1F0" w14:textId="715B7657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03C7F39" w14:textId="627A3B38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6F2A7E" w14:textId="30E22F14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</w:tr>
      <w:tr w:rsidR="00A324F8" w:rsidRPr="00D07612" w14:paraId="0F42469E" w14:textId="77777777" w:rsidTr="00861B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C133D92" w14:textId="4D150CD3" w:rsidR="00A324F8" w:rsidRPr="00D07612" w:rsidRDefault="00A324F8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Credit Availability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92DD2CB" w14:textId="6646DAF5" w:rsidR="00A324F8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FA81D06" w14:textId="1BF36394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5586BF9F" w14:textId="25FDF5AD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DFC9DE5" w14:textId="54D0D4AA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</w:tr>
      <w:tr w:rsidR="00A324F8" w:rsidRPr="00D07612" w14:paraId="6C72B4C2" w14:textId="77777777" w:rsidTr="00861B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9BC894" w14:textId="406D70F8" w:rsidR="00A324F8" w:rsidRPr="00D07612" w:rsidRDefault="00A324F8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Operating Costs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F6AC3E8" w14:textId="1C473F43" w:rsidR="00A324F8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7A317BA" w14:textId="600988EE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D9D227B" w14:textId="1AC37A29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DEA9C15" w14:textId="1A6A6F56" w:rsidR="00A324F8" w:rsidRPr="00D07612" w:rsidRDefault="00911AE2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</w:tr>
      <w:tr w:rsidR="00A324F8" w:rsidRPr="00D07612" w14:paraId="4A64B934" w14:textId="77777777" w:rsidTr="00861B8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78D5C3C" w14:textId="4326B6E2" w:rsidR="00A324F8" w:rsidRPr="00D07612" w:rsidRDefault="00A324F8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New-Vehicle Sales Environment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51810AF" w14:textId="1A875C79" w:rsidR="00A324F8" w:rsidRPr="00D07612" w:rsidRDefault="00A324F8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084E24E4" w14:textId="19329989" w:rsidR="00A324F8" w:rsidRPr="00D07612" w:rsidRDefault="00A324F8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56C3C9F" w14:textId="0A61620D" w:rsidR="00A324F8" w:rsidRPr="00D07612" w:rsidRDefault="00A324F8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44EDD5" w14:textId="7ACBEDA6" w:rsidR="00A324F8" w:rsidRPr="00D07612" w:rsidRDefault="00A324F8" w:rsidP="00861B8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</w:tr>
    </w:tbl>
    <w:p w14:paraId="21C767CB" w14:textId="0DB3E97D" w:rsidR="00911AE2" w:rsidRDefault="00A324F8" w:rsidP="00911AE2">
      <w:pPr>
        <w:tabs>
          <w:tab w:val="left" w:pos="45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Cox Automotive</w:t>
      </w:r>
      <w:r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June 2022</w:t>
      </w:r>
      <w:r>
        <w:rPr>
          <w:rFonts w:ascii="Verdana" w:hAnsi="Verdana"/>
          <w:sz w:val="16"/>
          <w:szCs w:val="16"/>
        </w:rPr>
        <w:tab/>
      </w:r>
      <w:r w:rsidR="000D3A7E">
        <w:rPr>
          <w:rFonts w:ascii="Verdana" w:hAnsi="Verdana"/>
          <w:sz w:val="16"/>
          <w:szCs w:val="16"/>
        </w:rPr>
        <w:tab/>
      </w:r>
      <w:r w:rsidR="000D3A7E">
        <w:rPr>
          <w:rFonts w:ascii="Verdana" w:hAnsi="Verdana"/>
          <w:sz w:val="16"/>
          <w:szCs w:val="16"/>
        </w:rPr>
        <w:tab/>
      </w:r>
      <w:r w:rsidR="000D3A7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*an index of 100 is the average</w:t>
      </w:r>
      <w:r w:rsidR="00911AE2">
        <w:rPr>
          <w:rFonts w:ascii="Verdana" w:hAnsi="Verdana"/>
          <w:sz w:val="16"/>
          <w:szCs w:val="16"/>
        </w:rPr>
        <w:t xml:space="preserve"> </w:t>
      </w:r>
    </w:p>
    <w:p w14:paraId="1521DBE8" w14:textId="13D7BDAA" w:rsidR="00A324F8" w:rsidRDefault="00911AE2" w:rsidP="00911AE2">
      <w:pPr>
        <w:tabs>
          <w:tab w:val="left" w:pos="45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(color represents the change from the previous quarter)</w:t>
      </w:r>
    </w:p>
    <w:p w14:paraId="3E3503D1" w14:textId="12E0361B" w:rsidR="00AD5A29" w:rsidRDefault="00AD5A2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2F584A" w14:textId="10A72246" w:rsidR="00120A28" w:rsidRPr="000B3440" w:rsidRDefault="00120A28" w:rsidP="000B344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0B3440">
        <w:rPr>
          <w:rFonts w:ascii="Verdana" w:hAnsi="Verdana"/>
          <w:b/>
          <w:bCs/>
          <w:color w:val="0070C0"/>
          <w:sz w:val="20"/>
          <w:szCs w:val="20"/>
        </w:rPr>
        <w:lastRenderedPageBreak/>
        <w:t>Oh, For a Repeat of 2021</w:t>
      </w:r>
    </w:p>
    <w:p w14:paraId="485AD34B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3238138" w14:textId="31F97EDE" w:rsidR="000B3440" w:rsidRDefault="000B3440" w:rsidP="00120A28">
      <w:pPr>
        <w:spacing w:after="0" w:line="240" w:lineRule="auto"/>
        <w:contextualSpacing/>
        <w:mirrorIndents/>
        <w:rPr>
          <w:sz w:val="20"/>
          <w:szCs w:val="20"/>
        </w:rPr>
      </w:pPr>
      <w:r w:rsidRPr="000B3440">
        <w:rPr>
          <w:rFonts w:ascii="Verdana" w:hAnsi="Verdana"/>
          <w:sz w:val="20"/>
          <w:szCs w:val="20"/>
        </w:rPr>
        <w:t xml:space="preserve">The SAAR, or </w:t>
      </w:r>
      <w:r w:rsidRPr="000B3440">
        <w:rPr>
          <w:sz w:val="20"/>
          <w:szCs w:val="20"/>
        </w:rPr>
        <w:t>the seasonally-adjusted, annualized rate</w:t>
      </w:r>
      <w:r>
        <w:rPr>
          <w:sz w:val="20"/>
          <w:szCs w:val="20"/>
        </w:rPr>
        <w:t>, of new vehicles sold during June 2022 was 12.8 million. The 14.9 million sold during 2021 wasn’t a great number, but much better than the current level. LMC Automotive forecasts 15.0 million units for all of 2022.</w:t>
      </w:r>
    </w:p>
    <w:p w14:paraId="4B84EBE8" w14:textId="455AF447" w:rsidR="000B3440" w:rsidRDefault="000B3440" w:rsidP="00120A28">
      <w:pPr>
        <w:spacing w:after="0" w:line="240" w:lineRule="auto"/>
        <w:contextualSpacing/>
        <w:mirrorIndents/>
        <w:rPr>
          <w:sz w:val="20"/>
          <w:szCs w:val="20"/>
        </w:rPr>
      </w:pPr>
    </w:p>
    <w:p w14:paraId="4D5A2F32" w14:textId="10B6CECF" w:rsidR="000B3440" w:rsidRPr="000B3440" w:rsidRDefault="000B344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2021 was the year new vehicles’ share of dealerships’ total sales dollars began to decline, at 52.2%, compared to 55.0% during 2020. </w:t>
      </w:r>
      <w:r w:rsidR="005F5B57">
        <w:rPr>
          <w:sz w:val="20"/>
        </w:rPr>
        <w:t>M</w:t>
      </w:r>
      <w:r w:rsidR="005F5B57">
        <w:rPr>
          <w:sz w:val="20"/>
          <w:szCs w:val="20"/>
        </w:rPr>
        <w:t xml:space="preserve">ore consumers </w:t>
      </w:r>
      <w:r w:rsidR="005F5B57">
        <w:rPr>
          <w:sz w:val="20"/>
        </w:rPr>
        <w:t xml:space="preserve">were </w:t>
      </w:r>
      <w:r w:rsidR="005F5B57">
        <w:rPr>
          <w:sz w:val="20"/>
          <w:szCs w:val="20"/>
        </w:rPr>
        <w:t>buying used vehicles</w:t>
      </w:r>
      <w:r w:rsidR="005F5B57">
        <w:rPr>
          <w:sz w:val="20"/>
        </w:rPr>
        <w:t>, which increased dealerships’ share</w:t>
      </w:r>
      <w:r w:rsidR="005F5B57">
        <w:rPr>
          <w:sz w:val="20"/>
          <w:szCs w:val="20"/>
        </w:rPr>
        <w:t xml:space="preserve"> </w:t>
      </w:r>
      <w:r w:rsidR="005F5B57">
        <w:rPr>
          <w:sz w:val="20"/>
        </w:rPr>
        <w:t>from</w:t>
      </w:r>
      <w:r w:rsidR="005F5B57">
        <w:rPr>
          <w:sz w:val="20"/>
          <w:szCs w:val="20"/>
        </w:rPr>
        <w:t xml:space="preserve"> </w:t>
      </w:r>
      <w:r w:rsidR="005F5B57">
        <w:rPr>
          <w:sz w:val="20"/>
        </w:rPr>
        <w:t xml:space="preserve">33.0% during 2020 to </w:t>
      </w:r>
      <w:r w:rsidR="005F5B57">
        <w:rPr>
          <w:sz w:val="20"/>
          <w:szCs w:val="20"/>
        </w:rPr>
        <w:t>36.7% during 2021.</w:t>
      </w:r>
    </w:p>
    <w:p w14:paraId="34A3F12E" w14:textId="48072EF5" w:rsidR="000B3440" w:rsidRDefault="000B344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A144E5" w14:textId="79865C67" w:rsidR="001773DA" w:rsidRPr="000B3440" w:rsidRDefault="001773D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Dealers spent more for advertising during 2021 or a total of $8.19 billion, compared to $7.48 billion during 2020, which subsequently increased the amount of advertising per new unit sold or $602 (2021) and $582 (2020).</w:t>
      </w:r>
    </w:p>
    <w:p w14:paraId="09475301" w14:textId="6F97BC59" w:rsidR="000B3440" w:rsidRDefault="000B344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0EF70E" w14:textId="2528B977" w:rsidR="005F5B57" w:rsidRPr="00D07612" w:rsidRDefault="001773DA" w:rsidP="005F5B57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Share of Dealerships’ Advertising Spending by Medium, 2021</w:t>
      </w:r>
    </w:p>
    <w:tbl>
      <w:tblPr>
        <w:tblW w:w="290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267"/>
      </w:tblGrid>
      <w:tr w:rsidR="001773DA" w:rsidRPr="00D07612" w14:paraId="33FB9373" w14:textId="77777777" w:rsidTr="005F5B57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D5EE7D6" w14:textId="094EB73E" w:rsidR="001773DA" w:rsidRPr="00D07612" w:rsidRDefault="001773DA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Medium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CB2D754" w14:textId="3B923899" w:rsidR="001773DA" w:rsidRPr="00D07612" w:rsidRDefault="001773DA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</w:tr>
      <w:tr w:rsidR="001773DA" w:rsidRPr="00D07612" w14:paraId="327D8CD8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55465C3" w14:textId="5DC17105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328E246" w14:textId="095067C6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63.6%</w:t>
            </w:r>
          </w:p>
        </w:tc>
      </w:tr>
      <w:tr w:rsidR="001773DA" w:rsidRPr="00D07612" w14:paraId="1BA622D3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5910626" w14:textId="47E0D3CD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8B0A491" w14:textId="5BA9EEC8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12.4%</w:t>
            </w:r>
          </w:p>
        </w:tc>
      </w:tr>
      <w:tr w:rsidR="001773DA" w:rsidRPr="00D07612" w14:paraId="7C1A337A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425F896" w14:textId="202E7BF4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Radio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FBE8C53" w14:textId="3C0101EF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9.8%</w:t>
            </w:r>
          </w:p>
        </w:tc>
      </w:tr>
      <w:tr w:rsidR="001773DA" w:rsidRPr="00D07612" w14:paraId="37F59BA0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8AA17D2" w14:textId="0376DE23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Direct mail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060ADBB" w14:textId="0C74D1E3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8.2%</w:t>
            </w:r>
          </w:p>
        </w:tc>
      </w:tr>
      <w:tr w:rsidR="001773DA" w:rsidRPr="00D07612" w14:paraId="48088E6B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F92AB74" w14:textId="3A7EC7B8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Newspaper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A3756C5" w14:textId="46832199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4.5%</w:t>
            </w:r>
          </w:p>
        </w:tc>
      </w:tr>
      <w:tr w:rsidR="001773DA" w:rsidRPr="00D07612" w14:paraId="5A0966CE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B4C8A52" w14:textId="3E9F05B4" w:rsidR="001773DA" w:rsidRPr="00D07612" w:rsidRDefault="001773DA" w:rsidP="00A328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26AE615" w14:textId="6C08FEFB" w:rsidR="001773DA" w:rsidRPr="00D07612" w:rsidRDefault="001773DA" w:rsidP="00A3284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1.5%</w:t>
            </w:r>
          </w:p>
        </w:tc>
      </w:tr>
    </w:tbl>
    <w:p w14:paraId="2B218B9C" w14:textId="32245D2D" w:rsidR="001773DA" w:rsidRDefault="00C315C4" w:rsidP="005F5B57">
      <w:pPr>
        <w:tabs>
          <w:tab w:val="left" w:pos="324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National Automobile Dealers Association</w:t>
      </w:r>
      <w:r w:rsidR="001773DA" w:rsidRPr="00D07612">
        <w:rPr>
          <w:rFonts w:ascii="Verdana" w:hAnsi="Verdana"/>
          <w:sz w:val="16"/>
          <w:szCs w:val="16"/>
        </w:rPr>
        <w:t xml:space="preserve">, </w:t>
      </w:r>
      <w:r w:rsidR="001773DA">
        <w:rPr>
          <w:rFonts w:ascii="Verdana" w:hAnsi="Verdana"/>
          <w:sz w:val="16"/>
          <w:szCs w:val="16"/>
        </w:rPr>
        <w:t>J</w:t>
      </w:r>
      <w:r>
        <w:rPr>
          <w:rFonts w:ascii="Verdana" w:hAnsi="Verdana"/>
          <w:sz w:val="16"/>
          <w:szCs w:val="16"/>
        </w:rPr>
        <w:t xml:space="preserve">anuary </w:t>
      </w:r>
      <w:r w:rsidR="001773DA">
        <w:rPr>
          <w:rFonts w:ascii="Verdana" w:hAnsi="Verdana"/>
          <w:sz w:val="16"/>
          <w:szCs w:val="16"/>
        </w:rPr>
        <w:t>2022</w:t>
      </w:r>
    </w:p>
    <w:p w14:paraId="294B9CC5" w14:textId="77777777" w:rsidR="001773DA" w:rsidRPr="000B3440" w:rsidRDefault="001773DA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F68B7DD" w14:textId="1068385F" w:rsidR="00120A28" w:rsidRPr="00C315C4" w:rsidRDefault="00120A28" w:rsidP="00C315C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315C4">
        <w:rPr>
          <w:rFonts w:ascii="Verdana" w:hAnsi="Verdana"/>
          <w:b/>
          <w:bCs/>
          <w:color w:val="0070C0"/>
          <w:sz w:val="20"/>
          <w:szCs w:val="20"/>
        </w:rPr>
        <w:t>Price Pressures on Consumers</w:t>
      </w:r>
    </w:p>
    <w:p w14:paraId="4F628E66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20D95B" w14:textId="77777777" w:rsidR="00C315C4" w:rsidRDefault="00C315C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Cox Automotive reported via data from its company, Kelley Blue Book, the average new-vehicle transaction price during May was $47,148, the second-most after December 2021 ($47,202). The average for May increased 1% from April, but 13.5% from May 2021.</w:t>
      </w:r>
    </w:p>
    <w:p w14:paraId="3EE48BCF" w14:textId="77777777" w:rsidR="00C315C4" w:rsidRDefault="00C315C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3968481" w14:textId="462B9143" w:rsidR="00C315C4" w:rsidRDefault="008B1C3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buy a luxury vehicle during May 2022, consumers had to pay an average of $65,379, which was slightly less than April, but was $1,071 more than the </w:t>
      </w:r>
      <w:r w:rsidR="005F5B57">
        <w:rPr>
          <w:rFonts w:ascii="Verdana" w:hAnsi="Verdana"/>
          <w:sz w:val="20"/>
          <w:szCs w:val="20"/>
        </w:rPr>
        <w:t xml:space="preserve">average </w:t>
      </w:r>
      <w:r>
        <w:rPr>
          <w:rFonts w:ascii="Verdana" w:hAnsi="Verdana"/>
          <w:sz w:val="20"/>
          <w:szCs w:val="20"/>
        </w:rPr>
        <w:t>sticker price, indicating how significantly demand exceeded</w:t>
      </w:r>
      <w:r w:rsidR="00C315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supply. </w:t>
      </w:r>
    </w:p>
    <w:p w14:paraId="67B1B1A3" w14:textId="26F8B087" w:rsidR="008B1C30" w:rsidRDefault="008B1C3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D98FD9E" w14:textId="42D6FB35" w:rsidR="008B1C30" w:rsidRDefault="008B1C3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Kelley Blue Book’s Q1 2022 Brand Watch revealed more consumers were considering buying a sedan instead of a luxury vehicle or SUV, because of substantial new-vehicle price increases, the cost of gasoline and increasing interest loan rates.</w:t>
      </w:r>
    </w:p>
    <w:p w14:paraId="1CFCFAB9" w14:textId="77777777" w:rsidR="00C315C4" w:rsidRDefault="00C315C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1AB1EB" w14:textId="77777777" w:rsidR="008C6EC0" w:rsidRDefault="008C6EC0" w:rsidP="008C6EC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Comparison of Average New-Vehicle Transaction Prices for </w:t>
      </w:r>
    </w:p>
    <w:p w14:paraId="61E690EC" w14:textId="44EFC398" w:rsidR="008C6EC0" w:rsidRPr="00D07612" w:rsidRDefault="008C6EC0" w:rsidP="008C6EC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Selected Manufacturers, May 2022 vs. May 2021</w:t>
      </w:r>
    </w:p>
    <w:tbl>
      <w:tblPr>
        <w:tblW w:w="573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335"/>
        <w:gridCol w:w="1339"/>
        <w:gridCol w:w="1339"/>
      </w:tblGrid>
      <w:tr w:rsidR="008C6EC0" w:rsidRPr="00D07612" w14:paraId="79E3C19E" w14:textId="77777777" w:rsidTr="005F5B57">
        <w:trPr>
          <w:jc w:val="center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5529668" w14:textId="27D7C0D8" w:rsidR="008C6EC0" w:rsidRPr="00D07612" w:rsidRDefault="008C6EC0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Manufacturer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C610A78" w14:textId="076F50DC" w:rsidR="008C6EC0" w:rsidRDefault="008C6EC0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May 2022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12C552A" w14:textId="798F89E7" w:rsidR="008C6EC0" w:rsidRDefault="008C6EC0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May 2021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1DB6CA5" w14:textId="0C527B06" w:rsidR="008C6EC0" w:rsidRPr="00D07612" w:rsidRDefault="008C6EC0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</w:t>
            </w:r>
          </w:p>
        </w:tc>
      </w:tr>
      <w:tr w:rsidR="008C6EC0" w:rsidRPr="00D07612" w14:paraId="7271D220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87B5C6" w14:textId="13290BAD" w:rsidR="008C6EC0" w:rsidRPr="00D07612" w:rsidRDefault="008C6EC0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industry</w:t>
            </w:r>
          </w:p>
        </w:tc>
        <w:tc>
          <w:tcPr>
            <w:tcW w:w="133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E552BA5" w14:textId="66F37763" w:rsidR="008C6EC0" w:rsidRDefault="008C6EC0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$44,254</w:t>
            </w:r>
          </w:p>
        </w:tc>
        <w:tc>
          <w:tcPr>
            <w:tcW w:w="133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vAlign w:val="center"/>
          </w:tcPr>
          <w:p w14:paraId="1B65EF7F" w14:textId="369DEC6C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$38,694</w:t>
            </w:r>
          </w:p>
        </w:tc>
        <w:tc>
          <w:tcPr>
            <w:tcW w:w="133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478340D" w14:textId="375EC43B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+14.0%</w:t>
            </w:r>
          </w:p>
        </w:tc>
      </w:tr>
      <w:tr w:rsidR="008C6EC0" w:rsidRPr="00D07612" w14:paraId="1D351D5B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3971C0D" w14:textId="02F6C652" w:rsidR="008C6EC0" w:rsidRPr="00D07612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Ford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71BCD1B" w14:textId="371C5889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$51,027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2B4DA04" w14:textId="4CF33D56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$43,388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09848FE" w14:textId="0C8E47E2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+17.0%</w:t>
            </w:r>
          </w:p>
        </w:tc>
      </w:tr>
      <w:tr w:rsidR="008C6EC0" w:rsidRPr="00D07612" w14:paraId="3FA10BCD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5F21EB8" w14:textId="453879FA" w:rsidR="008C6EC0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4916425" w14:textId="1B3B0C36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$50,566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7D8CD1B" w14:textId="2B035734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$46,352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8BB971D" w14:textId="28078AE5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+9.1%</w:t>
            </w:r>
          </w:p>
        </w:tc>
      </w:tr>
      <w:tr w:rsidR="008C6EC0" w:rsidRPr="00D07612" w14:paraId="4C36351D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0002F54" w14:textId="03116E29" w:rsidR="008C6EC0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Stellantis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2246559" w14:textId="6682414C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$53,370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13481976" w14:textId="07CB62CB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$46,593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950CF87" w14:textId="5F7681C2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+15.0%</w:t>
            </w:r>
          </w:p>
        </w:tc>
      </w:tr>
      <w:tr w:rsidR="008C6EC0" w:rsidRPr="00D07612" w14:paraId="2688FA68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94AF954" w14:textId="3CA8993F" w:rsidR="008C6EC0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Toyota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C4BD910" w14:textId="4D5EBE5F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$39,073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DC5D0DE" w14:textId="379349AB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$36,641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4D33AF1" w14:textId="5F4A8C85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+6.6%</w:t>
            </w:r>
          </w:p>
        </w:tc>
      </w:tr>
      <w:tr w:rsidR="008C6EC0" w:rsidRPr="00D07612" w14:paraId="429C44ED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9B3E0E3" w14:textId="14CD8854" w:rsidR="008C6EC0" w:rsidRPr="00D07612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Honda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4C71A1E" w14:textId="2AD79B1B" w:rsidR="008C6EC0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$37,352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52DD2C5" w14:textId="36F14BE5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$32,145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0541A67A" w14:textId="29F9ABEE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+16.0%</w:t>
            </w:r>
          </w:p>
        </w:tc>
      </w:tr>
      <w:tr w:rsidR="008C6EC0" w:rsidRPr="00D07612" w14:paraId="744700EA" w14:textId="77777777" w:rsidTr="005F5B5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00D1131" w14:textId="64AE57FA" w:rsidR="008C6EC0" w:rsidRPr="00D07612" w:rsidRDefault="00255ED3" w:rsidP="005F5B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Nissan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0593728" w14:textId="5036A054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$36,156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vAlign w:val="center"/>
          </w:tcPr>
          <w:p w14:paraId="2839D9F6" w14:textId="715C6AC8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$31,031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49A5AF68" w14:textId="31206823" w:rsidR="008C6EC0" w:rsidRPr="00D07612" w:rsidRDefault="00255ED3" w:rsidP="005F5B5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+17.0%</w:t>
            </w:r>
          </w:p>
        </w:tc>
      </w:tr>
    </w:tbl>
    <w:p w14:paraId="05B49563" w14:textId="77FE4C85" w:rsidR="00C315C4" w:rsidRDefault="00255ED3" w:rsidP="00255ED3">
      <w:pPr>
        <w:tabs>
          <w:tab w:val="left" w:pos="180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Automotive News (TrueCar)</w:t>
      </w:r>
      <w:r w:rsidR="008C6EC0" w:rsidRPr="00D07612">
        <w:rPr>
          <w:rFonts w:ascii="Verdana" w:hAnsi="Verdana"/>
          <w:sz w:val="16"/>
          <w:szCs w:val="16"/>
        </w:rPr>
        <w:t xml:space="preserve">, </w:t>
      </w:r>
      <w:r w:rsidR="008C6EC0">
        <w:rPr>
          <w:rFonts w:ascii="Verdana" w:hAnsi="Verdana"/>
          <w:sz w:val="16"/>
          <w:szCs w:val="16"/>
        </w:rPr>
        <w:t>June 2022</w:t>
      </w:r>
    </w:p>
    <w:p w14:paraId="12FDB53A" w14:textId="302B3C49" w:rsidR="00120A28" w:rsidRPr="00EA7047" w:rsidRDefault="00120A28" w:rsidP="00EA704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EA7047">
        <w:rPr>
          <w:rFonts w:ascii="Verdana" w:hAnsi="Verdana"/>
          <w:b/>
          <w:bCs/>
          <w:color w:val="0070C0"/>
          <w:sz w:val="20"/>
          <w:szCs w:val="20"/>
        </w:rPr>
        <w:lastRenderedPageBreak/>
        <w:t>Auto Loan Market Constrictions</w:t>
      </w:r>
    </w:p>
    <w:p w14:paraId="2A1E2134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3C9A035" w14:textId="35CB5EE4" w:rsidR="00EA7047" w:rsidRDefault="00EA704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Cox Automotive’s Dealertrack Credit Availability Index for May 2022 decreased 0.8% to 105.4</w:t>
      </w:r>
      <w:r w:rsidR="007F25B7">
        <w:rPr>
          <w:rFonts w:ascii="Verdana" w:hAnsi="Verdana"/>
          <w:sz w:val="20"/>
          <w:szCs w:val="20"/>
        </w:rPr>
        <w:t>, making it more difficult for consumers to obtain an auto loan; however, credit access was more available YOY at 7.9%, with all new loans even easier at 8.2% YOY.</w:t>
      </w:r>
    </w:p>
    <w:p w14:paraId="0F50C550" w14:textId="77777777" w:rsidR="00EA7047" w:rsidRDefault="00EA704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31DB83" w14:textId="1AF04D06" w:rsidR="00EA7047" w:rsidRDefault="003E6696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auto loans are available, a new car loan</w:t>
      </w:r>
      <w:r w:rsidR="00AA21F2">
        <w:rPr>
          <w:rFonts w:ascii="Verdana" w:hAnsi="Verdana"/>
          <w:sz w:val="20"/>
          <w:szCs w:val="20"/>
        </w:rPr>
        <w:t xml:space="preserve"> interest rate</w:t>
      </w:r>
      <w:r>
        <w:rPr>
          <w:rFonts w:ascii="Verdana" w:hAnsi="Verdana"/>
          <w:sz w:val="20"/>
          <w:szCs w:val="20"/>
        </w:rPr>
        <w:t xml:space="preserve"> for consumers with the best credit rating (750 or more) was 7.60% for the week of 6/6/22.</w:t>
      </w:r>
      <w:r w:rsidR="00AA21F2">
        <w:rPr>
          <w:rFonts w:ascii="Verdana" w:hAnsi="Verdana"/>
          <w:sz w:val="20"/>
          <w:szCs w:val="20"/>
        </w:rPr>
        <w:t xml:space="preserve"> For those with an average credit rating (700–749</w:t>
      </w:r>
      <w:r w:rsidR="005F5B57">
        <w:rPr>
          <w:rFonts w:ascii="Verdana" w:hAnsi="Verdana"/>
          <w:sz w:val="20"/>
          <w:szCs w:val="20"/>
        </w:rPr>
        <w:t>)</w:t>
      </w:r>
      <w:r w:rsidR="00AA21F2">
        <w:rPr>
          <w:rFonts w:ascii="Verdana" w:hAnsi="Verdana"/>
          <w:sz w:val="20"/>
          <w:szCs w:val="20"/>
        </w:rPr>
        <w:t>, the interest rate was significant</w:t>
      </w:r>
      <w:r w:rsidR="00ED7EA2">
        <w:rPr>
          <w:rFonts w:ascii="Verdana" w:hAnsi="Verdana"/>
          <w:sz w:val="20"/>
          <w:szCs w:val="20"/>
        </w:rPr>
        <w:t>ly</w:t>
      </w:r>
      <w:r w:rsidR="00AA21F2">
        <w:rPr>
          <w:rFonts w:ascii="Verdana" w:hAnsi="Verdana"/>
          <w:sz w:val="20"/>
          <w:szCs w:val="20"/>
        </w:rPr>
        <w:t xml:space="preserve"> more at 10.30%.</w:t>
      </w:r>
    </w:p>
    <w:p w14:paraId="79B5BDAC" w14:textId="77777777" w:rsidR="00AA21F2" w:rsidRDefault="00AA21F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6632122" w14:textId="2A0CC8F4" w:rsidR="00AA21F2" w:rsidRDefault="00AA21F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a March 2022 Morning Consult survey,</w:t>
      </w:r>
      <w:r>
        <w:rPr>
          <w:rFonts w:ascii="Verdana" w:hAnsi="Verdana"/>
          <w:sz w:val="20"/>
          <w:szCs w:val="20"/>
        </w:rPr>
        <w:t xml:space="preserve"> 59% of respondents said </w:t>
      </w:r>
      <w:r w:rsidR="005F5B57">
        <w:rPr>
          <w:rFonts w:ascii="Verdana" w:hAnsi="Verdana"/>
          <w:sz w:val="20"/>
          <w:szCs w:val="20"/>
        </w:rPr>
        <w:t xml:space="preserve">they </w:t>
      </w:r>
      <w:r>
        <w:rPr>
          <w:rFonts w:ascii="Verdana" w:hAnsi="Verdana"/>
          <w:sz w:val="20"/>
          <w:szCs w:val="20"/>
        </w:rPr>
        <w:t>would prefer to arrange financing at a dealership, compared to 26% preferring financing online; however, 63% would seek vehicle information online, compared to 46% at a dealership.</w:t>
      </w:r>
    </w:p>
    <w:p w14:paraId="5C70E8BB" w14:textId="729D351B" w:rsidR="00AA21F2" w:rsidRDefault="00AA21F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54C168" w14:textId="77777777" w:rsidR="009337E5" w:rsidRDefault="009337E5" w:rsidP="009337E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Indices of Adults 18+ Who Have a Vehicle Loan, </w:t>
      </w:r>
    </w:p>
    <w:p w14:paraId="1F8C6A61" w14:textId="71CFF17C" w:rsidR="009337E5" w:rsidRPr="00A65A1A" w:rsidRDefault="009337E5" w:rsidP="009337E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by </w:t>
      </w:r>
      <w:r>
        <w:rPr>
          <w:rFonts w:ascii="Verdana" w:hAnsi="Verdana"/>
          <w:b/>
          <w:sz w:val="20"/>
          <w:szCs w:val="20"/>
        </w:rPr>
        <w:t>Type of Vehicle Owned and Generation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65A1A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1</w:t>
      </w:r>
    </w:p>
    <w:tbl>
      <w:tblPr>
        <w:tblW w:w="1018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55"/>
        <w:gridCol w:w="1440"/>
        <w:gridCol w:w="1440"/>
        <w:gridCol w:w="1440"/>
        <w:gridCol w:w="1440"/>
      </w:tblGrid>
      <w:tr w:rsidR="009337E5" w:rsidRPr="00A65A1A" w14:paraId="17611598" w14:textId="77777777" w:rsidTr="009337E5">
        <w:trPr>
          <w:jc w:val="center"/>
        </w:trPr>
        <w:tc>
          <w:tcPr>
            <w:tcW w:w="2970" w:type="dxa"/>
            <w:tcBorders>
              <w:top w:val="single" w:sz="12" w:space="0" w:color="auto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8D9DC89" w14:textId="54BA6FF5" w:rsidR="009337E5" w:rsidRPr="00A65A1A" w:rsidRDefault="009337E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Vehicle Ownership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8EE50AF" w14:textId="4B0120DA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99A060B" w14:textId="3B4344B3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4E69DE0" w14:textId="34727791" w:rsidR="009337E5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E4377F5" w14:textId="7153D47B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D5DED2F" w14:textId="3A29F2A5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6F502D" w:rsidRPr="00A65A1A" w14:paraId="393299B5" w14:textId="77777777" w:rsidTr="006F502D">
        <w:trPr>
          <w:jc w:val="center"/>
        </w:trPr>
        <w:tc>
          <w:tcPr>
            <w:tcW w:w="297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28622E4" w14:textId="08C25583" w:rsidR="009337E5" w:rsidRPr="00A65A1A" w:rsidRDefault="009337E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Any domestic brand</w:t>
            </w:r>
          </w:p>
        </w:tc>
        <w:tc>
          <w:tcPr>
            <w:tcW w:w="145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EF540EB" w14:textId="3A05ECCE" w:rsidR="009337E5" w:rsidRPr="000F1C6D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1C86B23" w14:textId="7A1B186E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0C3008C" w14:textId="0843A9AB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3F8C4BE" w14:textId="0F90FA2D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9A06440" w14:textId="1A32554B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</w:tr>
      <w:tr w:rsidR="009337E5" w:rsidRPr="00A65A1A" w14:paraId="2BF856D1" w14:textId="77777777" w:rsidTr="006F502D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53F7FE8" w14:textId="72B8B537" w:rsidR="009337E5" w:rsidRPr="00A65A1A" w:rsidRDefault="009337E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Any foreign brand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01AC83D" w14:textId="7AD4B71B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E80A7A6" w14:textId="23AEA6C3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8AC5CD4" w14:textId="7DF75B62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771FC78" w14:textId="789CED8C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AEF5E0F" w14:textId="5F3245AA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</w:tr>
      <w:tr w:rsidR="006F502D" w:rsidRPr="00A65A1A" w14:paraId="5D4BF2F0" w14:textId="77777777" w:rsidTr="006F502D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4798EED" w14:textId="43F37067" w:rsidR="009337E5" w:rsidRPr="00A65A1A" w:rsidRDefault="009337E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Any Japanese/Asian brand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66CF356" w14:textId="004F21CD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CC010E5" w14:textId="316305F7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5F54F52F" w14:textId="2E6C54F0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94EFDAA" w14:textId="342FFA66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6664AAF" w14:textId="51B410C7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</w:tr>
      <w:tr w:rsidR="009337E5" w:rsidRPr="00A65A1A" w14:paraId="73E1BAA3" w14:textId="77777777" w:rsidTr="006F502D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5B3D973" w14:textId="17593817" w:rsidR="009337E5" w:rsidRPr="00A65A1A" w:rsidRDefault="009337E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Any European brand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FA9D8B6" w14:textId="5D656810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1EB7FFA" w14:textId="6C9EC176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2998D0F" w14:textId="59F7D183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7C56039" w14:textId="5137082F" w:rsidR="009337E5" w:rsidRPr="00A65A1A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095A81" w14:textId="4150CAD6" w:rsidR="009337E5" w:rsidRPr="008C1BE9" w:rsidRDefault="009337E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</w:tr>
    </w:tbl>
    <w:p w14:paraId="35C1ECC3" w14:textId="33C4534E" w:rsidR="009337E5" w:rsidRDefault="009337E5" w:rsidP="009337E5">
      <w:pPr>
        <w:spacing w:after="0" w:line="240" w:lineRule="auto"/>
        <w:ind w:hanging="360"/>
        <w:contextualSpacing/>
        <w:mirrorIndents/>
        <w:rPr>
          <w:rFonts w:ascii="Verdana" w:hAnsi="Verdana"/>
          <w:sz w:val="20"/>
          <w:szCs w:val="20"/>
        </w:rPr>
      </w:pPr>
      <w:r w:rsidRPr="00B74946">
        <w:rPr>
          <w:sz w:val="16"/>
          <w:szCs w:val="16"/>
        </w:rPr>
        <w:t>Based on The Media Audit</w:t>
      </w:r>
      <w:r>
        <w:rPr>
          <w:sz w:val="16"/>
          <w:szCs w:val="16"/>
        </w:rPr>
        <w:t xml:space="preserve">’s </w:t>
      </w:r>
      <w:r w:rsidRPr="00B74946">
        <w:rPr>
          <w:sz w:val="16"/>
          <w:szCs w:val="16"/>
        </w:rPr>
        <w:t>2021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Aggregate Report of 49 consumer/market </w:t>
      </w:r>
      <w:r>
        <w:rPr>
          <w:sz w:val="16"/>
          <w:szCs w:val="16"/>
        </w:rPr>
        <w:t>surveys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140B5196" w14:textId="114595E0" w:rsidR="00AA21F2" w:rsidRDefault="00AA21F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0EC8508" w14:textId="7909CD7E" w:rsidR="00120A28" w:rsidRPr="007D0C77" w:rsidRDefault="00120A28" w:rsidP="007D0C7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D0C77">
        <w:rPr>
          <w:rFonts w:ascii="Verdana" w:hAnsi="Verdana"/>
          <w:b/>
          <w:bCs/>
          <w:color w:val="0070C0"/>
          <w:sz w:val="20"/>
          <w:szCs w:val="20"/>
        </w:rPr>
        <w:t xml:space="preserve">SUV, Minivan and Fleet </w:t>
      </w:r>
      <w:r w:rsidR="00E607BE">
        <w:rPr>
          <w:rFonts w:ascii="Verdana" w:hAnsi="Verdana"/>
          <w:b/>
          <w:bCs/>
          <w:color w:val="0070C0"/>
          <w:sz w:val="20"/>
          <w:szCs w:val="20"/>
        </w:rPr>
        <w:t>Sub-</w:t>
      </w:r>
      <w:r w:rsidRPr="007D0C77">
        <w:rPr>
          <w:rFonts w:ascii="Verdana" w:hAnsi="Verdana"/>
          <w:b/>
          <w:bCs/>
          <w:color w:val="0070C0"/>
          <w:sz w:val="20"/>
          <w:szCs w:val="20"/>
        </w:rPr>
        <w:t>Sectors</w:t>
      </w:r>
    </w:p>
    <w:p w14:paraId="6CB86623" w14:textId="6B1B809A" w:rsid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218AB6" w14:textId="63D02453" w:rsidR="007D0C77" w:rsidRDefault="00E607BE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SUV sales have been similarly affected by </w:t>
      </w:r>
      <w:r w:rsidR="00ED7EA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lack of inventory at dealerships as all other vehicle sub-sectors. The latest data from Good Car/Bad Car shows </w:t>
      </w:r>
      <w:r w:rsidR="0085723D">
        <w:rPr>
          <w:rFonts w:ascii="Verdana" w:hAnsi="Verdana"/>
          <w:sz w:val="20"/>
          <w:szCs w:val="20"/>
        </w:rPr>
        <w:t>the Toyota RAV4 was the top seller during Q1 2022 at 101,192 units, but that was 11.4% less YOY.</w:t>
      </w:r>
      <w:r>
        <w:rPr>
          <w:rFonts w:ascii="Verdana" w:hAnsi="Verdana"/>
          <w:sz w:val="20"/>
          <w:szCs w:val="20"/>
        </w:rPr>
        <w:t xml:space="preserve">  </w:t>
      </w:r>
    </w:p>
    <w:p w14:paraId="5B46AE5B" w14:textId="3EF781D3" w:rsidR="007D0C77" w:rsidRDefault="007D0C7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83C4589" w14:textId="024E809B" w:rsidR="00E607BE" w:rsidRDefault="00E607BE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More units of two minivan models were sold during Q1 2022 than Q1 2021: Chrysler Pacifica at 26,366 and 10,989, respectively, and </w:t>
      </w:r>
      <w:r w:rsidR="00DC0A5C">
        <w:rPr>
          <w:rFonts w:ascii="Verdana" w:hAnsi="Verdana"/>
          <w:sz w:val="20"/>
          <w:szCs w:val="20"/>
        </w:rPr>
        <w:t>Kia Carnival at 2,387 and 2,040, respectively. Sales of the popular Honda Odyssey plummeted, or 11,210 and 20,066 units, respectively.</w:t>
      </w:r>
    </w:p>
    <w:p w14:paraId="18A8591B" w14:textId="0D6F2D64" w:rsidR="00DC0A5C" w:rsidRDefault="00DC0A5C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2D11DE" w14:textId="621E8D15" w:rsidR="00DC0A5C" w:rsidRDefault="000C0535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the travel industry still recovering, Cox Automotive reports rental fleet sales decreased 33.4% YOY during May 2022. Government fleet sales increased </w:t>
      </w:r>
      <w:r w:rsidR="00BB2B01">
        <w:rPr>
          <w:rFonts w:ascii="Verdana" w:hAnsi="Verdana"/>
          <w:sz w:val="20"/>
          <w:szCs w:val="20"/>
        </w:rPr>
        <w:t>5.9% YOY while commercial fleet sales were virtually unchanged YOY at a 0.1% decrease.</w:t>
      </w:r>
    </w:p>
    <w:p w14:paraId="491745A8" w14:textId="1CD80E82" w:rsidR="00BB2B01" w:rsidRDefault="00BB2B01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7F1614" w14:textId="50CC19BB" w:rsidR="004A7F24" w:rsidRPr="00CC1ECE" w:rsidRDefault="00F81657" w:rsidP="004A7F24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Top-10 SUV Models by Units Sold</w:t>
      </w:r>
      <w:r w:rsidR="000908CD">
        <w:rPr>
          <w:rFonts w:ascii="Verdana" w:hAnsi="Verdana"/>
          <w:b/>
          <w:sz w:val="20"/>
          <w:szCs w:val="20"/>
        </w:rPr>
        <w:t xml:space="preserve"> and YOY Change</w:t>
      </w:r>
      <w:r>
        <w:rPr>
          <w:rFonts w:ascii="Verdana" w:hAnsi="Verdana"/>
          <w:b/>
          <w:sz w:val="20"/>
          <w:szCs w:val="20"/>
        </w:rPr>
        <w:t xml:space="preserve"> During </w:t>
      </w:r>
      <w:r>
        <w:rPr>
          <w:rFonts w:ascii="Verdana" w:hAnsi="Verdana"/>
          <w:b/>
          <w:sz w:val="20"/>
          <w:szCs w:val="20"/>
        </w:rPr>
        <w:t>Q1 2022</w:t>
      </w:r>
    </w:p>
    <w:tbl>
      <w:tblPr>
        <w:tblW w:w="1088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1267"/>
        <w:gridCol w:w="1267"/>
        <w:gridCol w:w="2909"/>
        <w:gridCol w:w="1267"/>
        <w:gridCol w:w="1267"/>
      </w:tblGrid>
      <w:tr w:rsidR="00F81657" w:rsidRPr="00DB5378" w14:paraId="346B3994" w14:textId="77777777" w:rsidTr="002A3782">
        <w:trPr>
          <w:jc w:val="center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2EED1101" w14:textId="6EA23236" w:rsidR="00F81657" w:rsidRPr="00DB5378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SUV Model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6FD70C77" w14:textId="685D6839" w:rsidR="00F81657" w:rsidRPr="00DB5378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Units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7B2319F" w14:textId="6B8ECE2F" w:rsidR="00F81657" w:rsidRPr="00DB5378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6A268DEE" w14:textId="293836B8" w:rsidR="00F81657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SUV Model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497ACADB" w14:textId="6C9809A2" w:rsidR="00F81657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Units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641FD640" w14:textId="1FB66F0F" w:rsidR="00F81657" w:rsidRDefault="00F81657" w:rsidP="002A37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</w:tr>
      <w:tr w:rsidR="00F81657" w:rsidRPr="00DB5378" w14:paraId="0BBA0834" w14:textId="77777777" w:rsidTr="002A37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108CC4ED" w14:textId="56B1B4C6" w:rsidR="00F81657" w:rsidRPr="00DB5378" w:rsidRDefault="00F81657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Toyota RAV4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vAlign w:val="center"/>
          </w:tcPr>
          <w:p w14:paraId="0C6A71B3" w14:textId="1CF54DE7" w:rsidR="00F81657" w:rsidRPr="00DB5378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101,192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036B69A1" w14:textId="24A8F4A7" w:rsidR="00F81657" w:rsidRPr="00DB5378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-11.4%</w:t>
            </w:r>
          </w:p>
        </w:tc>
        <w:tc>
          <w:tcPr>
            <w:tcW w:w="290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4ABFFB70" w14:textId="63D00649" w:rsidR="00F81657" w:rsidRDefault="004A7F24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Mazda CX-5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vAlign w:val="center"/>
          </w:tcPr>
          <w:p w14:paraId="51B3C74F" w14:textId="73A04334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50,653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21DC922" w14:textId="1CFC76C8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+39.8%</w:t>
            </w:r>
          </w:p>
        </w:tc>
      </w:tr>
      <w:tr w:rsidR="00F81657" w:rsidRPr="00DB5378" w14:paraId="71092897" w14:textId="77777777" w:rsidTr="002A37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7AD9671D" w14:textId="7660D5FB" w:rsidR="00F81657" w:rsidRDefault="00F81657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Jeep Grand Cherokee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7D98886A" w14:textId="0EAAFB9F" w:rsidR="00F81657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75,116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155B488" w14:textId="52B0FCD3" w:rsidR="00F81657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+36.1%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FFB7596" w14:textId="1EC20562" w:rsidR="00F81657" w:rsidRDefault="004A7F24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Jeep Wrangler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7A2E420E" w14:textId="4926DACC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45,553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CDACD76" w14:textId="53BF7406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-8.2%</w:t>
            </w:r>
          </w:p>
        </w:tc>
      </w:tr>
      <w:tr w:rsidR="00F81657" w:rsidRPr="00DB5378" w14:paraId="0599BE04" w14:textId="77777777" w:rsidTr="002A37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449F3044" w14:textId="77CA95D7" w:rsidR="00F81657" w:rsidRDefault="00F81657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Toyota Highlander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7045CF50" w14:textId="787D4972" w:rsidR="00F81657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66,026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2A0B8290" w14:textId="05E84AFB" w:rsidR="00F81657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+3.4%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69C8A55" w14:textId="23003802" w:rsidR="00F81657" w:rsidRDefault="004A7F24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Nissan Rogue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7F4D5B86" w14:textId="4F7F29C2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45,235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E73A551" w14:textId="298E43EC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-47.8%</w:t>
            </w:r>
          </w:p>
        </w:tc>
      </w:tr>
      <w:tr w:rsidR="00F81657" w:rsidRPr="00DB5378" w14:paraId="1B15941A" w14:textId="77777777" w:rsidTr="002A37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761B4BA8" w14:textId="24455573" w:rsidR="00F81657" w:rsidRPr="00DB5378" w:rsidRDefault="00F81657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Honda CR-V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464241BB" w14:textId="50765F7A" w:rsidR="00F81657" w:rsidRPr="00DB5378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58,579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103272AE" w14:textId="124F571F" w:rsidR="00F81657" w:rsidRPr="00DB5378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-37.5%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A66406B" w14:textId="19D712B4" w:rsidR="00F81657" w:rsidRDefault="004A7F24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Ford Explorer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5464036E" w14:textId="7EB75F3A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42,736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3FC24674" w14:textId="6F156DB1" w:rsidR="00F81657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-35.0%</w:t>
            </w:r>
          </w:p>
        </w:tc>
      </w:tr>
      <w:tr w:rsidR="00F81657" w:rsidRPr="00DB5378" w14:paraId="083455B3" w14:textId="77777777" w:rsidTr="002A378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70C0"/>
            </w:tcBorders>
            <w:vAlign w:val="center"/>
          </w:tcPr>
          <w:p w14:paraId="25DF799F" w14:textId="126258AC" w:rsidR="00F81657" w:rsidRPr="00DB5378" w:rsidRDefault="00F81657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Chevrolet Equinox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vAlign w:val="center"/>
          </w:tcPr>
          <w:p w14:paraId="1A98C6B4" w14:textId="26DF83AC" w:rsidR="00F81657" w:rsidRPr="00DB5378" w:rsidRDefault="00F81657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56,037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094989E1" w14:textId="19220CFA" w:rsidR="00F81657" w:rsidRPr="00DB5378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-11.4%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653B2A4B" w14:textId="457FB20D" w:rsidR="00F81657" w:rsidRPr="00DB5378" w:rsidRDefault="004A7F24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Honda HR-V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vAlign w:val="center"/>
          </w:tcPr>
          <w:p w14:paraId="27C6C846" w14:textId="2C64CED0" w:rsidR="00F81657" w:rsidRPr="00DB5378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42,168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29D269DF" w14:textId="21FB52F9" w:rsidR="00F81657" w:rsidRPr="00DB5378" w:rsidRDefault="004A7F24" w:rsidP="002A378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+61.1%</w:t>
            </w:r>
          </w:p>
        </w:tc>
      </w:tr>
    </w:tbl>
    <w:p w14:paraId="5AC864A8" w14:textId="63122019" w:rsidR="00F81657" w:rsidRDefault="000908CD" w:rsidP="004A7F24">
      <w:pPr>
        <w:spacing w:after="0" w:line="240" w:lineRule="auto"/>
        <w:ind w:hanging="720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Good Car/Bad Car</w:t>
      </w:r>
      <w:r w:rsidR="00F81657">
        <w:rPr>
          <w:rFonts w:ascii="Verdana" w:hAnsi="Verdana"/>
          <w:iCs/>
          <w:sz w:val="16"/>
          <w:szCs w:val="16"/>
        </w:rPr>
        <w:t xml:space="preserve">, </w:t>
      </w:r>
      <w:r>
        <w:rPr>
          <w:rFonts w:ascii="Verdana" w:hAnsi="Verdana"/>
          <w:iCs/>
          <w:sz w:val="16"/>
          <w:szCs w:val="16"/>
        </w:rPr>
        <w:t>June</w:t>
      </w:r>
      <w:r w:rsidR="00F81657">
        <w:rPr>
          <w:rFonts w:ascii="Verdana" w:hAnsi="Verdana"/>
          <w:iCs/>
          <w:sz w:val="16"/>
          <w:szCs w:val="16"/>
        </w:rPr>
        <w:t xml:space="preserve"> 2022</w:t>
      </w:r>
    </w:p>
    <w:p w14:paraId="27B147DA" w14:textId="77777777" w:rsidR="00BB2B01" w:rsidRDefault="00BB2B01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F3BDB6F" w14:textId="77777777" w:rsidR="007D0C77" w:rsidRPr="00120A28" w:rsidRDefault="007D0C7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9332B92" w14:textId="7E60B3F5" w:rsidR="00120A28" w:rsidRPr="0082769F" w:rsidRDefault="00120A28" w:rsidP="0082769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2769F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Truck Sector Sales </w:t>
      </w:r>
      <w:r w:rsidR="00BF2313">
        <w:rPr>
          <w:rFonts w:ascii="Verdana" w:hAnsi="Verdana"/>
          <w:b/>
          <w:bCs/>
          <w:color w:val="0070C0"/>
          <w:sz w:val="20"/>
          <w:szCs w:val="20"/>
        </w:rPr>
        <w:t>Are</w:t>
      </w:r>
      <w:r w:rsidRPr="0082769F">
        <w:rPr>
          <w:rFonts w:ascii="Verdana" w:hAnsi="Verdana"/>
          <w:b/>
          <w:bCs/>
          <w:color w:val="0070C0"/>
          <w:sz w:val="20"/>
          <w:szCs w:val="20"/>
        </w:rPr>
        <w:t xml:space="preserve"> a Tough Pull</w:t>
      </w:r>
    </w:p>
    <w:p w14:paraId="3B1B7EBE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5EBEA12" w14:textId="612C3C02" w:rsidR="0082769F" w:rsidRDefault="00DD13FB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many years, new pickup truck sales have far outpaced passenger car sales. According to the National Automobile Dealers Association (NADA), the average franchise dealer</w:t>
      </w:r>
      <w:r w:rsidR="001575F9">
        <w:rPr>
          <w:rFonts w:ascii="Verdana" w:hAnsi="Verdana"/>
          <w:sz w:val="20"/>
          <w:szCs w:val="20"/>
        </w:rPr>
        <w:t xml:space="preserve"> increased its total new-truck sales by an average of 24.5% during 2021.</w:t>
      </w:r>
    </w:p>
    <w:p w14:paraId="7906FB8E" w14:textId="1BED66D5" w:rsidR="001575F9" w:rsidRDefault="001575F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8EB0BF" w14:textId="3CC78911" w:rsidR="001575F9" w:rsidRDefault="001575F9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During Q1 2022, only the Toyota Tundra and Nissan Frontier, among the top 10 pickup truck models by total sales, increased YOY units sold at 18.3% and 108.2%, respectively. Although the Ford F-Series was the top sell</w:t>
      </w:r>
      <w:r w:rsidR="00B704D2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, its Q1 </w:t>
      </w:r>
      <w:r w:rsidR="008D2BE0">
        <w:rPr>
          <w:rFonts w:ascii="Verdana" w:hAnsi="Verdana"/>
          <w:sz w:val="20"/>
          <w:szCs w:val="20"/>
        </w:rPr>
        <w:t xml:space="preserve">units </w:t>
      </w:r>
      <w:r>
        <w:rPr>
          <w:rFonts w:ascii="Verdana" w:hAnsi="Verdana"/>
          <w:sz w:val="20"/>
          <w:szCs w:val="20"/>
        </w:rPr>
        <w:t>s</w:t>
      </w:r>
      <w:r w:rsidR="008D2BE0">
        <w:rPr>
          <w:rFonts w:ascii="Verdana" w:hAnsi="Verdana"/>
          <w:sz w:val="20"/>
          <w:szCs w:val="20"/>
        </w:rPr>
        <w:t>old</w:t>
      </w:r>
      <w:r>
        <w:rPr>
          <w:rFonts w:ascii="Verdana" w:hAnsi="Verdana"/>
          <w:sz w:val="20"/>
          <w:szCs w:val="20"/>
        </w:rPr>
        <w:t xml:space="preserve"> decreased by 31.0%.</w:t>
      </w:r>
    </w:p>
    <w:p w14:paraId="3494A749" w14:textId="67219602" w:rsidR="0082769F" w:rsidRDefault="0082769F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84B49B" w14:textId="430E7E5C" w:rsidR="008D2BE0" w:rsidRDefault="008D2BE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commercial truck industry, the NADA reported medium-duty truck units sold decreased 10.9% YOY and heavy-duty truck units sold decreased 9.3% YOY. Q1 2022 totals were slightly better at -8.8% and -8.2% YOY, respectively.</w:t>
      </w:r>
    </w:p>
    <w:p w14:paraId="0E144450" w14:textId="3A8D6271" w:rsidR="008D2BE0" w:rsidRDefault="008D2BE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54ABC22" w14:textId="0007A435" w:rsidR="00B704D2" w:rsidRPr="00CC1ECE" w:rsidRDefault="00B704D2" w:rsidP="00B704D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Top-10 </w:t>
      </w:r>
      <w:r>
        <w:rPr>
          <w:rFonts w:ascii="Verdana" w:hAnsi="Verdana"/>
          <w:b/>
          <w:sz w:val="20"/>
          <w:szCs w:val="20"/>
        </w:rPr>
        <w:t>Pickup Truck</w:t>
      </w:r>
      <w:r>
        <w:rPr>
          <w:rFonts w:ascii="Verdana" w:hAnsi="Verdana"/>
          <w:b/>
          <w:sz w:val="20"/>
          <w:szCs w:val="20"/>
        </w:rPr>
        <w:t xml:space="preserve"> Models by Units Sold and YOY Change During Q1 2022</w:t>
      </w:r>
    </w:p>
    <w:tbl>
      <w:tblPr>
        <w:tblW w:w="1088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1267"/>
        <w:gridCol w:w="1267"/>
        <w:gridCol w:w="2909"/>
        <w:gridCol w:w="1267"/>
        <w:gridCol w:w="1267"/>
      </w:tblGrid>
      <w:tr w:rsidR="00B704D2" w:rsidRPr="00DB5378" w14:paraId="4FAFC348" w14:textId="77777777" w:rsidTr="00BF2313">
        <w:trPr>
          <w:jc w:val="center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2F2049F5" w14:textId="5E116643" w:rsidR="00B704D2" w:rsidRPr="00DB5378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Pickup Truck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Model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04C1FB2C" w14:textId="77777777" w:rsidR="00B704D2" w:rsidRPr="00DB5378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Units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0CD7F2F" w14:textId="77777777" w:rsidR="00B704D2" w:rsidRPr="00DB5378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0694EA65" w14:textId="7639EAA4" w:rsidR="00B704D2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Pickup Truck Model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19F0E0A3" w14:textId="77777777" w:rsidR="00B704D2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Units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8E68CAE" w14:textId="77777777" w:rsidR="00B704D2" w:rsidRDefault="00B704D2" w:rsidP="00BF23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</w:tr>
      <w:tr w:rsidR="00B704D2" w:rsidRPr="00DB5378" w14:paraId="2A2FAB65" w14:textId="77777777" w:rsidTr="00BF231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24E3735B" w14:textId="48367315" w:rsidR="00B704D2" w:rsidRPr="00DB5378" w:rsidRDefault="00B704D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#1: </w:t>
            </w:r>
            <w:r>
              <w:rPr>
                <w:rFonts w:ascii="Verdana" w:eastAsia="Times New Roman" w:hAnsi="Verdana"/>
                <w:sz w:val="20"/>
                <w:szCs w:val="20"/>
              </w:rPr>
              <w:t>Ford F-Series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vAlign w:val="center"/>
          </w:tcPr>
          <w:p w14:paraId="44CD2780" w14:textId="550CD628" w:rsidR="00B704D2" w:rsidRPr="00DB5378" w:rsidRDefault="00B704D2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140,701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D71313F" w14:textId="70B8B309" w:rsidR="00B704D2" w:rsidRPr="00DB5378" w:rsidRDefault="00B704D2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-31.0%</w:t>
            </w:r>
          </w:p>
        </w:tc>
        <w:tc>
          <w:tcPr>
            <w:tcW w:w="290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4A7AE5E6" w14:textId="5077A2CE" w:rsidR="00B704D2" w:rsidRDefault="00B704D2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#6: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Toyota Tundra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shd w:val="clear" w:color="auto" w:fill="auto"/>
            <w:vAlign w:val="center"/>
          </w:tcPr>
          <w:p w14:paraId="67D2823E" w14:textId="0253C94F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22,643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1DB6EA0" w14:textId="146A8ACD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+18.3%</w:t>
            </w:r>
          </w:p>
        </w:tc>
      </w:tr>
      <w:tr w:rsidR="00B704D2" w:rsidRPr="00DB5378" w14:paraId="7083DD7E" w14:textId="77777777" w:rsidTr="00BF231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01CF0F2C" w14:textId="3BC2D992" w:rsidR="00B704D2" w:rsidRDefault="00B704D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#2: </w:t>
            </w:r>
            <w:r>
              <w:rPr>
                <w:rFonts w:ascii="Verdana" w:eastAsia="Times New Roman" w:hAnsi="Verdana"/>
                <w:sz w:val="20"/>
                <w:szCs w:val="20"/>
              </w:rPr>
              <w:t>Ram Pickup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7F85B76A" w14:textId="7553F547" w:rsidR="00B704D2" w:rsidRDefault="00B704D2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127,116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47DA52B3" w14:textId="4D70288C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-14.6%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DA36AE1" w14:textId="74725CB5" w:rsidR="00B704D2" w:rsidRDefault="00B704D2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#7: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Nissan Frontier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shd w:val="clear" w:color="auto" w:fill="auto"/>
            <w:vAlign w:val="center"/>
          </w:tcPr>
          <w:p w14:paraId="21480904" w14:textId="3E3689E4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22,406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38E98AC" w14:textId="4BBE7DA5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+108.2%</w:t>
            </w:r>
          </w:p>
        </w:tc>
      </w:tr>
      <w:tr w:rsidR="00B704D2" w:rsidRPr="00DB5378" w14:paraId="3CA267E4" w14:textId="77777777" w:rsidTr="00BF231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0DD510E7" w14:textId="266EDE31" w:rsidR="00B704D2" w:rsidRDefault="00B704D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#3: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Chevrolet Silverado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41F63793" w14:textId="22918A58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121,107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1DBECB16" w14:textId="7D0B116B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-4.3%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B81C5D0" w14:textId="00EB5523" w:rsidR="00B704D2" w:rsidRDefault="00B704D2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#8: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Chevrolet Colorado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shd w:val="clear" w:color="auto" w:fill="auto"/>
            <w:vAlign w:val="center"/>
          </w:tcPr>
          <w:p w14:paraId="7C8E8697" w14:textId="0B2D3A77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21,693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2CE3A62" w14:textId="4F18E1E8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-9.9%</w:t>
            </w:r>
          </w:p>
        </w:tc>
      </w:tr>
      <w:tr w:rsidR="00B704D2" w:rsidRPr="00DB5378" w14:paraId="6B404DDB" w14:textId="77777777" w:rsidTr="00BF231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3D7868B4" w14:textId="63742A9B" w:rsidR="00B704D2" w:rsidRPr="00DB5378" w:rsidRDefault="00B704D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#4: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GMC Sierra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4F5587D3" w14:textId="6CAA564E" w:rsidR="00B704D2" w:rsidRPr="00DB5378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56,616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1F48799A" w14:textId="7D623DE9" w:rsidR="00B704D2" w:rsidRPr="00DB5378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-10.0%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A6DDB84" w14:textId="38C3E8A9" w:rsidR="00B704D2" w:rsidRDefault="00B704D2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#9: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Ford Maverick*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shd w:val="clear" w:color="auto" w:fill="auto"/>
            <w:vAlign w:val="center"/>
          </w:tcPr>
          <w:p w14:paraId="238B373D" w14:textId="549D4E35" w:rsidR="00B704D2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19,245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2ED2E24C" w14:textId="4EB91A05" w:rsidR="00B704D2" w:rsidRDefault="00022540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100.0%</w:t>
            </w:r>
          </w:p>
        </w:tc>
      </w:tr>
      <w:tr w:rsidR="00B704D2" w:rsidRPr="00DB5378" w14:paraId="2EA9E67F" w14:textId="77777777" w:rsidTr="00BF231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70C0"/>
            </w:tcBorders>
            <w:vAlign w:val="center"/>
          </w:tcPr>
          <w:p w14:paraId="1CF7B901" w14:textId="1C512834" w:rsidR="00B704D2" w:rsidRPr="00DB5378" w:rsidRDefault="00B704D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#5: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Toyota Tacoma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vAlign w:val="center"/>
          </w:tcPr>
          <w:p w14:paraId="66812B4F" w14:textId="13A4E4F6" w:rsidR="00B704D2" w:rsidRPr="00DB5378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53,182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4676EA3" w14:textId="00274535" w:rsidR="00B704D2" w:rsidRPr="00DB5378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-20.0%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0F0C1D23" w14:textId="0B1BE0C8" w:rsidR="00B704D2" w:rsidRPr="00DB5378" w:rsidRDefault="00B704D2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#10: </w:t>
            </w:r>
            <w:r w:rsidR="007C40A9">
              <w:rPr>
                <w:rFonts w:ascii="Verdana" w:eastAsia="Times New Roman" w:hAnsi="Verdana"/>
                <w:sz w:val="20"/>
                <w:szCs w:val="20"/>
              </w:rPr>
              <w:t>Jeep Gladiator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shd w:val="clear" w:color="auto" w:fill="auto"/>
            <w:vAlign w:val="center"/>
          </w:tcPr>
          <w:p w14:paraId="5EC68AD9" w14:textId="5AC15FFE" w:rsidR="00B704D2" w:rsidRPr="00DB5378" w:rsidRDefault="007C40A9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17,912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1C99D73" w14:textId="4448FA16" w:rsidR="00B704D2" w:rsidRPr="00DB5378" w:rsidRDefault="006530D0" w:rsidP="00BF231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-4.8%</w:t>
            </w:r>
          </w:p>
        </w:tc>
      </w:tr>
    </w:tbl>
    <w:p w14:paraId="46FC65F0" w14:textId="665D3C49" w:rsidR="00B704D2" w:rsidRDefault="00B704D2" w:rsidP="006530D0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Good Car/Bad Car, June 2022</w:t>
      </w:r>
      <w:r w:rsidR="006530D0">
        <w:rPr>
          <w:rFonts w:ascii="Verdana" w:hAnsi="Verdana"/>
          <w:iCs/>
          <w:sz w:val="16"/>
          <w:szCs w:val="16"/>
        </w:rPr>
        <w:tab/>
      </w:r>
      <w:r w:rsidR="006530D0">
        <w:rPr>
          <w:rFonts w:ascii="Verdana" w:hAnsi="Verdana"/>
          <w:iCs/>
          <w:sz w:val="16"/>
          <w:szCs w:val="16"/>
        </w:rPr>
        <w:tab/>
      </w:r>
      <w:r w:rsidR="006530D0">
        <w:rPr>
          <w:rFonts w:ascii="Verdana" w:hAnsi="Verdana"/>
          <w:iCs/>
          <w:sz w:val="16"/>
          <w:szCs w:val="16"/>
        </w:rPr>
        <w:tab/>
      </w:r>
      <w:r w:rsidR="006530D0">
        <w:rPr>
          <w:rFonts w:ascii="Verdana" w:hAnsi="Verdana"/>
          <w:iCs/>
          <w:sz w:val="16"/>
          <w:szCs w:val="16"/>
        </w:rPr>
        <w:tab/>
      </w:r>
      <w:r w:rsidR="006530D0">
        <w:rPr>
          <w:rFonts w:ascii="Verdana" w:hAnsi="Verdana"/>
          <w:iCs/>
          <w:sz w:val="16"/>
          <w:szCs w:val="16"/>
        </w:rPr>
        <w:tab/>
        <w:t>*new model for 2022</w:t>
      </w:r>
    </w:p>
    <w:p w14:paraId="5D06576D" w14:textId="77777777" w:rsidR="008D2BE0" w:rsidRDefault="008D2BE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8DA1EDC" w14:textId="45E264F3" w:rsidR="00120A28" w:rsidRPr="003A764C" w:rsidRDefault="00120A28" w:rsidP="003A764C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A764C">
        <w:rPr>
          <w:rFonts w:ascii="Verdana" w:hAnsi="Verdana"/>
          <w:b/>
          <w:bCs/>
          <w:color w:val="0070C0"/>
          <w:sz w:val="20"/>
          <w:szCs w:val="20"/>
        </w:rPr>
        <w:t>The Electric Vehicle Revolution Is Here (Almost)</w:t>
      </w:r>
    </w:p>
    <w:p w14:paraId="52DE9D9C" w14:textId="3EEA2740" w:rsid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7F08589" w14:textId="3E15BA54" w:rsidR="003A764C" w:rsidRPr="00120A28" w:rsidRDefault="00D0118E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transition to electric vehicles (EVs) is progressing, however, according to a McKinsey &amp; Company May 2022 report, the three primary challenges are the raw materials for batteries, more gigafactories to produce those batteries and many more public charging stations. </w:t>
      </w:r>
    </w:p>
    <w:p w14:paraId="4F1FA50B" w14:textId="77777777" w:rsidR="00D0118E" w:rsidRDefault="00D0118E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36596C" w14:textId="60C46974" w:rsidR="00D0118E" w:rsidRDefault="00D4330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measure of EV sales is the almost doubling of EVs’ share of the light-vehicle market, from 2.3% during January–April 2021 to 4.4% for the same 2022 period. EV registrations increased 53% YOY during </w:t>
      </w:r>
      <w:r>
        <w:rPr>
          <w:rFonts w:ascii="Verdana" w:hAnsi="Verdana"/>
          <w:sz w:val="20"/>
          <w:szCs w:val="20"/>
        </w:rPr>
        <w:t>January–April 202</w:t>
      </w:r>
      <w:r>
        <w:rPr>
          <w:rFonts w:ascii="Verdana" w:hAnsi="Verdana"/>
          <w:sz w:val="20"/>
          <w:szCs w:val="20"/>
        </w:rPr>
        <w:t>2.</w:t>
      </w:r>
    </w:p>
    <w:p w14:paraId="6A0E5FEE" w14:textId="448310AB" w:rsidR="00D43300" w:rsidRDefault="00D4330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323367A" w14:textId="44D59012" w:rsidR="00D43300" w:rsidRDefault="00D4330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Ford, Kia and </w:t>
      </w:r>
      <w:r w:rsidR="00136B8F">
        <w:rPr>
          <w:rFonts w:ascii="Verdana" w:hAnsi="Verdana"/>
          <w:sz w:val="20"/>
          <w:szCs w:val="20"/>
        </w:rPr>
        <w:t xml:space="preserve">Hyundai had the </w:t>
      </w:r>
      <w:proofErr w:type="gramStart"/>
      <w:r w:rsidR="00136B8F">
        <w:rPr>
          <w:rFonts w:ascii="Verdana" w:hAnsi="Verdana"/>
          <w:sz w:val="20"/>
          <w:szCs w:val="20"/>
        </w:rPr>
        <w:t>most new</w:t>
      </w:r>
      <w:proofErr w:type="gramEnd"/>
      <w:r w:rsidR="00136B8F">
        <w:rPr>
          <w:rFonts w:ascii="Verdana" w:hAnsi="Verdana"/>
          <w:sz w:val="20"/>
          <w:szCs w:val="20"/>
        </w:rPr>
        <w:t xml:space="preserve"> EV registrations during the first four months of 2022, at 11,751, 11,483 and 9</w:t>
      </w:r>
      <w:r w:rsidR="00ED7EA2">
        <w:rPr>
          <w:rFonts w:ascii="Verdana" w:hAnsi="Verdana"/>
          <w:sz w:val="20"/>
          <w:szCs w:val="20"/>
        </w:rPr>
        <w:t>,</w:t>
      </w:r>
      <w:r w:rsidR="00136B8F">
        <w:rPr>
          <w:rFonts w:ascii="Verdana" w:hAnsi="Verdana"/>
          <w:sz w:val="20"/>
          <w:szCs w:val="20"/>
        </w:rPr>
        <w:t>675, respectively; however, Tesla dominated with 139,338 registrations, a 52% YOY increase. These results are reflected in the J.D. Power data below.</w:t>
      </w:r>
    </w:p>
    <w:p w14:paraId="5543B0E6" w14:textId="20E63BED" w:rsidR="00136B8F" w:rsidRDefault="00136B8F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51D0E4" w14:textId="77777777" w:rsidR="00DE575B" w:rsidRDefault="00DE575B" w:rsidP="00DE575B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Top-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Premium and Mass-Market EV Customer Satisfaction </w:t>
      </w:r>
    </w:p>
    <w:p w14:paraId="3D597779" w14:textId="1062417B" w:rsidR="00DE575B" w:rsidRPr="00CC1ECE" w:rsidRDefault="00DE575B" w:rsidP="00DE575B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Index Ranking, October–November </w:t>
      </w:r>
      <w:r>
        <w:rPr>
          <w:rFonts w:ascii="Verdana" w:hAnsi="Verdana"/>
          <w:b/>
          <w:sz w:val="20"/>
          <w:szCs w:val="20"/>
        </w:rPr>
        <w:t>202</w:t>
      </w:r>
      <w:r w:rsidR="005630E2">
        <w:rPr>
          <w:rFonts w:ascii="Verdana" w:hAnsi="Verdana"/>
          <w:b/>
          <w:sz w:val="20"/>
          <w:szCs w:val="20"/>
        </w:rPr>
        <w:t>1</w:t>
      </w:r>
    </w:p>
    <w:tbl>
      <w:tblPr>
        <w:tblW w:w="834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1267"/>
        <w:gridCol w:w="2909"/>
        <w:gridCol w:w="1267"/>
      </w:tblGrid>
      <w:tr w:rsidR="00DE575B" w:rsidRPr="00DB5378" w14:paraId="57FAB7A8" w14:textId="77777777" w:rsidTr="008B74C8">
        <w:trPr>
          <w:jc w:val="center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C4921BE" w14:textId="4956C4AC" w:rsidR="00DE575B" w:rsidRPr="00DB5378" w:rsidRDefault="00DE575B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Premium EV Models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BAEF3C4" w14:textId="5929F69E" w:rsidR="00DE575B" w:rsidRPr="00DB5378" w:rsidRDefault="00DE575B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1CAA49C" w14:textId="0800E488" w:rsidR="00DE575B" w:rsidRDefault="00DE575B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Mass-Market EV Models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3CCEF07" w14:textId="45A68122" w:rsidR="00DE575B" w:rsidRDefault="00DE575B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</w:tr>
      <w:tr w:rsidR="00DE575B" w:rsidRPr="00DB5378" w14:paraId="154E1737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4864993F" w14:textId="42FF0F9A" w:rsidR="00DE575B" w:rsidRPr="00DB5378" w:rsidRDefault="0084332E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Tesla Model 3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06D235DB" w14:textId="244993BE" w:rsidR="00DE575B" w:rsidRPr="00DB5378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777</w:t>
            </w:r>
          </w:p>
        </w:tc>
        <w:tc>
          <w:tcPr>
            <w:tcW w:w="290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968BC38" w14:textId="3FE3EB6C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Kia Niro EV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52FB7F43" w14:textId="1A564189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744</w:t>
            </w:r>
          </w:p>
        </w:tc>
      </w:tr>
      <w:tr w:rsidR="00DE575B" w:rsidRPr="00DB5378" w14:paraId="68495B17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FDD65B4" w14:textId="5BCCDC11" w:rsidR="00DE575B" w:rsidRDefault="0084332E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Tesla Model 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B045AF8" w14:textId="315A65FD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229617" w14:textId="4DD858C2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Ford Mustang Mach-E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FD20CFE" w14:textId="16484753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741</w:t>
            </w:r>
          </w:p>
        </w:tc>
      </w:tr>
      <w:tr w:rsidR="00DE575B" w:rsidRPr="00DB5378" w14:paraId="4C4FC38F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61387412" w14:textId="41A07293" w:rsidR="00DE575B" w:rsidRDefault="0084332E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14:paraId="4E0764D5" w14:textId="1425E44C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0CB416E6" w14:textId="5313AC86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41BDF3B" w14:textId="0B546297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709</w:t>
            </w:r>
          </w:p>
        </w:tc>
      </w:tr>
      <w:tr w:rsidR="00DE575B" w:rsidRPr="00DB5378" w14:paraId="5E997474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B0E18B8" w14:textId="51FEDD66" w:rsidR="00DE575B" w:rsidRPr="00DB5378" w:rsidRDefault="0084332E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Tesla Model 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7145A56" w14:textId="57ADB1BD" w:rsidR="00DE575B" w:rsidRPr="00DB5378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2DA4520" w14:textId="21EB010E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Nissan LEAF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6FBA297" w14:textId="544DF333" w:rsidR="00DE575B" w:rsidRDefault="0084332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708</w:t>
            </w:r>
          </w:p>
        </w:tc>
      </w:tr>
      <w:tr w:rsidR="0084332E" w:rsidRPr="00DB5378" w14:paraId="0E5E8824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FF4FA0C" w14:textId="7479EA45" w:rsidR="0084332E" w:rsidRDefault="0084332E" w:rsidP="008433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Audi e-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tron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429768D" w14:textId="041D3FB9" w:rsidR="0084332E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5B5D10B" w14:textId="299B8148" w:rsidR="0084332E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Hyundai Kona EV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217A53" w14:textId="62D19A82" w:rsidR="0084332E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692</w:t>
            </w:r>
          </w:p>
        </w:tc>
      </w:tr>
      <w:tr w:rsidR="0084332E" w:rsidRPr="00DB5378" w14:paraId="3313B7CE" w14:textId="77777777" w:rsidTr="008B74C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90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0156F7D" w14:textId="339C5A9F" w:rsidR="0084332E" w:rsidRPr="00DB5378" w:rsidRDefault="0084332E" w:rsidP="008433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1CADD751" w14:textId="7C49BB1E" w:rsidR="0084332E" w:rsidRPr="00DB5378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42A0D79" w14:textId="1507F707" w:rsidR="0084332E" w:rsidRPr="00DB5378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Volkswagen ID.4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5EC3E02" w14:textId="61078AB6" w:rsidR="0084332E" w:rsidRPr="00DB5378" w:rsidRDefault="0084332E" w:rsidP="0084332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692</w:t>
            </w:r>
          </w:p>
        </w:tc>
      </w:tr>
    </w:tbl>
    <w:p w14:paraId="3B95BACE" w14:textId="1D3560E4" w:rsidR="00136B8F" w:rsidRDefault="004D1974" w:rsidP="004D1974">
      <w:pPr>
        <w:tabs>
          <w:tab w:val="left" w:pos="54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ab/>
        <w:t>J.D. Power</w:t>
      </w:r>
      <w:r w:rsidR="00DE575B">
        <w:rPr>
          <w:rFonts w:ascii="Verdana" w:hAnsi="Verdana"/>
          <w:iCs/>
          <w:sz w:val="16"/>
          <w:szCs w:val="16"/>
        </w:rPr>
        <w:t>, J</w:t>
      </w:r>
      <w:r>
        <w:rPr>
          <w:rFonts w:ascii="Verdana" w:hAnsi="Verdana"/>
          <w:iCs/>
          <w:sz w:val="16"/>
          <w:szCs w:val="16"/>
        </w:rPr>
        <w:t>anuary</w:t>
      </w:r>
      <w:r w:rsidR="00DE575B">
        <w:rPr>
          <w:rFonts w:ascii="Verdana" w:hAnsi="Verdana"/>
          <w:iCs/>
          <w:sz w:val="16"/>
          <w:szCs w:val="16"/>
        </w:rPr>
        <w:t xml:space="preserve"> 2022</w:t>
      </w:r>
      <w:r w:rsidR="00DE575B">
        <w:rPr>
          <w:rFonts w:ascii="Verdana" w:hAnsi="Verdana"/>
          <w:iCs/>
          <w:sz w:val="16"/>
          <w:szCs w:val="16"/>
        </w:rPr>
        <w:tab/>
      </w:r>
      <w:r>
        <w:rPr>
          <w:rFonts w:ascii="Verdana" w:hAnsi="Verdana"/>
          <w:iCs/>
          <w:sz w:val="16"/>
          <w:szCs w:val="16"/>
        </w:rPr>
        <w:tab/>
      </w:r>
      <w:r>
        <w:rPr>
          <w:rFonts w:ascii="Verdana" w:hAnsi="Verdana"/>
          <w:iCs/>
          <w:sz w:val="16"/>
          <w:szCs w:val="16"/>
        </w:rPr>
        <w:tab/>
      </w:r>
      <w:r>
        <w:rPr>
          <w:rFonts w:ascii="Verdana" w:hAnsi="Verdana"/>
          <w:iCs/>
          <w:sz w:val="16"/>
          <w:szCs w:val="16"/>
        </w:rPr>
        <w:tab/>
      </w:r>
      <w:r>
        <w:rPr>
          <w:rFonts w:ascii="Verdana" w:hAnsi="Verdana"/>
          <w:iCs/>
          <w:sz w:val="16"/>
          <w:szCs w:val="16"/>
        </w:rPr>
        <w:tab/>
        <w:t>*based on a 1,000-point scale</w:t>
      </w:r>
    </w:p>
    <w:p w14:paraId="21DA988A" w14:textId="77777777" w:rsidR="00D0118E" w:rsidRDefault="00D0118E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15152A6" w14:textId="301146EC" w:rsidR="00120A28" w:rsidRPr="00B7048D" w:rsidRDefault="00120A28" w:rsidP="00B7048D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B7048D">
        <w:rPr>
          <w:rFonts w:ascii="Verdana" w:hAnsi="Verdana"/>
          <w:b/>
          <w:bCs/>
          <w:color w:val="0070C0"/>
          <w:sz w:val="20"/>
          <w:szCs w:val="20"/>
        </w:rPr>
        <w:lastRenderedPageBreak/>
        <w:t>Consumers Start to Pivot to EVs</w:t>
      </w:r>
    </w:p>
    <w:p w14:paraId="67DC7023" w14:textId="77777777" w:rsidR="00120A28" w:rsidRP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9089C01" w14:textId="20931406" w:rsidR="00B7048D" w:rsidRDefault="00A36401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a March 2022 Morning Consult survey</w:t>
      </w:r>
      <w:r>
        <w:rPr>
          <w:rFonts w:ascii="Verdana" w:hAnsi="Verdana"/>
          <w:sz w:val="20"/>
          <w:szCs w:val="20"/>
        </w:rPr>
        <w:t xml:space="preserve"> cited on page 3, 20% of all respondents said they were very interested and 29% </w:t>
      </w:r>
      <w:r w:rsidR="00ED7EA2">
        <w:rPr>
          <w:rFonts w:ascii="Verdana" w:hAnsi="Verdana"/>
          <w:sz w:val="20"/>
          <w:szCs w:val="20"/>
        </w:rPr>
        <w:t xml:space="preserve">were </w:t>
      </w:r>
      <w:r>
        <w:rPr>
          <w:rFonts w:ascii="Verdana" w:hAnsi="Verdana"/>
          <w:sz w:val="20"/>
          <w:szCs w:val="20"/>
        </w:rPr>
        <w:t>somewhat interested in purchasing an EV during the next five years. Millennials were the most who were very interested at 29%.</w:t>
      </w:r>
    </w:p>
    <w:p w14:paraId="10736AAE" w14:textId="36D055E0" w:rsidR="00A36401" w:rsidRDefault="00A36401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17B42D8" w14:textId="5B8E95D1" w:rsidR="00A36401" w:rsidRDefault="00A36401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J.D. Power’s 2022 U.S. Electric Vehicle Consideration Study</w:t>
      </w:r>
      <w:r w:rsidR="00F1532F" w:rsidRPr="004E186B">
        <w:rPr>
          <w:rFonts w:ascii="Verdana" w:hAnsi="Verdana"/>
          <w:sz w:val="16"/>
          <w:szCs w:val="16"/>
          <w:vertAlign w:val="superscript"/>
        </w:rPr>
        <w:t>SM</w:t>
      </w:r>
      <w:r w:rsidR="00FB52BC">
        <w:rPr>
          <w:rFonts w:ascii="Verdana" w:hAnsi="Verdana"/>
          <w:sz w:val="20"/>
          <w:szCs w:val="20"/>
        </w:rPr>
        <w:t xml:space="preserve"> reported similar results, with 24% of respondents saying they were “very likely” to consider an EV for their next purchase or lease; however, 37% of premium vehicle owners were “very likely.”</w:t>
      </w:r>
    </w:p>
    <w:p w14:paraId="05FDF593" w14:textId="77777777" w:rsidR="00B7048D" w:rsidRDefault="00B7048D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9A2DCF" w14:textId="56E7BDF9" w:rsidR="00B7048D" w:rsidRDefault="00FB52BC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 Q2 2022 Cox Automotive Dealer Sentiment Index</w:t>
      </w:r>
      <w:r>
        <w:rPr>
          <w:rFonts w:ascii="Verdana" w:hAnsi="Verdana"/>
          <w:sz w:val="20"/>
          <w:szCs w:val="20"/>
        </w:rPr>
        <w:t xml:space="preserve"> for EV sales was 51 overall, unchanged from Q1 2022 while franchised dealers’ index increased slightly from 52 to 54. The index was more positive for EV sales by </w:t>
      </w:r>
      <w:r w:rsidR="001B0EE2">
        <w:rPr>
          <w:rFonts w:ascii="Verdana" w:hAnsi="Verdana"/>
          <w:sz w:val="20"/>
          <w:szCs w:val="20"/>
        </w:rPr>
        <w:t>Q3 at 64 compared to 59 during Q2 2021.</w:t>
      </w:r>
    </w:p>
    <w:p w14:paraId="136FD70C" w14:textId="449995D1" w:rsidR="001B0EE2" w:rsidRDefault="001B0EE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C6E0D54" w14:textId="15022550" w:rsidR="008B74C8" w:rsidRPr="00CC1ECE" w:rsidRDefault="008B74C8" w:rsidP="008B74C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Top-</w:t>
      </w:r>
      <w:r>
        <w:rPr>
          <w:rFonts w:ascii="Verdana" w:hAnsi="Verdana"/>
          <w:b/>
          <w:sz w:val="20"/>
          <w:szCs w:val="20"/>
        </w:rPr>
        <w:t xml:space="preserve">10 Reasons for Consumers’ EV Interest, March </w:t>
      </w:r>
      <w:r>
        <w:rPr>
          <w:rFonts w:ascii="Verdana" w:hAnsi="Verdana"/>
          <w:b/>
          <w:sz w:val="20"/>
          <w:szCs w:val="20"/>
        </w:rPr>
        <w:t>2022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267"/>
        <w:gridCol w:w="4032"/>
        <w:gridCol w:w="1267"/>
      </w:tblGrid>
      <w:tr w:rsidR="008B74C8" w:rsidRPr="00DB5378" w14:paraId="4824F7C2" w14:textId="77777777" w:rsidTr="008B74C8">
        <w:trPr>
          <w:jc w:val="center"/>
        </w:trPr>
        <w:tc>
          <w:tcPr>
            <w:tcW w:w="4031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8A53C0B" w14:textId="20DAFDF4" w:rsidR="008B74C8" w:rsidRPr="00DB537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Reason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5FD405E" w14:textId="73B08179" w:rsidR="008B74C8" w:rsidRPr="00DB537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F9B5634" w14:textId="4807767A" w:rsidR="008B74C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Reason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546CCA0" w14:textId="73C9BD0D" w:rsidR="008B74C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8B74C8" w:rsidRPr="00DB5378" w14:paraId="0234AEF2" w14:textId="77777777" w:rsidTr="000D3A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1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419AF4" w14:textId="3D23890A" w:rsidR="008B74C8" w:rsidRPr="00DB537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Environmental sustainability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68E2556F" w14:textId="6707BC5F" w:rsidR="008B74C8" w:rsidRPr="00DB537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49%</w:t>
            </w:r>
          </w:p>
        </w:tc>
        <w:tc>
          <w:tcPr>
            <w:tcW w:w="403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DF47883" w14:textId="2685989B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Maintenance costs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6C016BA" w14:textId="15E03D3B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38%</w:t>
            </w:r>
          </w:p>
        </w:tc>
      </w:tr>
      <w:tr w:rsidR="000D3A7E" w:rsidRPr="00DB5378" w14:paraId="79D54599" w14:textId="77777777" w:rsidTr="000D3A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E69E4B" w14:textId="2E1F8593" w:rsidR="008B74C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Price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235391FE" w14:textId="79324DC6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8148295" w14:textId="46B3B963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Performance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5E268A5" w14:textId="772D7AB5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</w:tr>
      <w:tr w:rsidR="008B74C8" w:rsidRPr="00DB5378" w14:paraId="51941142" w14:textId="77777777" w:rsidTr="000D3A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5DBFF9D" w14:textId="62C685A9" w:rsidR="008B74C8" w:rsidRPr="00DB537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Quality/Reliability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3E9D56B" w14:textId="04211EC5" w:rsidR="008B74C8" w:rsidRPr="00DB537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CAD4A3B" w14:textId="02E23270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Ease of maintenance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F05838A" w14:textId="6AE46FBA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</w:tr>
      <w:tr w:rsidR="008B74C8" w:rsidRPr="00DB5378" w14:paraId="2F5FA9A6" w14:textId="77777777" w:rsidTr="000D3A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866FFCC" w14:textId="05AA9F31" w:rsidR="008B74C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Availability of charging stations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2700162" w14:textId="661A2457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DF2095B" w14:textId="3AE4342E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Ownership cost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95DD275" w14:textId="657064DB" w:rsidR="008B74C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33%</w:t>
            </w:r>
          </w:p>
        </w:tc>
      </w:tr>
      <w:tr w:rsidR="000D3A7E" w:rsidRPr="00DB5378" w14:paraId="48EDB9D7" w14:textId="77777777" w:rsidTr="000D3A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3FC024D" w14:textId="1F9A144E" w:rsidR="008B74C8" w:rsidRPr="00DB5378" w:rsidRDefault="008B74C8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Vehicle range (between charges)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5F0F1E7" w14:textId="6CB1F577" w:rsidR="008B74C8" w:rsidRPr="00DB537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77D1205" w14:textId="2FF62365" w:rsidR="008B74C8" w:rsidRPr="00DB5378" w:rsidRDefault="008B74C8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#10: </w:t>
            </w:r>
            <w:r w:rsidR="000D3A7E">
              <w:rPr>
                <w:rFonts w:ascii="Verdana" w:eastAsia="Times New Roman" w:hAnsi="Verdana"/>
                <w:sz w:val="20"/>
                <w:szCs w:val="20"/>
              </w:rPr>
              <w:t>Fewer gas-powered vehicles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4292142" w14:textId="4AE632DD" w:rsidR="008B74C8" w:rsidRPr="00DB5378" w:rsidRDefault="000D3A7E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</w:tr>
    </w:tbl>
    <w:p w14:paraId="53153E14" w14:textId="67BB0816" w:rsidR="001B0EE2" w:rsidRDefault="000D3A7E" w:rsidP="000D3A7E">
      <w:pPr>
        <w:spacing w:after="0" w:line="240" w:lineRule="auto"/>
        <w:ind w:hanging="63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Morning Consult</w:t>
      </w:r>
      <w:r w:rsidR="008B74C8">
        <w:rPr>
          <w:rFonts w:ascii="Verdana" w:hAnsi="Verdana"/>
          <w:iCs/>
          <w:sz w:val="16"/>
          <w:szCs w:val="16"/>
        </w:rPr>
        <w:t xml:space="preserve">, </w:t>
      </w:r>
      <w:r>
        <w:rPr>
          <w:rFonts w:ascii="Verdana" w:hAnsi="Verdana"/>
          <w:iCs/>
          <w:sz w:val="16"/>
          <w:szCs w:val="16"/>
        </w:rPr>
        <w:t>April</w:t>
      </w:r>
      <w:r w:rsidR="008B74C8">
        <w:rPr>
          <w:rFonts w:ascii="Verdana" w:hAnsi="Verdana"/>
          <w:iCs/>
          <w:sz w:val="16"/>
          <w:szCs w:val="16"/>
        </w:rPr>
        <w:t xml:space="preserve"> 2022</w:t>
      </w:r>
      <w:r w:rsidR="008B74C8">
        <w:rPr>
          <w:rFonts w:ascii="Verdana" w:hAnsi="Verdana"/>
          <w:iCs/>
          <w:sz w:val="16"/>
          <w:szCs w:val="16"/>
        </w:rPr>
        <w:tab/>
      </w:r>
      <w:r w:rsidR="008B74C8">
        <w:rPr>
          <w:rFonts w:ascii="Verdana" w:hAnsi="Verdana"/>
          <w:iCs/>
          <w:sz w:val="16"/>
          <w:szCs w:val="16"/>
        </w:rPr>
        <w:tab/>
      </w:r>
    </w:p>
    <w:p w14:paraId="778D7431" w14:textId="08AF73C4" w:rsidR="001B0EE2" w:rsidRDefault="001B0EE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C6D3A6" w14:textId="7AC2C205" w:rsidR="00120A28" w:rsidRPr="007074C2" w:rsidRDefault="00120A28" w:rsidP="007074C2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074C2">
        <w:rPr>
          <w:rFonts w:ascii="Verdana" w:hAnsi="Verdana"/>
          <w:b/>
          <w:bCs/>
          <w:color w:val="0070C0"/>
          <w:sz w:val="20"/>
          <w:szCs w:val="20"/>
        </w:rPr>
        <w:t>EV Battery and Charging Technology</w:t>
      </w:r>
    </w:p>
    <w:p w14:paraId="7CB22E1D" w14:textId="07764328" w:rsid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FB04BC" w14:textId="35AE2A96" w:rsidR="007074C2" w:rsidRPr="00120A28" w:rsidRDefault="008B217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311E1">
        <w:rPr>
          <w:rFonts w:ascii="Verdana" w:hAnsi="Verdana"/>
          <w:sz w:val="20"/>
          <w:szCs w:val="20"/>
        </w:rPr>
        <w:t xml:space="preserve">ithium is </w:t>
      </w:r>
      <w:r>
        <w:rPr>
          <w:rFonts w:ascii="Verdana" w:hAnsi="Verdana"/>
          <w:sz w:val="20"/>
          <w:szCs w:val="20"/>
        </w:rPr>
        <w:t xml:space="preserve">the </w:t>
      </w:r>
      <w:r w:rsidR="00D311E1">
        <w:rPr>
          <w:rFonts w:ascii="Verdana" w:hAnsi="Verdana"/>
          <w:sz w:val="20"/>
          <w:szCs w:val="20"/>
        </w:rPr>
        <w:t xml:space="preserve">most critical raw material for EV battery production. </w:t>
      </w:r>
      <w:r>
        <w:rPr>
          <w:rFonts w:ascii="Verdana" w:hAnsi="Verdana"/>
          <w:sz w:val="20"/>
          <w:szCs w:val="20"/>
        </w:rPr>
        <w:t>L</w:t>
      </w:r>
      <w:r w:rsidR="00D311E1">
        <w:rPr>
          <w:rFonts w:ascii="Verdana" w:hAnsi="Verdana"/>
          <w:sz w:val="20"/>
          <w:szCs w:val="20"/>
        </w:rPr>
        <w:t>ithium production will increase from 500,000 metric tons during 2021 to three to four million by 2030</w:t>
      </w:r>
      <w:r>
        <w:rPr>
          <w:rFonts w:ascii="Verdana" w:hAnsi="Verdana"/>
          <w:sz w:val="20"/>
          <w:szCs w:val="20"/>
        </w:rPr>
        <w:t>, but an additional 200 gigafactories are needed worldwide to produce enough batteries.</w:t>
      </w:r>
    </w:p>
    <w:p w14:paraId="4C59703D" w14:textId="77777777" w:rsidR="007074C2" w:rsidRDefault="007074C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E98D3D4" w14:textId="4573F9D4" w:rsidR="007074C2" w:rsidRDefault="008B217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McKinsey &amp; Company predicts the current 100,000 charging stations in the US could increase to 1.2 million by 2030, but it estimates that increase would require a $35 billion investment. The recent Infrastructure Investment and Job Acts include just $7.5 billion.</w:t>
      </w:r>
    </w:p>
    <w:p w14:paraId="30AF1E60" w14:textId="492D038B" w:rsidR="008B2177" w:rsidRDefault="008B2177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EDCDF3" w14:textId="66FE67E0" w:rsidR="008B2177" w:rsidRDefault="0047287F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homeowners are installing home chargers, as 48% of EV owners told Morning Consult in its March 2022 survey the</w:t>
      </w:r>
      <w:r w:rsidR="00ED7EA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park their vehicle in their driveway and 36% in their garage. Conversely, renters and other non-homeowners have very little access to charging. </w:t>
      </w:r>
    </w:p>
    <w:p w14:paraId="43C951D8" w14:textId="1D559859" w:rsidR="0047287F" w:rsidRDefault="0047287F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567ABBE" w14:textId="25347D54" w:rsidR="004A44C5" w:rsidRPr="00CC1ECE" w:rsidRDefault="0047287F" w:rsidP="004A44C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At-Home Vehicles EV Charging Access, by Income and US Region</w:t>
      </w:r>
      <w:r>
        <w:rPr>
          <w:rFonts w:ascii="Verdana" w:hAnsi="Verdana"/>
          <w:b/>
          <w:sz w:val="20"/>
          <w:szCs w:val="20"/>
        </w:rPr>
        <w:t>, March 2022</w:t>
      </w:r>
    </w:p>
    <w:tbl>
      <w:tblPr>
        <w:tblW w:w="1074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1152"/>
        <w:gridCol w:w="1152"/>
        <w:gridCol w:w="1152"/>
        <w:gridCol w:w="1915"/>
        <w:gridCol w:w="1152"/>
        <w:gridCol w:w="1152"/>
        <w:gridCol w:w="1152"/>
      </w:tblGrid>
      <w:tr w:rsidR="0047287F" w:rsidRPr="00DB5378" w14:paraId="1DFC8C4B" w14:textId="77777777" w:rsidTr="00FE6BCA">
        <w:trPr>
          <w:jc w:val="center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503614E" w14:textId="5749AE56" w:rsidR="0047287F" w:rsidRPr="00DB5378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Income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646F2AB" w14:textId="1BBEA304" w:rsidR="0047287F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Always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C1CDCDC" w14:textId="3422F9F0" w:rsidR="0047287F" w:rsidRDefault="004A44C5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 Times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DB8B737" w14:textId="21C0CFAC" w:rsidR="0047287F" w:rsidRPr="00DB5378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22599691" w14:textId="4CA414B7" w:rsidR="0047287F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US Region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C3B71D8" w14:textId="23A40DF1" w:rsidR="0047287F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Always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85929BF" w14:textId="2C8157F3" w:rsidR="0047287F" w:rsidRDefault="004A44C5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 Times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61F20D7E" w14:textId="3865C95D" w:rsidR="0047287F" w:rsidRDefault="0047287F" w:rsidP="00FE6B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</w:t>
            </w:r>
          </w:p>
        </w:tc>
      </w:tr>
      <w:tr w:rsidR="0047287F" w:rsidRPr="00DB5378" w14:paraId="71F1168C" w14:textId="77777777" w:rsidTr="00FE6B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1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7C9ED3D6" w14:textId="45F2C9A5" w:rsidR="0047287F" w:rsidRPr="00DB5378" w:rsidRDefault="0047287F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owners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7F36EFCB" w14:textId="36EB0BF1" w:rsidR="0047287F" w:rsidRPr="00DB5378" w:rsidRDefault="004A44C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5BFDFE1D" w14:textId="32579D3B" w:rsidR="0047287F" w:rsidRPr="00DB5378" w:rsidRDefault="004A44C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14:paraId="7431BA97" w14:textId="2BF3F85A" w:rsidR="0047287F" w:rsidRPr="00DB5378" w:rsidRDefault="004A44C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78%</w:t>
            </w:r>
          </w:p>
        </w:tc>
        <w:tc>
          <w:tcPr>
            <w:tcW w:w="191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32D02AD1" w14:textId="7A12794D" w:rsidR="0047287F" w:rsidRDefault="0047287F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Northeast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E05A05" w14:textId="1CEB00C6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E47F06F" w14:textId="4EEE49B7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707666B" w14:textId="3805BFFF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70%</w:t>
            </w:r>
          </w:p>
        </w:tc>
      </w:tr>
      <w:tr w:rsidR="0047287F" w:rsidRPr="00DB5378" w14:paraId="313CFB7B" w14:textId="77777777" w:rsidTr="00FE6B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90C4F63" w14:textId="2C9F7490" w:rsidR="0047287F" w:rsidRPr="00DB5378" w:rsidRDefault="0047287F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&lt;$50K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DBB5E9C" w14:textId="326408B0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34D97C8" w14:textId="2ABD95B7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F0000"/>
            <w:vAlign w:val="center"/>
          </w:tcPr>
          <w:p w14:paraId="684E777B" w14:textId="073BDBCB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54AA6E4" w14:textId="1CFA2862" w:rsidR="0047287F" w:rsidRDefault="0047287F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Midwest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5AABD20" w14:textId="1882B155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4086508" w14:textId="08586EA9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BF1404F" w14:textId="5F85F588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87%</w:t>
            </w:r>
          </w:p>
        </w:tc>
      </w:tr>
      <w:tr w:rsidR="0047287F" w:rsidRPr="00DB5378" w14:paraId="058A251B" w14:textId="77777777" w:rsidTr="00FE6B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B885CED" w14:textId="3E007906" w:rsidR="0047287F" w:rsidRDefault="0047287F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$50K–$99K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3437779" w14:textId="6477A28B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F2C6835" w14:textId="17BB4900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961AF44" w14:textId="7AF26ED5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38D7BE7" w14:textId="64E86AEA" w:rsidR="0047287F" w:rsidRDefault="0047287F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8E3D4C3" w14:textId="04E01030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B067325" w14:textId="14796111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5D7093C" w14:textId="38B8AE5B" w:rsidR="0047287F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84%</w:t>
            </w:r>
          </w:p>
        </w:tc>
      </w:tr>
      <w:tr w:rsidR="0047287F" w:rsidRPr="00DB5378" w14:paraId="3A2DB456" w14:textId="77777777" w:rsidTr="00FE6BC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1FBE3C46" w14:textId="253F1BD9" w:rsidR="0047287F" w:rsidRPr="00DB5378" w:rsidRDefault="0047287F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$100K and more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6E3BD62" w14:textId="1A5E7B52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DAE87B5" w14:textId="556067E0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601B1D7F" w14:textId="6A0C4482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0B4789B3" w14:textId="039F5FE2" w:rsidR="0047287F" w:rsidRPr="00DB5378" w:rsidRDefault="0047287F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E7EB10E" w14:textId="3DBA0A72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87E6112" w14:textId="1CFE06A4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27A5578" w14:textId="75F85261" w:rsidR="0047287F" w:rsidRPr="00DB5378" w:rsidRDefault="006B1545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68%</w:t>
            </w:r>
          </w:p>
        </w:tc>
      </w:tr>
    </w:tbl>
    <w:p w14:paraId="77C24FBE" w14:textId="066C159F" w:rsidR="0047287F" w:rsidRDefault="0047287F" w:rsidP="00F80265">
      <w:pPr>
        <w:spacing w:after="0" w:line="240" w:lineRule="auto"/>
        <w:ind w:hanging="72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Morning Consult, April 2022</w:t>
      </w:r>
      <w:r>
        <w:rPr>
          <w:rFonts w:ascii="Verdana" w:hAnsi="Verdana"/>
          <w:iCs/>
          <w:sz w:val="16"/>
          <w:szCs w:val="16"/>
        </w:rPr>
        <w:tab/>
      </w:r>
    </w:p>
    <w:p w14:paraId="011A2E8B" w14:textId="5851714E" w:rsidR="007074C2" w:rsidRDefault="007074C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74B239" w14:textId="62E61C55" w:rsidR="006B1545" w:rsidRDefault="006B1545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D9CABD" w14:textId="2E4370AE" w:rsidR="006B1545" w:rsidRDefault="006B1545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C4689A4" w14:textId="691B4EE3" w:rsidR="006B1545" w:rsidRDefault="006B1545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7AE5379" w14:textId="77777777" w:rsidR="006B1545" w:rsidRDefault="006B1545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AA0122F" w14:textId="08034928" w:rsidR="00120A28" w:rsidRPr="001409A0" w:rsidRDefault="003A764C" w:rsidP="001409A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1409A0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The Effect of the </w:t>
      </w:r>
      <w:r w:rsidR="00120A28" w:rsidRPr="001409A0">
        <w:rPr>
          <w:rFonts w:ascii="Verdana" w:hAnsi="Verdana"/>
          <w:b/>
          <w:bCs/>
          <w:color w:val="0070C0"/>
          <w:sz w:val="20"/>
          <w:szCs w:val="20"/>
        </w:rPr>
        <w:t>Workplace Revolution</w:t>
      </w:r>
    </w:p>
    <w:p w14:paraId="49E67475" w14:textId="72EA4617" w:rsidR="00120A28" w:rsidRDefault="00120A28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08FC849" w14:textId="48CC8404" w:rsidR="00D303A4" w:rsidRDefault="00D303A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Although a new Nielsen study indicates 86% of Americans </w:t>
      </w:r>
      <w:r w:rsidR="00FE6BCA">
        <w:rPr>
          <w:rFonts w:ascii="Verdana" w:hAnsi="Verdana"/>
          <w:sz w:val="20"/>
          <w:szCs w:val="20"/>
        </w:rPr>
        <w:t xml:space="preserve">work </w:t>
      </w:r>
      <w:r>
        <w:rPr>
          <w:rFonts w:ascii="Verdana" w:hAnsi="Verdana"/>
          <w:sz w:val="20"/>
          <w:szCs w:val="20"/>
        </w:rPr>
        <w:t>outside the home, many of them are working a hybrid schedule. According to a 2022 survey from Ladders, 25% of all professional jobs in North America will be remote by the end of 2022.</w:t>
      </w:r>
    </w:p>
    <w:p w14:paraId="2347B0F9" w14:textId="77777777" w:rsidR="00012CC2" w:rsidRDefault="00012CC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3446E6F" w14:textId="6B5542D8" w:rsidR="00056F82" w:rsidRDefault="00D303A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pandemic-era “workplace revolution” has and will continue to </w:t>
      </w:r>
      <w:r w:rsidR="00ED7EA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ffect daytime driving patterns</w:t>
      </w:r>
      <w:r w:rsidR="00056F82">
        <w:rPr>
          <w:rFonts w:ascii="Verdana" w:hAnsi="Verdana"/>
          <w:sz w:val="20"/>
          <w:szCs w:val="20"/>
        </w:rPr>
        <w:t xml:space="preserve">, with more consumers likely eating lunch and shopping in their communities. </w:t>
      </w:r>
    </w:p>
    <w:p w14:paraId="22F920A1" w14:textId="77777777" w:rsidR="00056F82" w:rsidRDefault="00056F82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195983D" w14:textId="02F4196F" w:rsidR="00D303A4" w:rsidRPr="00120A28" w:rsidRDefault="00D303A4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Record-high prices for gasoline may cause some employers to allow more workers to work from home to help them balance their household budgets. </w:t>
      </w:r>
      <w:r w:rsidR="00056F82">
        <w:rPr>
          <w:rFonts w:ascii="Verdana" w:hAnsi="Verdana"/>
          <w:sz w:val="20"/>
          <w:szCs w:val="20"/>
        </w:rPr>
        <w:t>The significant increase in the number of commuters may result in needed vehicle service that had been delayed.</w:t>
      </w:r>
    </w:p>
    <w:p w14:paraId="6D771C1B" w14:textId="77777777" w:rsidR="001409A0" w:rsidRDefault="001409A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ADBA5A" w14:textId="6FD2F0EC" w:rsidR="00056F82" w:rsidRPr="00A65A1A" w:rsidRDefault="00012CC2" w:rsidP="00056F8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Share of Workers Who Used a Household Vehicle to Commute to Work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March </w:t>
      </w:r>
      <w:r w:rsidRPr="00A65A1A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1</w:t>
      </w:r>
    </w:p>
    <w:tbl>
      <w:tblPr>
        <w:tblW w:w="957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455"/>
        <w:gridCol w:w="1440"/>
        <w:gridCol w:w="1440"/>
        <w:gridCol w:w="1440"/>
        <w:gridCol w:w="1440"/>
      </w:tblGrid>
      <w:tr w:rsidR="00012CC2" w:rsidRPr="00A65A1A" w14:paraId="5BE80764" w14:textId="77777777" w:rsidTr="00056F82">
        <w:trPr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543EF94" w14:textId="0C7CFD47" w:rsidR="00012CC2" w:rsidRPr="00A65A1A" w:rsidRDefault="00012CC2" w:rsidP="00012C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Days/Week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A4AE04C" w14:textId="6ED3E56C" w:rsidR="00012CC2" w:rsidRPr="00A65A1A" w:rsidRDefault="00012CC2" w:rsidP="00012CC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Commuters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B8B0F43" w14:textId="5D533DE7" w:rsidR="00012CC2" w:rsidRDefault="00012CC2" w:rsidP="00012CC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Northeast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C943AAD" w14:textId="7DAFFA9A" w:rsidR="00012CC2" w:rsidRPr="00A65A1A" w:rsidRDefault="00012CC2" w:rsidP="00012CC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Midwest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0D5680B" w14:textId="0D34F9CC" w:rsidR="00012CC2" w:rsidRPr="00A65A1A" w:rsidRDefault="00012CC2" w:rsidP="00012CC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1605144A" w14:textId="23F70EDF" w:rsidR="00012CC2" w:rsidRPr="00A65A1A" w:rsidRDefault="00012CC2" w:rsidP="00012CC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</w:t>
            </w:r>
          </w:p>
        </w:tc>
      </w:tr>
      <w:tr w:rsidR="00012CC2" w:rsidRPr="00A65A1A" w14:paraId="73671A0C" w14:textId="77777777" w:rsidTr="00FE6BCA">
        <w:trPr>
          <w:jc w:val="center"/>
        </w:trPr>
        <w:tc>
          <w:tcPr>
            <w:tcW w:w="235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F70689F" w14:textId="6E735D2F" w:rsidR="00012CC2" w:rsidRPr="00A65A1A" w:rsidRDefault="00012CC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More than 5 days</w:t>
            </w:r>
          </w:p>
        </w:tc>
        <w:tc>
          <w:tcPr>
            <w:tcW w:w="145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66A8376" w14:textId="4A5B81C2" w:rsidR="00012CC2" w:rsidRPr="000F1C6D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9061A90" w14:textId="215528E5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02D9A18" w14:textId="3751953A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A35CD44" w14:textId="09564F51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D10AA6E" w14:textId="50344498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</w:tr>
      <w:tr w:rsidR="00012CC2" w:rsidRPr="00A65A1A" w14:paraId="2913A7EB" w14:textId="77777777" w:rsidTr="00FE6BCA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55F2144" w14:textId="0170AB2E" w:rsidR="00012CC2" w:rsidRPr="00A65A1A" w:rsidRDefault="00056F8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 days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D8BFE8D" w14:textId="75EABA2B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10B7522" w14:textId="65927EDA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0578F5F" w14:textId="781F86E4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F9960FC" w14:textId="1592B5DE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A2A6FE6" w14:textId="7B31B1FD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</w:tr>
      <w:tr w:rsidR="00012CC2" w:rsidRPr="00A65A1A" w14:paraId="625D9723" w14:textId="77777777" w:rsidTr="00FE6BCA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F7F567E" w14:textId="55F739A2" w:rsidR="00012CC2" w:rsidRPr="00A65A1A" w:rsidRDefault="00056F8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3–4 days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325E528" w14:textId="414FB18D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FD51104" w14:textId="3CE342E7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1542CB7" w14:textId="16B05A93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BFA85FE" w14:textId="33F804CD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4F33C4F" w14:textId="5E72CBF4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</w:tr>
      <w:tr w:rsidR="00012CC2" w:rsidRPr="00A65A1A" w14:paraId="72FAA418" w14:textId="77777777" w:rsidTr="00FE6BCA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21DA248" w14:textId="58795FB3" w:rsidR="00012CC2" w:rsidRPr="00A65A1A" w:rsidRDefault="00056F8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>–</w:t>
            </w: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days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5E7A208" w14:textId="4FFB6468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F29B292" w14:textId="2D9E82A5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6F0529E" w14:textId="5C2BFBB6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DB47AFA" w14:textId="0DF2E81B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FDED76A" w14:textId="0A405D70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</w:tr>
      <w:tr w:rsidR="00012CC2" w:rsidRPr="00A65A1A" w14:paraId="2162E41F" w14:textId="77777777" w:rsidTr="00FE6BCA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4761B77" w14:textId="1F2E51B4" w:rsidR="00012CC2" w:rsidRPr="00A65A1A" w:rsidRDefault="00056F8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Fewer than </w:t>
            </w:r>
            <w:r>
              <w:rPr>
                <w:rFonts w:ascii="Verdana" w:eastAsia="Times New Roman" w:hAnsi="Verdana"/>
                <w:sz w:val="20"/>
                <w:szCs w:val="20"/>
              </w:rPr>
              <w:t>1–2 days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20869B1" w14:textId="7894E7F4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23050C0" w14:textId="4D225248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E777BAA" w14:textId="0BED24FD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2968ACD" w14:textId="4F3B35FC" w:rsidR="00012CC2" w:rsidRPr="00A65A1A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457A508" w14:textId="79754A96" w:rsidR="00012CC2" w:rsidRPr="008C1BE9" w:rsidRDefault="00056F82" w:rsidP="00FE6BC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</w:tr>
    </w:tbl>
    <w:p w14:paraId="69D64649" w14:textId="582F5E4D" w:rsidR="00012CC2" w:rsidRDefault="00056F82" w:rsidP="00056F8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Morning Consult, April 2022</w:t>
      </w:r>
      <w:r w:rsidR="00012CC2">
        <w:rPr>
          <w:rFonts w:ascii="Verdana" w:hAnsi="Verdana"/>
          <w:sz w:val="16"/>
          <w:szCs w:val="16"/>
        </w:rPr>
        <w:tab/>
      </w:r>
      <w:r w:rsidR="00012CC2">
        <w:rPr>
          <w:rFonts w:ascii="Verdana" w:hAnsi="Verdana"/>
          <w:sz w:val="16"/>
          <w:szCs w:val="16"/>
        </w:rPr>
        <w:tab/>
      </w:r>
    </w:p>
    <w:p w14:paraId="3AE1E352" w14:textId="77777777" w:rsidR="001409A0" w:rsidRDefault="001409A0" w:rsidP="00120A28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90E8F1C" w14:textId="0D7E21C3" w:rsidR="00120A28" w:rsidRPr="00D2687E" w:rsidRDefault="00120A28" w:rsidP="00D2687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D2687E">
        <w:rPr>
          <w:rFonts w:ascii="Verdana" w:hAnsi="Verdana"/>
          <w:b/>
          <w:bCs/>
          <w:color w:val="0070C0"/>
          <w:sz w:val="20"/>
          <w:szCs w:val="20"/>
        </w:rPr>
        <w:t>In-Car Audio Trends</w:t>
      </w:r>
    </w:p>
    <w:p w14:paraId="286AC9F6" w14:textId="77777777" w:rsidR="00F94CE8" w:rsidRPr="00120A28" w:rsidRDefault="00F94CE8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3E0FDAE" w14:textId="14B1B6F7" w:rsidR="00056F82" w:rsidRDefault="00056F82" w:rsidP="00056F8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Nielsen’s March 2022 survey also found 39% of surveyed commuters had spent an hour or more in their vehicle during the previous day and 69% are heavy AM/FM radio listeners. </w:t>
      </w:r>
    </w:p>
    <w:p w14:paraId="23D2BAA2" w14:textId="77777777" w:rsidR="00F94CE8" w:rsidRPr="00120A28" w:rsidRDefault="00F94CE8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64EB1A4" w14:textId="2F80522B" w:rsidR="00F94CE8" w:rsidRPr="00120A28" w:rsidRDefault="00D2687E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Nielsen survey revealed the value of reaching podcast listeners, which often occurs while commuting. Of those persons 18+ surveyed, 97% of podcast listeners said they shop at stores in person, 81% attend outdoor events and 76% work in an office setting.</w:t>
      </w:r>
    </w:p>
    <w:p w14:paraId="7401C3C8" w14:textId="77777777" w:rsidR="00F94CE8" w:rsidRPr="00120A28" w:rsidRDefault="00F94CE8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6119BD6" w14:textId="77777777" w:rsidR="00841B75" w:rsidRDefault="00841B75" w:rsidP="00841B7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 of Purchase Intentions of Heavy AM/FM Radio </w:t>
      </w:r>
    </w:p>
    <w:p w14:paraId="5531CDE5" w14:textId="72B4A0CE" w:rsidR="0078273D" w:rsidRPr="00A65A1A" w:rsidRDefault="00841B75" w:rsidP="0078273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and Podcast Listeners and Heavy TV Viewers</w:t>
      </w:r>
      <w:r>
        <w:rPr>
          <w:rFonts w:ascii="Verdana" w:hAnsi="Verdana"/>
          <w:b/>
          <w:sz w:val="20"/>
          <w:szCs w:val="20"/>
        </w:rPr>
        <w:t xml:space="preserve">, March </w:t>
      </w:r>
      <w:r w:rsidRPr="00A65A1A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1</w:t>
      </w:r>
    </w:p>
    <w:tbl>
      <w:tblPr>
        <w:tblW w:w="9099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1296"/>
        <w:gridCol w:w="1296"/>
        <w:gridCol w:w="1296"/>
        <w:gridCol w:w="1296"/>
      </w:tblGrid>
      <w:tr w:rsidR="00841B75" w:rsidRPr="00A65A1A" w14:paraId="01C51CF4" w14:textId="77777777" w:rsidTr="0078273D">
        <w:trPr>
          <w:jc w:val="center"/>
        </w:trPr>
        <w:tc>
          <w:tcPr>
            <w:tcW w:w="3915" w:type="dxa"/>
            <w:tcBorders>
              <w:top w:val="single" w:sz="12" w:space="0" w:color="auto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81D03F8" w14:textId="0EA3EBC5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Purchase Intentions*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C2E0E46" w14:textId="12A1F254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DE64A5B" w14:textId="3E4F8C74" w:rsidR="00841B75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1BA8801" w14:textId="2BD6345F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AM/FM Radio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0C004789" w14:textId="785737C3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Podcast Listeners</w:t>
            </w:r>
          </w:p>
        </w:tc>
      </w:tr>
      <w:tr w:rsidR="00841B75" w:rsidRPr="00A65A1A" w14:paraId="693047A3" w14:textId="77777777" w:rsidTr="0078273D">
        <w:trPr>
          <w:jc w:val="center"/>
        </w:trPr>
        <w:tc>
          <w:tcPr>
            <w:tcW w:w="39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1F46960" w14:textId="3E534F56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Take a trip with air travel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87B4C37" w14:textId="64AAD5B1" w:rsidR="00841B75" w:rsidRPr="000F1C6D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38%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D279744" w14:textId="2A4DC3B1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7C0F5C5" w14:textId="098F5ABE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  <w:tc>
          <w:tcPr>
            <w:tcW w:w="129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20A15B17" w14:textId="6509A362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841B75" w:rsidRPr="00A65A1A" w14:paraId="7B10C993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392096" w14:textId="02A994D8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tech product for home or office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6A41BAB" w14:textId="684349C1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0C64EA7" w14:textId="0175516F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FD2E3B7" w14:textId="42A7C991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876A7D0" w14:textId="22E90069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44%</w:t>
            </w:r>
          </w:p>
        </w:tc>
      </w:tr>
      <w:tr w:rsidR="00841B75" w:rsidRPr="00A65A1A" w14:paraId="62DA9910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A930AF9" w14:textId="7EFFFA0A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major appliance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618C555" w14:textId="04D8C16B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F56FD4F" w14:textId="259D974A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2F763A" w14:textId="2DB999B9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BD76F6E" w14:textId="598C6F4A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32%</w:t>
            </w:r>
          </w:p>
        </w:tc>
      </w:tr>
      <w:tr w:rsidR="00841B75" w:rsidRPr="00A65A1A" w14:paraId="7B079740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F3C46BE" w14:textId="25704026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Buy or lease new or used vehicle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672A6B6" w14:textId="78B9FA52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7727D17" w14:textId="7E82D786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0355127" w14:textId="0AED3EAD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8771259" w14:textId="211962E0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</w:tr>
      <w:tr w:rsidR="00841B75" w:rsidRPr="00A65A1A" w14:paraId="27ED1438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A1E1837" w14:textId="704749F0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Major home improvement project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F93EF37" w14:textId="1517AC9A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94CE6C5" w14:textId="3B6FEBC8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6699FA9" w14:textId="27CC6F00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D1EF6C0" w14:textId="6EC103BB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</w:tr>
      <w:tr w:rsidR="00841B75" w:rsidRPr="00A65A1A" w14:paraId="55EEE9ED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F4A6CF" w14:textId="32B9AB55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new home entertainment product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FB0488A" w14:textId="582CE3E4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8DB9AD8" w14:textId="1611FFE7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972E736" w14:textId="2F9131F8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81CDA49" w14:textId="12288A76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</w:tr>
      <w:tr w:rsidR="00841B75" w:rsidRPr="00A65A1A" w14:paraId="3F3575CA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4B552BA" w14:textId="48CD9C35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major landscaping project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B3377C1" w14:textId="0FB9A746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08628E5" w14:textId="5707FBB7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065E82D" w14:textId="0E7A53A8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088E7E8" w14:textId="6108F7A0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</w:tr>
      <w:tr w:rsidR="00841B75" w:rsidRPr="00A65A1A" w14:paraId="134C6815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1205B6" w14:textId="2BA98662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One or more financial products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471F3F5" w14:textId="14685C76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2A8B381" w14:textId="7AB53B2F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A81E07F" w14:textId="218D38F4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38E407A" w14:textId="6A9D9EC1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</w:tr>
      <w:tr w:rsidR="00841B75" w:rsidRPr="00A65A1A" w14:paraId="54218EE5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541A659" w14:textId="32023F4B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new home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297916D" w14:textId="72479DC2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BB2EE6C" w14:textId="728127ED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B987671" w14:textId="076F26B9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304A458" w14:textId="58DD64B4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</w:tr>
      <w:tr w:rsidR="00841B75" w:rsidRPr="00A65A1A" w14:paraId="55B594D6" w14:textId="77777777" w:rsidTr="0078273D">
        <w:trPr>
          <w:jc w:val="center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673D99C" w14:textId="508DBECC" w:rsidR="00841B75" w:rsidRPr="00A65A1A" w:rsidRDefault="00841B75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Average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56FF729" w14:textId="4E8108BF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369B04A" w14:textId="7230A9C2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A930F42" w14:textId="0E6BC253" w:rsidR="00841B75" w:rsidRPr="00A65A1A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6BD42B8" w14:textId="185C3699" w:rsidR="00841B75" w:rsidRPr="008C1BE9" w:rsidRDefault="00841B75" w:rsidP="002B566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31%</w:t>
            </w:r>
          </w:p>
        </w:tc>
      </w:tr>
    </w:tbl>
    <w:p w14:paraId="02C0BC62" w14:textId="6D2098E9" w:rsidR="00F94CE8" w:rsidRPr="00120A28" w:rsidRDefault="00841B75" w:rsidP="0078273D">
      <w:pPr>
        <w:pStyle w:val="NoSpacing"/>
        <w:ind w:firstLine="18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Westwood One (Nielsen),</w:t>
      </w:r>
      <w:r>
        <w:rPr>
          <w:rFonts w:ascii="Verdana" w:hAnsi="Verdana"/>
          <w:iCs/>
          <w:sz w:val="16"/>
          <w:szCs w:val="16"/>
        </w:rPr>
        <w:t xml:space="preserve"> </w:t>
      </w:r>
      <w:r w:rsidR="005644C5">
        <w:rPr>
          <w:rFonts w:ascii="Verdana" w:hAnsi="Verdana"/>
          <w:iCs/>
          <w:sz w:val="16"/>
          <w:szCs w:val="16"/>
        </w:rPr>
        <w:t>May</w:t>
      </w:r>
      <w:r>
        <w:rPr>
          <w:rFonts w:ascii="Verdana" w:hAnsi="Verdana"/>
          <w:iCs/>
          <w:sz w:val="16"/>
          <w:szCs w:val="16"/>
        </w:rPr>
        <w:t xml:space="preserve"> 2022</w:t>
      </w:r>
    </w:p>
    <w:p w14:paraId="37079E4B" w14:textId="00C4D4E9" w:rsidR="00F94CE8" w:rsidRDefault="00F94CE8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A28A472" w14:textId="77777777" w:rsidR="0078273D" w:rsidRPr="00120A28" w:rsidRDefault="0078273D" w:rsidP="00120A28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065CF6E5" w:rsidR="00F94CE8" w:rsidRPr="00F1532F" w:rsidRDefault="00F1532F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its </w:t>
      </w:r>
      <w:r>
        <w:rPr>
          <w:rFonts w:ascii="Verdana" w:hAnsi="Verdana"/>
          <w:sz w:val="20"/>
          <w:szCs w:val="20"/>
        </w:rPr>
        <w:t xml:space="preserve">2021 U.S. Vehicle Dependability </w:t>
      </w:r>
      <w:r w:rsidRPr="00F1532F">
        <w:rPr>
          <w:rFonts w:ascii="Verdana" w:hAnsi="Verdana"/>
          <w:sz w:val="20"/>
          <w:szCs w:val="20"/>
        </w:rPr>
        <w:t>Study</w:t>
      </w:r>
      <w:r w:rsidRPr="00F1532F">
        <w:rPr>
          <w:rFonts w:ascii="Verdana" w:hAnsi="Verdana"/>
          <w:sz w:val="16"/>
          <w:szCs w:val="16"/>
          <w:vertAlign w:val="superscript"/>
        </w:rPr>
        <w:t>SM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 w:rsidRPr="00F1532F">
        <w:rPr>
          <w:sz w:val="20"/>
          <w:szCs w:val="20"/>
        </w:rPr>
        <w:t>J</w:t>
      </w:r>
      <w:r>
        <w:rPr>
          <w:sz w:val="20"/>
          <w:szCs w:val="20"/>
        </w:rPr>
        <w:t>.D. Power reports the dependability of mass-market vehicles continue</w:t>
      </w:r>
      <w:r w:rsidR="00861B80">
        <w:rPr>
          <w:sz w:val="20"/>
          <w:szCs w:val="20"/>
        </w:rPr>
        <w:t>s</w:t>
      </w:r>
      <w:r>
        <w:rPr>
          <w:sz w:val="20"/>
          <w:szCs w:val="20"/>
        </w:rPr>
        <w:t xml:space="preserve"> to improve as their problems per 100 vehicles (PP100) averaged 190, compared to 204 for premium vehicles, which have more parts.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1D96FDD5" w:rsidR="00F94CE8" w:rsidRDefault="00F1532F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Consumers surveyed from July 2021 through November 2021 said infotainment systems of the 184 specific problem areas in the study still cause the most problems, averaging a PP100 of 51.9, </w:t>
      </w:r>
      <w:r w:rsidR="009102FC">
        <w:rPr>
          <w:sz w:val="20"/>
          <w:szCs w:val="20"/>
        </w:rPr>
        <w:t>more than twice as many problems as the next-highest problem area.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73B1982" w14:textId="7C734F56" w:rsidR="005630E2" w:rsidRPr="00CC1ECE" w:rsidRDefault="005630E2" w:rsidP="005630E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Brand Rankings of Vehicle Dependability (PP100)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July</w:t>
      </w:r>
      <w:r>
        <w:rPr>
          <w:rFonts w:ascii="Verdana" w:hAnsi="Verdana"/>
          <w:b/>
          <w:sz w:val="20"/>
          <w:szCs w:val="20"/>
        </w:rPr>
        <w:t>–November 202</w:t>
      </w:r>
      <w:r>
        <w:rPr>
          <w:rFonts w:ascii="Verdana" w:hAnsi="Verdana"/>
          <w:b/>
          <w:sz w:val="20"/>
          <w:szCs w:val="20"/>
        </w:rPr>
        <w:t>1</w:t>
      </w:r>
    </w:p>
    <w:tbl>
      <w:tblPr>
        <w:tblW w:w="757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7"/>
        <w:gridCol w:w="2520"/>
        <w:gridCol w:w="1267"/>
      </w:tblGrid>
      <w:tr w:rsidR="005630E2" w:rsidRPr="00DB5378" w14:paraId="6E061556" w14:textId="77777777" w:rsidTr="00546B02">
        <w:trPr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14E4ABF" w14:textId="3EA3C8D1" w:rsidR="005630E2" w:rsidRPr="00DB5378" w:rsidRDefault="005630E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Brand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39655E8" w14:textId="641AD3FF" w:rsidR="005630E2" w:rsidRPr="00DB5378" w:rsidRDefault="005630E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PP100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96A7AED" w14:textId="55F12BD2" w:rsidR="005630E2" w:rsidRDefault="005630E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Brand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14FAA12E" w14:textId="50D92DF4" w:rsidR="005630E2" w:rsidRDefault="005630E2" w:rsidP="002B56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PP100</w:t>
            </w:r>
          </w:p>
        </w:tc>
      </w:tr>
      <w:tr w:rsidR="00546B02" w:rsidRPr="00DB5378" w14:paraId="463FC24C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A6D63D9" w14:textId="35493185" w:rsidR="00546B02" w:rsidRPr="00DB5378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Kia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519C7358" w14:textId="2E9F6C55" w:rsidR="00546B02" w:rsidRPr="00DB5378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  <w:tc>
          <w:tcPr>
            <w:tcW w:w="252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A01C604" w14:textId="13CA1841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Industry average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116797F" w14:textId="4B1135D4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</w:t>
            </w:r>
          </w:p>
        </w:tc>
      </w:tr>
      <w:tr w:rsidR="00546B02" w:rsidRPr="00DB5378" w14:paraId="52018746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70DAA30" w14:textId="1A6A3B93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Buick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0246BF58" w14:textId="41E953D0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F274684" w14:textId="6E4AD30A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#18: Mercedes-Benz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0C934F5" w14:textId="478F1C58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195</w:t>
            </w:r>
          </w:p>
        </w:tc>
      </w:tr>
      <w:tr w:rsidR="00546B02" w:rsidRPr="00DB5378" w14:paraId="2F980BF6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FAF7454" w14:textId="12673458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Hyundai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290E8393" w14:textId="519174A1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CDA55B3" w14:textId="583F4398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#19: Jeep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F168FD0" w14:textId="0E110014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</w:p>
        </w:tc>
      </w:tr>
      <w:tr w:rsidR="00546B02" w:rsidRPr="00DB5378" w14:paraId="0E926C55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70C8DD0" w14:textId="6D447EDA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Genesis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7A9211B" w14:textId="2CB582C7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E67D9A9" w14:textId="3D3CBB49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#20: Nissan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115DB80" w14:textId="5DE9A5F3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205</w:t>
            </w:r>
          </w:p>
        </w:tc>
      </w:tr>
      <w:tr w:rsidR="00546B02" w:rsidRPr="00DB5378" w14:paraId="4FB66945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10DF041" w14:textId="3E443FC9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Toyota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EC6A716" w14:textId="4FF79770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604B6AF" w14:textId="6790519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#21: Volkswagen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DE11A2F" w14:textId="2696E06E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217</w:t>
            </w:r>
          </w:p>
        </w:tc>
      </w:tr>
      <w:tr w:rsidR="00546B02" w:rsidRPr="00DB5378" w14:paraId="7D166821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7EB2B96" w14:textId="30F6F48D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Lexus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3F3F4D4" w14:textId="71CD9FD7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10452F6" w14:textId="052C95E2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#22: Subaru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DEFA193" w14:textId="1A7EC23D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226</w:t>
            </w:r>
          </w:p>
        </w:tc>
      </w:tr>
      <w:tr w:rsidR="00546B02" w:rsidRPr="00DB5378" w14:paraId="376A775D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FC39C33" w14:textId="5DEC7D9E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Porsche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E4C3335" w14:textId="3F649E7D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C555A8F" w14:textId="0BEE6E69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#23: Infiniti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18005C7" w14:textId="550E7A39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228</w:t>
            </w:r>
          </w:p>
        </w:tc>
      </w:tr>
      <w:tr w:rsidR="00546B02" w:rsidRPr="00DB5378" w14:paraId="7A431DAB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730A5AF" w14:textId="63DF80AF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Dodge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05114AD" w14:textId="3B4F5E7D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92EC1E" w14:textId="2773D2DF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#24: Honda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C79085F" w14:textId="216D79A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230</w:t>
            </w:r>
          </w:p>
        </w:tc>
      </w:tr>
      <w:tr w:rsidR="00546B02" w:rsidRPr="00DB5378" w14:paraId="4E9D2838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A8456AE" w14:textId="5E9D22FB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Cadillac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1FE2A14" w14:textId="694C28D0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EA10512" w14:textId="7FE0977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#25: Audi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024C9282" w14:textId="661F98FA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232</w:t>
            </w:r>
          </w:p>
        </w:tc>
      </w:tr>
      <w:tr w:rsidR="00546B02" w:rsidRPr="00DB5378" w14:paraId="2B7EDB93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588527B" w14:textId="1556B4B5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Chevrolet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9D0F634" w14:textId="0918C84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081E13C" w14:textId="653CAC9F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#26: Jaguar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21AAAB6B" w14:textId="63B74EFD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233</w:t>
            </w:r>
          </w:p>
        </w:tc>
      </w:tr>
      <w:tr w:rsidR="00546B02" w:rsidRPr="00DB5378" w14:paraId="6972AC8F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3932B1E" w14:textId="439BD203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#11: MINI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FEA0466" w14:textId="1A5452D4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FB7A979" w14:textId="0A5E2A1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#27: Chrysler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23ED80CB" w14:textId="5981503A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240</w:t>
            </w:r>
          </w:p>
        </w:tc>
      </w:tr>
      <w:tr w:rsidR="00546B02" w:rsidRPr="00DB5378" w14:paraId="16BBD84A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862803" w14:textId="36B5C268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#12: Mazda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5B9D082" w14:textId="4E26854E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480E7C3" w14:textId="50EFB0CA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#28: Acura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0480A30" w14:textId="165E088E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244</w:t>
            </w:r>
          </w:p>
        </w:tc>
      </w:tr>
      <w:tr w:rsidR="00546B02" w:rsidRPr="00DB5378" w14:paraId="31499AE0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70F9755" w14:textId="7BAF9FAC" w:rsidR="00546B02" w:rsidRPr="00DB5378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#13: Lincoln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C2D9636" w14:textId="1F2A90D9" w:rsidR="00546B02" w:rsidRPr="00DB5378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BE852AE" w14:textId="307AFAE4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#29: Alfa Romeo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4AB8DED6" w14:textId="78F7C55B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245</w:t>
            </w:r>
          </w:p>
        </w:tc>
      </w:tr>
      <w:tr w:rsidR="00546B02" w:rsidRPr="00DB5378" w14:paraId="4D75FA3C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FC742C3" w14:textId="363D9DF7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#14: Mitsubishi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A59264E" w14:textId="33E504C8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91F54BA" w14:textId="545B2DAB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#30: Volvo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2024DF8" w14:textId="48F3CB78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256</w:t>
            </w:r>
          </w:p>
        </w:tc>
      </w:tr>
      <w:tr w:rsidR="00546B02" w:rsidRPr="00DB5378" w14:paraId="1F1330E3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860ACA7" w14:textId="16928666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#15: BMW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FCC70BE" w14:textId="2106CDF3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0DD5FB" w14:textId="269E3D5B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#31: Ram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AD6D76C" w14:textId="52B06F2D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266</w:t>
            </w:r>
          </w:p>
        </w:tc>
      </w:tr>
      <w:tr w:rsidR="00546B02" w:rsidRPr="00DB5378" w14:paraId="1238C1CC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8280544" w14:textId="6D2A0E85" w:rsidR="00546B02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#16: Ford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125EE31D" w14:textId="017BEF8B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D3B881B" w14:textId="5823209C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#32: Land Rover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FE152F8" w14:textId="00F63416" w:rsidR="00546B02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284</w:t>
            </w:r>
          </w:p>
        </w:tc>
      </w:tr>
      <w:tr w:rsidR="00546B02" w:rsidRPr="00DB5378" w14:paraId="246739A3" w14:textId="77777777" w:rsidTr="002A758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20DB327" w14:textId="22F5C965" w:rsidR="00546B02" w:rsidRPr="00DB5378" w:rsidRDefault="00546B02" w:rsidP="00546B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#17: GMC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29EB377" w14:textId="4A3BE788" w:rsidR="00546B02" w:rsidRPr="00DB5378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D579CF8" w14:textId="4B57FC6A" w:rsidR="00546B02" w:rsidRPr="00DB5378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2DAD88" w14:textId="031EB024" w:rsidR="00546B02" w:rsidRPr="00DB5378" w:rsidRDefault="00546B02" w:rsidP="00546B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271AE607" w14:textId="5B20FE24" w:rsidR="005630E2" w:rsidRDefault="005630E2" w:rsidP="00546B02">
      <w:pPr>
        <w:tabs>
          <w:tab w:val="left" w:pos="90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ab/>
        <w:t xml:space="preserve">J.D. Power, </w:t>
      </w:r>
      <w:r w:rsidR="00546B02">
        <w:rPr>
          <w:rFonts w:ascii="Verdana" w:hAnsi="Verdana"/>
          <w:iCs/>
          <w:sz w:val="16"/>
          <w:szCs w:val="16"/>
        </w:rPr>
        <w:t>Febr</w:t>
      </w:r>
      <w:r>
        <w:rPr>
          <w:rFonts w:ascii="Verdana" w:hAnsi="Verdana"/>
          <w:iCs/>
          <w:sz w:val="16"/>
          <w:szCs w:val="16"/>
        </w:rPr>
        <w:t>uary 2022</w:t>
      </w: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6078856D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AA38623" w14:textId="3E5D9088" w:rsidR="005508EC" w:rsidRDefault="005508EC" w:rsidP="00F94CE8">
      <w:pPr>
        <w:pStyle w:val="NoSpacing"/>
        <w:contextualSpacing/>
        <w:rPr>
          <w:sz w:val="20"/>
          <w:szCs w:val="20"/>
        </w:rPr>
      </w:pPr>
    </w:p>
    <w:p w14:paraId="267E8481" w14:textId="5EAE0D32" w:rsidR="005508EC" w:rsidRDefault="005508EC" w:rsidP="00F94CE8">
      <w:pPr>
        <w:pStyle w:val="NoSpacing"/>
        <w:contextualSpacing/>
        <w:rPr>
          <w:sz w:val="20"/>
          <w:szCs w:val="20"/>
        </w:rPr>
      </w:pPr>
    </w:p>
    <w:p w14:paraId="563D2A2E" w14:textId="0387F996" w:rsidR="005508EC" w:rsidRDefault="005508EC" w:rsidP="00F94CE8">
      <w:pPr>
        <w:pStyle w:val="NoSpacing"/>
        <w:contextualSpacing/>
        <w:rPr>
          <w:sz w:val="20"/>
          <w:szCs w:val="20"/>
        </w:rPr>
      </w:pPr>
    </w:p>
    <w:p w14:paraId="625BB53D" w14:textId="77777777" w:rsidR="005508EC" w:rsidRDefault="005508EC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76FCEF62" w:rsidR="00F94CE8" w:rsidRPr="005508EC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5508EC">
        <w:rPr>
          <w:rFonts w:ascii="Verdana" w:hAnsi="Verdana"/>
          <w:i/>
          <w:sz w:val="16"/>
          <w:szCs w:val="16"/>
        </w:rPr>
        <w:t>Sources:</w:t>
      </w:r>
      <w:r w:rsidRPr="005508EC">
        <w:rPr>
          <w:rFonts w:ascii="Verdana" w:hAnsi="Verdana"/>
          <w:sz w:val="16"/>
          <w:szCs w:val="16"/>
        </w:rPr>
        <w:t xml:space="preserve"> </w:t>
      </w:r>
      <w:r w:rsidR="005508EC" w:rsidRPr="005508EC">
        <w:rPr>
          <w:i/>
          <w:iCs/>
          <w:sz w:val="16"/>
          <w:szCs w:val="16"/>
        </w:rPr>
        <w:t>Automotive News</w:t>
      </w:r>
      <w:r w:rsidR="005508EC" w:rsidRPr="005508EC">
        <w:rPr>
          <w:sz w:val="16"/>
          <w:szCs w:val="16"/>
        </w:rPr>
        <w:t xml:space="preserve"> </w:t>
      </w:r>
      <w:r w:rsidRPr="005508EC">
        <w:rPr>
          <w:rFonts w:ascii="Verdana" w:hAnsi="Verdana"/>
          <w:sz w:val="16"/>
          <w:szCs w:val="16"/>
        </w:rPr>
        <w:t xml:space="preserve">Website, </w:t>
      </w:r>
      <w:r w:rsidR="0031488D" w:rsidRPr="005508EC">
        <w:rPr>
          <w:rFonts w:ascii="Verdana" w:hAnsi="Verdana"/>
          <w:sz w:val="16"/>
          <w:szCs w:val="16"/>
        </w:rPr>
        <w:t>6</w:t>
      </w:r>
      <w:r w:rsidR="00306D88" w:rsidRPr="005508EC">
        <w:rPr>
          <w:rFonts w:ascii="Verdana" w:hAnsi="Verdana"/>
          <w:sz w:val="16"/>
          <w:szCs w:val="16"/>
        </w:rPr>
        <w:t>/</w:t>
      </w:r>
      <w:r w:rsidR="00AE6B2A" w:rsidRPr="005508EC">
        <w:rPr>
          <w:rFonts w:ascii="Verdana" w:hAnsi="Verdana"/>
          <w:sz w:val="16"/>
          <w:szCs w:val="16"/>
        </w:rPr>
        <w:t>2</w:t>
      </w:r>
      <w:r w:rsidR="00C8473A" w:rsidRPr="005508EC">
        <w:rPr>
          <w:rFonts w:ascii="Verdana" w:hAnsi="Verdana"/>
          <w:sz w:val="16"/>
          <w:szCs w:val="16"/>
        </w:rPr>
        <w:t>2</w:t>
      </w:r>
      <w:r w:rsidRPr="005508EC">
        <w:rPr>
          <w:rFonts w:ascii="Verdana" w:hAnsi="Verdana"/>
          <w:sz w:val="16"/>
          <w:szCs w:val="16"/>
        </w:rPr>
        <w:t xml:space="preserve">; </w:t>
      </w:r>
      <w:r w:rsidR="005508EC" w:rsidRPr="005508EC">
        <w:rPr>
          <w:sz w:val="16"/>
          <w:szCs w:val="16"/>
        </w:rPr>
        <w:t xml:space="preserve">Cox Automotive </w:t>
      </w:r>
      <w:r w:rsidRPr="005508EC">
        <w:rPr>
          <w:rFonts w:ascii="Verdana" w:hAnsi="Verdana"/>
          <w:sz w:val="16"/>
          <w:szCs w:val="16"/>
        </w:rPr>
        <w:t xml:space="preserve">Website, </w:t>
      </w:r>
      <w:r w:rsidR="0031488D" w:rsidRPr="005508EC">
        <w:rPr>
          <w:rFonts w:ascii="Verdana" w:hAnsi="Verdana"/>
          <w:sz w:val="16"/>
          <w:szCs w:val="16"/>
        </w:rPr>
        <w:t>6</w:t>
      </w:r>
      <w:r w:rsidR="004E421A" w:rsidRPr="005508EC">
        <w:rPr>
          <w:rFonts w:ascii="Verdana" w:hAnsi="Verdana"/>
          <w:sz w:val="16"/>
          <w:szCs w:val="16"/>
        </w:rPr>
        <w:t>/</w:t>
      </w:r>
      <w:r w:rsidR="00AE6B2A" w:rsidRPr="005508EC">
        <w:rPr>
          <w:rFonts w:ascii="Verdana" w:hAnsi="Verdana"/>
          <w:sz w:val="16"/>
          <w:szCs w:val="16"/>
        </w:rPr>
        <w:t>2</w:t>
      </w:r>
      <w:r w:rsidR="00C8473A" w:rsidRPr="005508EC">
        <w:rPr>
          <w:rFonts w:ascii="Verdana" w:hAnsi="Verdana"/>
          <w:sz w:val="16"/>
          <w:szCs w:val="16"/>
        </w:rPr>
        <w:t>2</w:t>
      </w:r>
      <w:r w:rsidRPr="005508EC">
        <w:rPr>
          <w:rFonts w:ascii="Verdana" w:hAnsi="Verdana"/>
          <w:sz w:val="16"/>
          <w:szCs w:val="16"/>
        </w:rPr>
        <w:t xml:space="preserve">; </w:t>
      </w:r>
      <w:r w:rsidR="005508EC" w:rsidRPr="005508EC">
        <w:rPr>
          <w:sz w:val="16"/>
          <w:szCs w:val="16"/>
        </w:rPr>
        <w:t xml:space="preserve">National Automobile Dealers Association </w:t>
      </w:r>
      <w:r w:rsidRPr="005508EC">
        <w:rPr>
          <w:rFonts w:ascii="Verdana" w:hAnsi="Verdana"/>
          <w:sz w:val="16"/>
          <w:szCs w:val="16"/>
        </w:rPr>
        <w:t>Website</w:t>
      </w:r>
      <w:r w:rsidR="00A00453" w:rsidRPr="005508EC">
        <w:rPr>
          <w:rFonts w:ascii="Verdana" w:hAnsi="Verdana"/>
          <w:sz w:val="16"/>
          <w:szCs w:val="16"/>
        </w:rPr>
        <w:t xml:space="preserve">, </w:t>
      </w:r>
      <w:r w:rsidR="0031488D" w:rsidRPr="005508EC">
        <w:rPr>
          <w:rFonts w:ascii="Verdana" w:hAnsi="Verdana"/>
          <w:sz w:val="16"/>
          <w:szCs w:val="16"/>
        </w:rPr>
        <w:t>6</w:t>
      </w:r>
      <w:r w:rsidR="00306D88" w:rsidRPr="005508EC">
        <w:rPr>
          <w:rFonts w:ascii="Verdana" w:hAnsi="Verdana"/>
          <w:sz w:val="16"/>
          <w:szCs w:val="16"/>
        </w:rPr>
        <w:t>/</w:t>
      </w:r>
      <w:r w:rsidR="00AE6B2A" w:rsidRPr="005508EC">
        <w:rPr>
          <w:rFonts w:ascii="Verdana" w:hAnsi="Verdana"/>
          <w:sz w:val="16"/>
          <w:szCs w:val="16"/>
        </w:rPr>
        <w:t>2</w:t>
      </w:r>
      <w:r w:rsidR="00C8473A" w:rsidRPr="005508EC">
        <w:rPr>
          <w:rFonts w:ascii="Verdana" w:hAnsi="Verdana"/>
          <w:sz w:val="16"/>
          <w:szCs w:val="16"/>
        </w:rPr>
        <w:t>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rFonts w:ascii="Verdana" w:hAnsi="Verdana"/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Wards Auto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i/>
          <w:iCs/>
          <w:sz w:val="16"/>
          <w:szCs w:val="16"/>
        </w:rPr>
        <w:t>U.S. News &amp; World Report</w:t>
      </w:r>
      <w:r w:rsidR="005508EC" w:rsidRPr="005508EC">
        <w:rPr>
          <w:sz w:val="16"/>
          <w:szCs w:val="16"/>
        </w:rPr>
        <w:t xml:space="preserve">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Morning Consult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The Media Audit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Good Car/Bad Car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McKinsey &amp; Company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J.D. Power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i/>
          <w:iCs/>
          <w:sz w:val="16"/>
          <w:szCs w:val="16"/>
        </w:rPr>
        <w:t>Forbes</w:t>
      </w:r>
      <w:r w:rsidR="005508EC" w:rsidRPr="005508EC">
        <w:rPr>
          <w:sz w:val="16"/>
          <w:szCs w:val="16"/>
        </w:rPr>
        <w:t xml:space="preserve">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;</w:t>
      </w:r>
      <w:r w:rsidR="005508EC" w:rsidRPr="005508EC">
        <w:rPr>
          <w:sz w:val="16"/>
          <w:szCs w:val="16"/>
        </w:rPr>
        <w:t xml:space="preserve"> </w:t>
      </w:r>
      <w:r w:rsidR="005508EC" w:rsidRPr="005508EC">
        <w:rPr>
          <w:sz w:val="16"/>
          <w:szCs w:val="16"/>
        </w:rPr>
        <w:t>Westwood One Website</w:t>
      </w:r>
      <w:r w:rsidR="005508EC" w:rsidRPr="005508EC">
        <w:rPr>
          <w:rFonts w:ascii="Verdana" w:hAnsi="Verdana"/>
          <w:sz w:val="16"/>
          <w:szCs w:val="16"/>
        </w:rPr>
        <w:t>, 6/22</w:t>
      </w:r>
      <w:r w:rsidR="005508EC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1653DAE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31488D">
        <w:rPr>
          <w:rFonts w:ascii="Verdana" w:hAnsi="Verdana"/>
          <w:sz w:val="16"/>
        </w:rPr>
        <w:t>June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D528" w14:textId="77777777" w:rsidR="00416AF4" w:rsidRDefault="00416AF4" w:rsidP="00260DE9">
      <w:pPr>
        <w:spacing w:after="0" w:line="240" w:lineRule="auto"/>
      </w:pPr>
      <w:r>
        <w:separator/>
      </w:r>
    </w:p>
  </w:endnote>
  <w:endnote w:type="continuationSeparator" w:id="0">
    <w:p w14:paraId="03B39AAB" w14:textId="77777777" w:rsidR="00416AF4" w:rsidRDefault="00416AF4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0BD1" w14:textId="77777777" w:rsidR="00416AF4" w:rsidRDefault="00416AF4" w:rsidP="00260DE9">
      <w:pPr>
        <w:spacing w:after="0" w:line="240" w:lineRule="auto"/>
      </w:pPr>
      <w:r>
        <w:separator/>
      </w:r>
    </w:p>
  </w:footnote>
  <w:footnote w:type="continuationSeparator" w:id="0">
    <w:p w14:paraId="7B72308B" w14:textId="77777777" w:rsidR="00416AF4" w:rsidRDefault="00416AF4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566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12CC2"/>
    <w:rsid w:val="00022540"/>
    <w:rsid w:val="00030B4A"/>
    <w:rsid w:val="0003466E"/>
    <w:rsid w:val="00052024"/>
    <w:rsid w:val="00053ADB"/>
    <w:rsid w:val="0005633E"/>
    <w:rsid w:val="00056F82"/>
    <w:rsid w:val="000577D6"/>
    <w:rsid w:val="0007198D"/>
    <w:rsid w:val="000830D7"/>
    <w:rsid w:val="000908CD"/>
    <w:rsid w:val="000B3440"/>
    <w:rsid w:val="000C0535"/>
    <w:rsid w:val="000C4B96"/>
    <w:rsid w:val="000C7821"/>
    <w:rsid w:val="000D2F3A"/>
    <w:rsid w:val="000D3A7E"/>
    <w:rsid w:val="000D7C07"/>
    <w:rsid w:val="00112A85"/>
    <w:rsid w:val="0012010F"/>
    <w:rsid w:val="00120A28"/>
    <w:rsid w:val="00136B8F"/>
    <w:rsid w:val="001409A0"/>
    <w:rsid w:val="00142DEE"/>
    <w:rsid w:val="001531C2"/>
    <w:rsid w:val="00154344"/>
    <w:rsid w:val="001575F9"/>
    <w:rsid w:val="00160474"/>
    <w:rsid w:val="00161442"/>
    <w:rsid w:val="0016492E"/>
    <w:rsid w:val="001773DA"/>
    <w:rsid w:val="00177D0F"/>
    <w:rsid w:val="001A05E7"/>
    <w:rsid w:val="001B0EE2"/>
    <w:rsid w:val="001B64B0"/>
    <w:rsid w:val="001C2831"/>
    <w:rsid w:val="001D53A3"/>
    <w:rsid w:val="001F5DFA"/>
    <w:rsid w:val="00255ED3"/>
    <w:rsid w:val="00260DE9"/>
    <w:rsid w:val="00294474"/>
    <w:rsid w:val="002A3782"/>
    <w:rsid w:val="002A4A73"/>
    <w:rsid w:val="002A6286"/>
    <w:rsid w:val="002A7588"/>
    <w:rsid w:val="002B0BCF"/>
    <w:rsid w:val="002B3E1A"/>
    <w:rsid w:val="002B428E"/>
    <w:rsid w:val="002E1F38"/>
    <w:rsid w:val="002E4ADF"/>
    <w:rsid w:val="00306D88"/>
    <w:rsid w:val="0031488D"/>
    <w:rsid w:val="0032299A"/>
    <w:rsid w:val="00327C87"/>
    <w:rsid w:val="003630CD"/>
    <w:rsid w:val="0038459A"/>
    <w:rsid w:val="003A764C"/>
    <w:rsid w:val="003B417B"/>
    <w:rsid w:val="003C15ED"/>
    <w:rsid w:val="003D6958"/>
    <w:rsid w:val="003E2E9B"/>
    <w:rsid w:val="003E6696"/>
    <w:rsid w:val="003F0FE1"/>
    <w:rsid w:val="00400606"/>
    <w:rsid w:val="00401DF8"/>
    <w:rsid w:val="00412473"/>
    <w:rsid w:val="00416AF4"/>
    <w:rsid w:val="00422A36"/>
    <w:rsid w:val="00424E79"/>
    <w:rsid w:val="00432903"/>
    <w:rsid w:val="0045212B"/>
    <w:rsid w:val="0045797F"/>
    <w:rsid w:val="0046193A"/>
    <w:rsid w:val="0047287F"/>
    <w:rsid w:val="0048482F"/>
    <w:rsid w:val="00493426"/>
    <w:rsid w:val="00494786"/>
    <w:rsid w:val="00494CA5"/>
    <w:rsid w:val="004A44C5"/>
    <w:rsid w:val="004A7F24"/>
    <w:rsid w:val="004D1974"/>
    <w:rsid w:val="004D4671"/>
    <w:rsid w:val="004E421A"/>
    <w:rsid w:val="004F7F58"/>
    <w:rsid w:val="0050254D"/>
    <w:rsid w:val="0051680B"/>
    <w:rsid w:val="00520014"/>
    <w:rsid w:val="00546B02"/>
    <w:rsid w:val="005508EC"/>
    <w:rsid w:val="005610BD"/>
    <w:rsid w:val="0056258A"/>
    <w:rsid w:val="005630E2"/>
    <w:rsid w:val="005644C5"/>
    <w:rsid w:val="0057012D"/>
    <w:rsid w:val="00571D6A"/>
    <w:rsid w:val="00592462"/>
    <w:rsid w:val="00596832"/>
    <w:rsid w:val="005C3BA5"/>
    <w:rsid w:val="005F19E9"/>
    <w:rsid w:val="005F5B57"/>
    <w:rsid w:val="00600CFD"/>
    <w:rsid w:val="00601F2D"/>
    <w:rsid w:val="00635FF3"/>
    <w:rsid w:val="00637CB9"/>
    <w:rsid w:val="006530D0"/>
    <w:rsid w:val="006557DC"/>
    <w:rsid w:val="00657B52"/>
    <w:rsid w:val="0067102D"/>
    <w:rsid w:val="0068770F"/>
    <w:rsid w:val="00687F73"/>
    <w:rsid w:val="0069436D"/>
    <w:rsid w:val="006B1545"/>
    <w:rsid w:val="006B3A10"/>
    <w:rsid w:val="006D1053"/>
    <w:rsid w:val="006E6275"/>
    <w:rsid w:val="006F502D"/>
    <w:rsid w:val="00707104"/>
    <w:rsid w:val="007074C2"/>
    <w:rsid w:val="00711E1A"/>
    <w:rsid w:val="007139CE"/>
    <w:rsid w:val="007257B5"/>
    <w:rsid w:val="007473BA"/>
    <w:rsid w:val="007651A4"/>
    <w:rsid w:val="0078273D"/>
    <w:rsid w:val="007862CF"/>
    <w:rsid w:val="00793BD0"/>
    <w:rsid w:val="007B6E29"/>
    <w:rsid w:val="007C40A9"/>
    <w:rsid w:val="007D0C77"/>
    <w:rsid w:val="007D3185"/>
    <w:rsid w:val="007F25B7"/>
    <w:rsid w:val="008058FD"/>
    <w:rsid w:val="00805C52"/>
    <w:rsid w:val="0082749D"/>
    <w:rsid w:val="0082769F"/>
    <w:rsid w:val="00841B75"/>
    <w:rsid w:val="0084332E"/>
    <w:rsid w:val="0085723D"/>
    <w:rsid w:val="00861B80"/>
    <w:rsid w:val="00875007"/>
    <w:rsid w:val="0088350D"/>
    <w:rsid w:val="0088505B"/>
    <w:rsid w:val="0089324F"/>
    <w:rsid w:val="008B1C30"/>
    <w:rsid w:val="008B2177"/>
    <w:rsid w:val="008B74C8"/>
    <w:rsid w:val="008C6CB5"/>
    <w:rsid w:val="008C6EC0"/>
    <w:rsid w:val="008D2BE0"/>
    <w:rsid w:val="009102FC"/>
    <w:rsid w:val="00911AE2"/>
    <w:rsid w:val="009229BB"/>
    <w:rsid w:val="00923C8D"/>
    <w:rsid w:val="00931A86"/>
    <w:rsid w:val="009337E5"/>
    <w:rsid w:val="009419F0"/>
    <w:rsid w:val="0097289D"/>
    <w:rsid w:val="0097480E"/>
    <w:rsid w:val="00984DF0"/>
    <w:rsid w:val="0099377F"/>
    <w:rsid w:val="009A3728"/>
    <w:rsid w:val="009A3EBE"/>
    <w:rsid w:val="009A4526"/>
    <w:rsid w:val="009A6479"/>
    <w:rsid w:val="009C6A17"/>
    <w:rsid w:val="009F3C8C"/>
    <w:rsid w:val="00A00453"/>
    <w:rsid w:val="00A031C1"/>
    <w:rsid w:val="00A12BB9"/>
    <w:rsid w:val="00A30B01"/>
    <w:rsid w:val="00A324F8"/>
    <w:rsid w:val="00A36401"/>
    <w:rsid w:val="00A55AAE"/>
    <w:rsid w:val="00A55AB4"/>
    <w:rsid w:val="00A61F9B"/>
    <w:rsid w:val="00A71026"/>
    <w:rsid w:val="00A820F9"/>
    <w:rsid w:val="00AA21F2"/>
    <w:rsid w:val="00AB01D8"/>
    <w:rsid w:val="00AD5A29"/>
    <w:rsid w:val="00AE087E"/>
    <w:rsid w:val="00AE1F72"/>
    <w:rsid w:val="00AE6B2A"/>
    <w:rsid w:val="00AE71B7"/>
    <w:rsid w:val="00B00E97"/>
    <w:rsid w:val="00B12A59"/>
    <w:rsid w:val="00B14875"/>
    <w:rsid w:val="00B33B46"/>
    <w:rsid w:val="00B36421"/>
    <w:rsid w:val="00B4203D"/>
    <w:rsid w:val="00B46EBE"/>
    <w:rsid w:val="00B6421F"/>
    <w:rsid w:val="00B7048D"/>
    <w:rsid w:val="00B704D2"/>
    <w:rsid w:val="00B74926"/>
    <w:rsid w:val="00BB2B01"/>
    <w:rsid w:val="00BC0DB8"/>
    <w:rsid w:val="00BC2144"/>
    <w:rsid w:val="00BE4BEC"/>
    <w:rsid w:val="00BE6652"/>
    <w:rsid w:val="00BF2313"/>
    <w:rsid w:val="00C11931"/>
    <w:rsid w:val="00C147E3"/>
    <w:rsid w:val="00C20878"/>
    <w:rsid w:val="00C21D13"/>
    <w:rsid w:val="00C315C4"/>
    <w:rsid w:val="00C412D4"/>
    <w:rsid w:val="00C54007"/>
    <w:rsid w:val="00C65128"/>
    <w:rsid w:val="00C77B54"/>
    <w:rsid w:val="00C8473A"/>
    <w:rsid w:val="00CE3B31"/>
    <w:rsid w:val="00CE7889"/>
    <w:rsid w:val="00D0118E"/>
    <w:rsid w:val="00D16971"/>
    <w:rsid w:val="00D17DB0"/>
    <w:rsid w:val="00D22E81"/>
    <w:rsid w:val="00D26223"/>
    <w:rsid w:val="00D2687E"/>
    <w:rsid w:val="00D303A4"/>
    <w:rsid w:val="00D311E1"/>
    <w:rsid w:val="00D37649"/>
    <w:rsid w:val="00D43300"/>
    <w:rsid w:val="00D8342E"/>
    <w:rsid w:val="00D93E11"/>
    <w:rsid w:val="00DA1474"/>
    <w:rsid w:val="00DC0A5C"/>
    <w:rsid w:val="00DC1770"/>
    <w:rsid w:val="00DC4F7C"/>
    <w:rsid w:val="00DD13FB"/>
    <w:rsid w:val="00DD5A41"/>
    <w:rsid w:val="00DE0FDD"/>
    <w:rsid w:val="00DE575B"/>
    <w:rsid w:val="00E13B28"/>
    <w:rsid w:val="00E20F93"/>
    <w:rsid w:val="00E21202"/>
    <w:rsid w:val="00E31C88"/>
    <w:rsid w:val="00E45F8D"/>
    <w:rsid w:val="00E607BE"/>
    <w:rsid w:val="00E80C14"/>
    <w:rsid w:val="00E926A9"/>
    <w:rsid w:val="00EA7047"/>
    <w:rsid w:val="00ED42A4"/>
    <w:rsid w:val="00ED7EA2"/>
    <w:rsid w:val="00EF6801"/>
    <w:rsid w:val="00EF6AB9"/>
    <w:rsid w:val="00F056FA"/>
    <w:rsid w:val="00F1532F"/>
    <w:rsid w:val="00F2704A"/>
    <w:rsid w:val="00F66EA8"/>
    <w:rsid w:val="00F70E29"/>
    <w:rsid w:val="00F7107C"/>
    <w:rsid w:val="00F80265"/>
    <w:rsid w:val="00F81657"/>
    <w:rsid w:val="00F94CE8"/>
    <w:rsid w:val="00FA30CA"/>
    <w:rsid w:val="00FA495C"/>
    <w:rsid w:val="00FB418C"/>
    <w:rsid w:val="00FB52BC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2022-06-14T16:37:00Z</dcterms:created>
  <dcterms:modified xsi:type="dcterms:W3CDTF">2022-06-14T16:37:00Z</dcterms:modified>
</cp:coreProperties>
</file>