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425A" w14:textId="66BB7848" w:rsidR="00F94CE8" w:rsidRPr="005F19E9" w:rsidRDefault="00E604BD" w:rsidP="00C11931">
      <w:pPr>
        <w:pStyle w:val="NoSpacing"/>
        <w:contextualSpacing/>
        <w:mirrorIndents/>
        <w:rPr>
          <w:rFonts w:ascii="Verdana" w:hAnsi="Verdana"/>
          <w:b/>
          <w:bCs/>
          <w:color w:val="FF0000"/>
          <w:sz w:val="20"/>
          <w:szCs w:val="20"/>
        </w:rPr>
      </w:pPr>
      <w:r>
        <w:rPr>
          <w:rFonts w:ascii="Verdana" w:hAnsi="Verdana"/>
          <w:b/>
          <w:bCs/>
          <w:color w:val="FF0000"/>
          <w:sz w:val="20"/>
          <w:szCs w:val="20"/>
        </w:rPr>
        <w:t>Loans &amp; Mortgages</w:t>
      </w:r>
      <w:r w:rsidR="005F19E9" w:rsidRPr="005F19E9">
        <w:rPr>
          <w:rFonts w:ascii="Verdana" w:hAnsi="Verdana"/>
          <w:b/>
          <w:bCs/>
          <w:color w:val="FF0000"/>
          <w:sz w:val="20"/>
          <w:szCs w:val="20"/>
        </w:rPr>
        <w:t xml:space="preserve"> Market 2022</w:t>
      </w:r>
    </w:p>
    <w:p w14:paraId="11DB62D2" w14:textId="77777777" w:rsidR="00F94CE8" w:rsidRPr="00550FF2" w:rsidRDefault="00F94CE8" w:rsidP="00550FF2">
      <w:pPr>
        <w:pStyle w:val="NoSpacing"/>
        <w:contextualSpacing/>
        <w:mirrorIndents/>
        <w:rPr>
          <w:rFonts w:ascii="Verdana" w:hAnsi="Verdana"/>
          <w:sz w:val="20"/>
          <w:szCs w:val="20"/>
        </w:rPr>
      </w:pPr>
    </w:p>
    <w:p w14:paraId="31777FF1" w14:textId="77777777" w:rsidR="00550FF2" w:rsidRPr="00550FF2" w:rsidRDefault="00550FF2" w:rsidP="00550FF2">
      <w:pPr>
        <w:spacing w:after="0" w:line="240" w:lineRule="auto"/>
        <w:contextualSpacing/>
        <w:mirrorIndents/>
        <w:jc w:val="center"/>
        <w:rPr>
          <w:rFonts w:ascii="Verdana" w:hAnsi="Verdana"/>
          <w:b/>
          <w:bCs/>
          <w:color w:val="0070C0"/>
          <w:sz w:val="20"/>
          <w:szCs w:val="20"/>
        </w:rPr>
      </w:pPr>
      <w:r w:rsidRPr="00550FF2">
        <w:rPr>
          <w:rFonts w:ascii="Verdana" w:hAnsi="Verdana"/>
          <w:b/>
          <w:bCs/>
          <w:color w:val="0070C0"/>
          <w:sz w:val="20"/>
          <w:szCs w:val="20"/>
        </w:rPr>
        <w:t>Economic Conditions Affect Loan Activity</w:t>
      </w:r>
    </w:p>
    <w:p w14:paraId="5074002A" w14:textId="77777777" w:rsidR="00550FF2" w:rsidRPr="00550FF2" w:rsidRDefault="00550FF2" w:rsidP="00550FF2">
      <w:pPr>
        <w:spacing w:after="0" w:line="240" w:lineRule="auto"/>
        <w:contextualSpacing/>
        <w:mirrorIndents/>
        <w:rPr>
          <w:rFonts w:ascii="Verdana" w:hAnsi="Verdana"/>
          <w:sz w:val="20"/>
          <w:szCs w:val="20"/>
        </w:rPr>
      </w:pPr>
    </w:p>
    <w:p w14:paraId="6DEB5A36" w14:textId="3B26484C" w:rsidR="00550FF2" w:rsidRDefault="00550FF2" w:rsidP="00550FF2">
      <w:pPr>
        <w:spacing w:after="0" w:line="240" w:lineRule="auto"/>
        <w:contextualSpacing/>
        <w:mirrorIndents/>
        <w:rPr>
          <w:rFonts w:ascii="Verdana" w:hAnsi="Verdana"/>
          <w:sz w:val="20"/>
          <w:szCs w:val="20"/>
        </w:rPr>
      </w:pPr>
      <w:r>
        <w:rPr>
          <w:rFonts w:ascii="Verdana" w:hAnsi="Verdana"/>
          <w:sz w:val="20"/>
          <w:szCs w:val="20"/>
        </w:rPr>
        <w:t>As the prices for goods and services increase, lower- and middle-income households are most affected, which is restricting those seeking a mortgage or vehicle loan. They may have sufficient credit, but the monthly payments are unaffordable.</w:t>
      </w:r>
    </w:p>
    <w:p w14:paraId="476A3B3F" w14:textId="77777777" w:rsidR="00550FF2" w:rsidRDefault="00550FF2" w:rsidP="00550FF2">
      <w:pPr>
        <w:spacing w:after="0" w:line="240" w:lineRule="auto"/>
        <w:contextualSpacing/>
        <w:mirrorIndents/>
        <w:rPr>
          <w:rFonts w:ascii="Verdana" w:hAnsi="Verdana"/>
          <w:sz w:val="20"/>
          <w:szCs w:val="20"/>
        </w:rPr>
      </w:pPr>
    </w:p>
    <w:p w14:paraId="4754594F" w14:textId="05DAD148" w:rsidR="00550FF2" w:rsidRDefault="00550FF2" w:rsidP="00550FF2">
      <w:pPr>
        <w:spacing w:after="0" w:line="240" w:lineRule="auto"/>
        <w:contextualSpacing/>
        <w:mirrorIndents/>
        <w:rPr>
          <w:rFonts w:ascii="Verdana" w:hAnsi="Verdana"/>
          <w:sz w:val="20"/>
          <w:szCs w:val="20"/>
        </w:rPr>
      </w:pPr>
      <w:r>
        <w:rPr>
          <w:rFonts w:ascii="Verdana" w:hAnsi="Verdana"/>
          <w:sz w:val="20"/>
          <w:szCs w:val="20"/>
        </w:rPr>
        <w:t xml:space="preserve">According to the U.S. Federal Reserve, </w:t>
      </w:r>
      <w:r w:rsidR="00731522">
        <w:rPr>
          <w:rFonts w:ascii="Verdana" w:hAnsi="Verdana"/>
          <w:sz w:val="20"/>
          <w:szCs w:val="20"/>
        </w:rPr>
        <w:t>the total outstanding consumer credit of $4.54 trillion during Q1 2022 increased moderately at 2.4% from Q4 2021. Loan delinquency rates remained very low during Q1 2022, or 2.7% of outstanding debt.</w:t>
      </w:r>
    </w:p>
    <w:p w14:paraId="53314BFB" w14:textId="77777777" w:rsidR="00731522" w:rsidRDefault="00731522" w:rsidP="00550FF2">
      <w:pPr>
        <w:spacing w:after="0" w:line="240" w:lineRule="auto"/>
        <w:contextualSpacing/>
        <w:mirrorIndents/>
        <w:rPr>
          <w:rFonts w:ascii="Verdana" w:hAnsi="Verdana"/>
          <w:sz w:val="20"/>
          <w:szCs w:val="20"/>
        </w:rPr>
      </w:pPr>
    </w:p>
    <w:p w14:paraId="267026B9" w14:textId="3EEE9B3A" w:rsidR="00731522" w:rsidRDefault="00F05263" w:rsidP="00550FF2">
      <w:pPr>
        <w:spacing w:after="0" w:line="240" w:lineRule="auto"/>
        <w:contextualSpacing/>
        <w:mirrorIndents/>
        <w:rPr>
          <w:rFonts w:ascii="Verdana" w:hAnsi="Verdana"/>
          <w:sz w:val="20"/>
          <w:szCs w:val="20"/>
        </w:rPr>
      </w:pPr>
      <w:r>
        <w:rPr>
          <w:rFonts w:ascii="Verdana" w:hAnsi="Verdana"/>
          <w:sz w:val="20"/>
          <w:szCs w:val="20"/>
        </w:rPr>
        <w:t>The change in the rate of consumer credit increased significantly through</w:t>
      </w:r>
      <w:r w:rsidR="00D16F60">
        <w:rPr>
          <w:rFonts w:ascii="Verdana" w:hAnsi="Verdana"/>
          <w:sz w:val="20"/>
          <w:szCs w:val="20"/>
        </w:rPr>
        <w:t>out</w:t>
      </w:r>
      <w:r>
        <w:rPr>
          <w:rFonts w:ascii="Verdana" w:hAnsi="Verdana"/>
          <w:sz w:val="20"/>
          <w:szCs w:val="20"/>
        </w:rPr>
        <w:t xml:space="preserve"> Q1 2022, averaging 9.7%, compared to 7.0% for Q4 2021. The rate was double-digits for February at 10.2% and increased substantially more for March at 14.0%.</w:t>
      </w:r>
    </w:p>
    <w:p w14:paraId="3C1CAAD5" w14:textId="32D2924F" w:rsidR="00F05263" w:rsidRDefault="00F05263" w:rsidP="00550FF2">
      <w:pPr>
        <w:spacing w:after="0" w:line="240" w:lineRule="auto"/>
        <w:contextualSpacing/>
        <w:mirrorIndents/>
        <w:rPr>
          <w:rFonts w:ascii="Verdana" w:hAnsi="Verdana"/>
          <w:sz w:val="20"/>
          <w:szCs w:val="20"/>
        </w:rPr>
      </w:pPr>
    </w:p>
    <w:p w14:paraId="11016EDC" w14:textId="40CCCFE8" w:rsidR="00D16F60" w:rsidRPr="00CC1ECE" w:rsidRDefault="000B0E22" w:rsidP="00D16F60">
      <w:pPr>
        <w:pStyle w:val="Header"/>
        <w:contextualSpacing/>
        <w:jc w:val="center"/>
        <w:rPr>
          <w:rFonts w:ascii="Verdana" w:hAnsi="Verdana"/>
          <w:b/>
          <w:sz w:val="20"/>
          <w:szCs w:val="20"/>
        </w:rPr>
      </w:pPr>
      <w:r>
        <w:rPr>
          <w:rFonts w:ascii="Verdana" w:hAnsi="Verdana"/>
          <w:b/>
          <w:sz w:val="20"/>
          <w:szCs w:val="20"/>
        </w:rPr>
        <w:t>Banks’ Willingness to Make Consumer Installment Loans*</w:t>
      </w:r>
      <w:r w:rsidR="00D16F60">
        <w:rPr>
          <w:rFonts w:ascii="Verdana" w:hAnsi="Verdana"/>
          <w:b/>
          <w:sz w:val="20"/>
          <w:szCs w:val="20"/>
        </w:rPr>
        <w:t xml:space="preserve">, </w:t>
      </w:r>
      <w:r>
        <w:rPr>
          <w:rFonts w:ascii="Verdana" w:hAnsi="Verdana"/>
          <w:b/>
          <w:sz w:val="20"/>
          <w:szCs w:val="20"/>
        </w:rPr>
        <w:t>Q1 2022</w:t>
      </w:r>
    </w:p>
    <w:tbl>
      <w:tblPr>
        <w:tblW w:w="6561" w:type="dxa"/>
        <w:jc w:val="center"/>
        <w:tblBorders>
          <w:left w:val="single" w:sz="8" w:space="0" w:color="000000"/>
          <w:right w:val="single" w:sz="8" w:space="0" w:color="000000"/>
        </w:tblBorders>
        <w:tblLayout w:type="fixed"/>
        <w:tblLook w:val="0000" w:firstRow="0" w:lastRow="0" w:firstColumn="0" w:lastColumn="0" w:noHBand="0" w:noVBand="0"/>
      </w:tblPr>
      <w:tblGrid>
        <w:gridCol w:w="2760"/>
        <w:gridCol w:w="1267"/>
        <w:gridCol w:w="1267"/>
        <w:gridCol w:w="1267"/>
      </w:tblGrid>
      <w:tr w:rsidR="000B0E22" w:rsidRPr="00CC1ECE" w14:paraId="5889FEE3" w14:textId="77777777" w:rsidTr="000B0E22">
        <w:trPr>
          <w:jc w:val="center"/>
        </w:trPr>
        <w:tc>
          <w:tcPr>
            <w:tcW w:w="2760" w:type="dxa"/>
            <w:tcBorders>
              <w:top w:val="single" w:sz="12" w:space="0" w:color="000000"/>
              <w:left w:val="single" w:sz="12" w:space="0" w:color="000000"/>
              <w:bottom w:val="single" w:sz="18" w:space="0" w:color="C0504D" w:themeColor="accent2"/>
              <w:right w:val="single" w:sz="18" w:space="0" w:color="0070C0"/>
            </w:tcBorders>
            <w:vAlign w:val="center"/>
          </w:tcPr>
          <w:p w14:paraId="7F06952E" w14:textId="6AD67247" w:rsidR="000B0E22" w:rsidRPr="00CC1ECE" w:rsidRDefault="000B0E22" w:rsidP="00A32846">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Willingness Level</w:t>
            </w:r>
          </w:p>
        </w:tc>
        <w:tc>
          <w:tcPr>
            <w:tcW w:w="1267" w:type="dxa"/>
            <w:tcBorders>
              <w:top w:val="single" w:sz="12" w:space="0" w:color="000000"/>
              <w:left w:val="single" w:sz="8" w:space="0" w:color="0070C0"/>
              <w:bottom w:val="single" w:sz="18" w:space="0" w:color="C0504D" w:themeColor="accent2"/>
              <w:right w:val="single" w:sz="8" w:space="0" w:color="0070C0"/>
            </w:tcBorders>
            <w:vAlign w:val="center"/>
          </w:tcPr>
          <w:p w14:paraId="3A960CCF" w14:textId="31B301BC" w:rsidR="000B0E22" w:rsidRPr="00CC1ECE" w:rsidRDefault="000B0E22" w:rsidP="00A32846">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All Banks</w:t>
            </w:r>
          </w:p>
        </w:tc>
        <w:tc>
          <w:tcPr>
            <w:tcW w:w="1267" w:type="dxa"/>
            <w:tcBorders>
              <w:top w:val="single" w:sz="12" w:space="0" w:color="000000"/>
              <w:left w:val="single" w:sz="8" w:space="0" w:color="0070C0"/>
              <w:bottom w:val="single" w:sz="18" w:space="0" w:color="C0504D" w:themeColor="accent2"/>
              <w:right w:val="single" w:sz="8" w:space="0" w:color="0070C0"/>
            </w:tcBorders>
            <w:vAlign w:val="center"/>
          </w:tcPr>
          <w:p w14:paraId="34E3E16A" w14:textId="3745001A" w:rsidR="000B0E22" w:rsidRDefault="000B0E22" w:rsidP="00A32846">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Large Banks</w:t>
            </w:r>
          </w:p>
        </w:tc>
        <w:tc>
          <w:tcPr>
            <w:tcW w:w="1267" w:type="dxa"/>
            <w:tcBorders>
              <w:top w:val="single" w:sz="12" w:space="0" w:color="000000"/>
              <w:left w:val="single" w:sz="8" w:space="0" w:color="0070C0"/>
              <w:bottom w:val="single" w:sz="18" w:space="0" w:color="C0504D" w:themeColor="accent2"/>
              <w:right w:val="single" w:sz="12" w:space="0" w:color="auto"/>
            </w:tcBorders>
            <w:vAlign w:val="center"/>
          </w:tcPr>
          <w:p w14:paraId="254B65B8" w14:textId="065C8D17" w:rsidR="000B0E22" w:rsidRDefault="000B0E22" w:rsidP="00A32846">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Other Bands</w:t>
            </w:r>
          </w:p>
        </w:tc>
      </w:tr>
      <w:tr w:rsidR="000B0E22" w:rsidRPr="00CC1ECE" w14:paraId="4F089EDA" w14:textId="77777777" w:rsidTr="008D149E">
        <w:trPr>
          <w:trHeight w:val="243"/>
          <w:jc w:val="center"/>
        </w:trPr>
        <w:tc>
          <w:tcPr>
            <w:tcW w:w="2760"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41042966" w14:textId="38834975" w:rsidR="000B0E22" w:rsidRPr="00CC1ECE" w:rsidRDefault="000B0E22" w:rsidP="00A3284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Much more willing</w:t>
            </w:r>
          </w:p>
        </w:tc>
        <w:tc>
          <w:tcPr>
            <w:tcW w:w="1267" w:type="dxa"/>
            <w:tcBorders>
              <w:top w:val="single" w:sz="18" w:space="0" w:color="C0504D" w:themeColor="accent2"/>
              <w:left w:val="single" w:sz="8" w:space="0" w:color="0070C0"/>
              <w:bottom w:val="single" w:sz="4" w:space="0" w:color="auto"/>
              <w:right w:val="single" w:sz="8" w:space="0" w:color="0070C0"/>
            </w:tcBorders>
            <w:shd w:val="clear" w:color="auto" w:fill="F2F2F2" w:themeFill="background1" w:themeFillShade="F2"/>
            <w:vAlign w:val="center"/>
          </w:tcPr>
          <w:p w14:paraId="57B50D36" w14:textId="0F3929F7" w:rsidR="000B0E22" w:rsidRPr="00CC1ECE" w:rsidRDefault="000B0E22" w:rsidP="00A328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0.0%</w:t>
            </w:r>
          </w:p>
        </w:tc>
        <w:tc>
          <w:tcPr>
            <w:tcW w:w="1267" w:type="dxa"/>
            <w:tcBorders>
              <w:top w:val="single" w:sz="18" w:space="0" w:color="C0504D" w:themeColor="accent2"/>
              <w:left w:val="single" w:sz="8" w:space="0" w:color="0070C0"/>
              <w:bottom w:val="single" w:sz="4" w:space="0" w:color="auto"/>
              <w:right w:val="single" w:sz="8" w:space="0" w:color="0070C0"/>
            </w:tcBorders>
            <w:shd w:val="clear" w:color="auto" w:fill="F2F2F2" w:themeFill="background1" w:themeFillShade="F2"/>
            <w:vAlign w:val="center"/>
          </w:tcPr>
          <w:p w14:paraId="4C2E2EE9" w14:textId="070E5D31" w:rsidR="000B0E22" w:rsidRDefault="000B0E22" w:rsidP="00A328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0.0%</w:t>
            </w:r>
          </w:p>
        </w:tc>
        <w:tc>
          <w:tcPr>
            <w:tcW w:w="1267" w:type="dxa"/>
            <w:tcBorders>
              <w:top w:val="single" w:sz="18" w:space="0" w:color="C0504D" w:themeColor="accent2"/>
              <w:left w:val="single" w:sz="8" w:space="0" w:color="0070C0"/>
              <w:bottom w:val="single" w:sz="4" w:space="0" w:color="auto"/>
              <w:right w:val="single" w:sz="12" w:space="0" w:color="auto"/>
            </w:tcBorders>
            <w:shd w:val="clear" w:color="auto" w:fill="F2F2F2" w:themeFill="background1" w:themeFillShade="F2"/>
            <w:vAlign w:val="center"/>
          </w:tcPr>
          <w:p w14:paraId="22CA8979" w14:textId="168DDD10" w:rsidR="000B0E22" w:rsidRDefault="000B0E22" w:rsidP="00A328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0.0%</w:t>
            </w:r>
          </w:p>
        </w:tc>
      </w:tr>
      <w:tr w:rsidR="000B0E22" w:rsidRPr="00CC1ECE" w14:paraId="6E979632" w14:textId="77777777" w:rsidTr="008D149E">
        <w:trPr>
          <w:trHeight w:val="243"/>
          <w:jc w:val="center"/>
        </w:trPr>
        <w:tc>
          <w:tcPr>
            <w:tcW w:w="276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18C2FE5E" w14:textId="61965E33" w:rsidR="000B0E22" w:rsidRDefault="000B0E22" w:rsidP="00A3284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Somewhat more willing</w:t>
            </w:r>
          </w:p>
        </w:tc>
        <w:tc>
          <w:tcPr>
            <w:tcW w:w="1267"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0BA52894" w14:textId="41D7CAA3" w:rsidR="000B0E22" w:rsidRDefault="000B0E22" w:rsidP="00A328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20.3%</w:t>
            </w:r>
          </w:p>
        </w:tc>
        <w:tc>
          <w:tcPr>
            <w:tcW w:w="1267"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10EEAF18" w14:textId="18B4FB52" w:rsidR="000B0E22" w:rsidRDefault="000B0E22" w:rsidP="00A328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22.2%</w:t>
            </w:r>
          </w:p>
        </w:tc>
        <w:tc>
          <w:tcPr>
            <w:tcW w:w="1267" w:type="dxa"/>
            <w:tcBorders>
              <w:top w:val="single" w:sz="4" w:space="0" w:color="auto"/>
              <w:left w:val="single" w:sz="8" w:space="0" w:color="0070C0"/>
              <w:bottom w:val="single" w:sz="4" w:space="0" w:color="000000"/>
              <w:right w:val="single" w:sz="12" w:space="0" w:color="auto"/>
            </w:tcBorders>
            <w:shd w:val="clear" w:color="auto" w:fill="C2D69B" w:themeFill="accent3" w:themeFillTint="99"/>
            <w:vAlign w:val="center"/>
          </w:tcPr>
          <w:p w14:paraId="2FBFDD3F" w14:textId="651B5A77" w:rsidR="000B0E22" w:rsidRDefault="000B0E22" w:rsidP="00A328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18.8%</w:t>
            </w:r>
          </w:p>
        </w:tc>
      </w:tr>
      <w:tr w:rsidR="000B0E22" w:rsidRPr="00CC1ECE" w14:paraId="26CC9ADD" w14:textId="77777777" w:rsidTr="008D149E">
        <w:trPr>
          <w:trHeight w:val="243"/>
          <w:jc w:val="center"/>
        </w:trPr>
        <w:tc>
          <w:tcPr>
            <w:tcW w:w="276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24C4FD73" w14:textId="63009E77" w:rsidR="000B0E22" w:rsidRDefault="000B0E22" w:rsidP="00A3284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Unchanged</w:t>
            </w:r>
          </w:p>
        </w:tc>
        <w:tc>
          <w:tcPr>
            <w:tcW w:w="1267" w:type="dxa"/>
            <w:tcBorders>
              <w:top w:val="single" w:sz="4" w:space="0" w:color="auto"/>
              <w:left w:val="single" w:sz="8" w:space="0" w:color="0070C0"/>
              <w:bottom w:val="single" w:sz="4" w:space="0" w:color="000000"/>
              <w:right w:val="single" w:sz="8" w:space="0" w:color="0070C0"/>
            </w:tcBorders>
            <w:shd w:val="clear" w:color="auto" w:fill="00B050"/>
            <w:vAlign w:val="center"/>
          </w:tcPr>
          <w:p w14:paraId="343BEB36" w14:textId="0FF59BA5" w:rsidR="000B0E22" w:rsidRDefault="000B0E22" w:rsidP="00A328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78.0%</w:t>
            </w:r>
          </w:p>
        </w:tc>
        <w:tc>
          <w:tcPr>
            <w:tcW w:w="1267" w:type="dxa"/>
            <w:tcBorders>
              <w:top w:val="single" w:sz="4" w:space="0" w:color="auto"/>
              <w:left w:val="single" w:sz="8" w:space="0" w:color="0070C0"/>
              <w:bottom w:val="single" w:sz="4" w:space="0" w:color="000000"/>
              <w:right w:val="single" w:sz="8" w:space="0" w:color="0070C0"/>
            </w:tcBorders>
            <w:shd w:val="clear" w:color="auto" w:fill="00B050"/>
            <w:vAlign w:val="center"/>
          </w:tcPr>
          <w:p w14:paraId="208EFB40" w14:textId="00965C2C" w:rsidR="000B0E22" w:rsidRDefault="000B0E22" w:rsidP="00A328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74.1%</w:t>
            </w:r>
          </w:p>
        </w:tc>
        <w:tc>
          <w:tcPr>
            <w:tcW w:w="1267" w:type="dxa"/>
            <w:tcBorders>
              <w:top w:val="single" w:sz="4" w:space="0" w:color="auto"/>
              <w:left w:val="single" w:sz="8" w:space="0" w:color="0070C0"/>
              <w:bottom w:val="single" w:sz="4" w:space="0" w:color="000000"/>
              <w:right w:val="single" w:sz="12" w:space="0" w:color="auto"/>
            </w:tcBorders>
            <w:shd w:val="clear" w:color="auto" w:fill="00B050"/>
            <w:vAlign w:val="center"/>
          </w:tcPr>
          <w:p w14:paraId="28498052" w14:textId="6D4C9598" w:rsidR="000B0E22" w:rsidRDefault="000B0E22" w:rsidP="00A328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81.2%</w:t>
            </w:r>
          </w:p>
        </w:tc>
      </w:tr>
      <w:tr w:rsidR="000B0E22" w:rsidRPr="00CC1ECE" w14:paraId="7C9731DF" w14:textId="77777777" w:rsidTr="008D149E">
        <w:trPr>
          <w:trHeight w:val="243"/>
          <w:jc w:val="center"/>
        </w:trPr>
        <w:tc>
          <w:tcPr>
            <w:tcW w:w="276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4869F3F9" w14:textId="349108A0" w:rsidR="000B0E22" w:rsidRDefault="000B0E22" w:rsidP="00A3284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Somewhat less willing</w:t>
            </w:r>
          </w:p>
        </w:tc>
        <w:tc>
          <w:tcPr>
            <w:tcW w:w="1267"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23C18262" w14:textId="6D691433" w:rsidR="000B0E22" w:rsidRDefault="000B0E22" w:rsidP="00A328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1.7%</w:t>
            </w:r>
          </w:p>
        </w:tc>
        <w:tc>
          <w:tcPr>
            <w:tcW w:w="1267"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73C5EC9D" w14:textId="669CBF9C" w:rsidR="000B0E22" w:rsidRDefault="000B0E22" w:rsidP="00A328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3.7%</w:t>
            </w:r>
          </w:p>
        </w:tc>
        <w:tc>
          <w:tcPr>
            <w:tcW w:w="1267" w:type="dxa"/>
            <w:tcBorders>
              <w:top w:val="single" w:sz="4" w:space="0" w:color="auto"/>
              <w:left w:val="single" w:sz="8" w:space="0" w:color="0070C0"/>
              <w:bottom w:val="single" w:sz="4" w:space="0" w:color="000000"/>
              <w:right w:val="single" w:sz="12" w:space="0" w:color="auto"/>
            </w:tcBorders>
            <w:shd w:val="clear" w:color="auto" w:fill="F2F2F2" w:themeFill="background1" w:themeFillShade="F2"/>
            <w:vAlign w:val="center"/>
          </w:tcPr>
          <w:p w14:paraId="0B134052" w14:textId="4D3D76A5" w:rsidR="000B0E22" w:rsidRDefault="000B0E22" w:rsidP="00A328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0.0%</w:t>
            </w:r>
          </w:p>
        </w:tc>
      </w:tr>
      <w:tr w:rsidR="000B0E22" w:rsidRPr="00CC1ECE" w14:paraId="6D97F255" w14:textId="77777777" w:rsidTr="008D149E">
        <w:trPr>
          <w:trHeight w:val="54"/>
          <w:jc w:val="center"/>
        </w:trPr>
        <w:tc>
          <w:tcPr>
            <w:tcW w:w="2760"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43BE097C" w14:textId="2E5E2095" w:rsidR="000B0E22" w:rsidRPr="00CC1ECE" w:rsidRDefault="000B0E22" w:rsidP="000B0E22">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Much less willing</w:t>
            </w:r>
          </w:p>
        </w:tc>
        <w:tc>
          <w:tcPr>
            <w:tcW w:w="1267" w:type="dxa"/>
            <w:tcBorders>
              <w:top w:val="single" w:sz="4" w:space="0" w:color="000000"/>
              <w:left w:val="single" w:sz="8" w:space="0" w:color="0070C0"/>
              <w:bottom w:val="single" w:sz="12" w:space="0" w:color="000000"/>
              <w:right w:val="single" w:sz="8" w:space="0" w:color="0070C0"/>
            </w:tcBorders>
            <w:shd w:val="clear" w:color="auto" w:fill="F2F2F2" w:themeFill="background1" w:themeFillShade="F2"/>
            <w:vAlign w:val="center"/>
          </w:tcPr>
          <w:p w14:paraId="6C7EBB3A" w14:textId="3F3D38EA" w:rsidR="000B0E22" w:rsidRPr="00CC1ECE" w:rsidRDefault="000B0E22" w:rsidP="000B0E2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0.0%</w:t>
            </w:r>
          </w:p>
        </w:tc>
        <w:tc>
          <w:tcPr>
            <w:tcW w:w="1267" w:type="dxa"/>
            <w:tcBorders>
              <w:top w:val="single" w:sz="4" w:space="0" w:color="000000"/>
              <w:left w:val="single" w:sz="8" w:space="0" w:color="0070C0"/>
              <w:bottom w:val="single" w:sz="12" w:space="0" w:color="000000"/>
              <w:right w:val="single" w:sz="8" w:space="0" w:color="0070C0"/>
            </w:tcBorders>
            <w:shd w:val="clear" w:color="auto" w:fill="F2F2F2" w:themeFill="background1" w:themeFillShade="F2"/>
            <w:vAlign w:val="center"/>
          </w:tcPr>
          <w:p w14:paraId="6C6FEA63" w14:textId="2ABD2FE4" w:rsidR="000B0E22" w:rsidRDefault="000B0E22" w:rsidP="000B0E2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0.0%</w:t>
            </w:r>
          </w:p>
        </w:tc>
        <w:tc>
          <w:tcPr>
            <w:tcW w:w="1267" w:type="dxa"/>
            <w:tcBorders>
              <w:top w:val="single" w:sz="4" w:space="0" w:color="000000"/>
              <w:left w:val="single" w:sz="8" w:space="0" w:color="0070C0"/>
              <w:bottom w:val="single" w:sz="12" w:space="0" w:color="000000"/>
              <w:right w:val="single" w:sz="12" w:space="0" w:color="auto"/>
            </w:tcBorders>
            <w:shd w:val="clear" w:color="auto" w:fill="F2F2F2" w:themeFill="background1" w:themeFillShade="F2"/>
            <w:vAlign w:val="center"/>
          </w:tcPr>
          <w:p w14:paraId="1C7FCAE8" w14:textId="36E31139" w:rsidR="000B0E22" w:rsidRDefault="000B0E22" w:rsidP="000B0E2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0.0%</w:t>
            </w:r>
          </w:p>
        </w:tc>
      </w:tr>
    </w:tbl>
    <w:p w14:paraId="5343ADE0" w14:textId="2FC0AEED" w:rsidR="00F05263" w:rsidRPr="00595195" w:rsidRDefault="00D16F60" w:rsidP="000B0E22">
      <w:pPr>
        <w:tabs>
          <w:tab w:val="left" w:pos="1440"/>
        </w:tabs>
        <w:spacing w:after="0" w:line="240" w:lineRule="auto"/>
        <w:contextualSpacing/>
        <w:mirrorIndents/>
        <w:rPr>
          <w:rFonts w:ascii="Verdana" w:hAnsi="Verdana"/>
          <w:sz w:val="16"/>
          <w:szCs w:val="16"/>
        </w:rPr>
      </w:pPr>
      <w:r>
        <w:rPr>
          <w:rFonts w:ascii="Verdana" w:hAnsi="Verdana"/>
          <w:sz w:val="16"/>
          <w:szCs w:val="16"/>
        </w:rPr>
        <w:tab/>
      </w:r>
      <w:r w:rsidR="000B0E22">
        <w:rPr>
          <w:rFonts w:ascii="Verdana" w:hAnsi="Verdana"/>
          <w:sz w:val="16"/>
          <w:szCs w:val="16"/>
        </w:rPr>
        <w:t>US Federal Reserve</w:t>
      </w:r>
      <w:r w:rsidRPr="00CC1ECE">
        <w:rPr>
          <w:rFonts w:ascii="Verdana" w:hAnsi="Verdana"/>
          <w:sz w:val="16"/>
          <w:szCs w:val="16"/>
        </w:rPr>
        <w:t xml:space="preserve">, </w:t>
      </w:r>
      <w:r>
        <w:rPr>
          <w:rFonts w:ascii="Verdana" w:hAnsi="Verdana"/>
          <w:sz w:val="16"/>
          <w:szCs w:val="16"/>
        </w:rPr>
        <w:t>April 202</w:t>
      </w:r>
      <w:r w:rsidR="000B0E22">
        <w:rPr>
          <w:rFonts w:ascii="Verdana" w:hAnsi="Verdana"/>
          <w:sz w:val="16"/>
          <w:szCs w:val="16"/>
        </w:rPr>
        <w:t xml:space="preserve">2 </w:t>
      </w:r>
      <w:r w:rsidR="00595195">
        <w:rPr>
          <w:rFonts w:ascii="Verdana" w:hAnsi="Verdana"/>
          <w:sz w:val="16"/>
          <w:szCs w:val="16"/>
        </w:rPr>
        <w:tab/>
      </w:r>
      <w:r w:rsidR="000B0E22">
        <w:rPr>
          <w:rFonts w:ascii="Verdana" w:hAnsi="Verdana"/>
          <w:sz w:val="16"/>
          <w:szCs w:val="16"/>
        </w:rPr>
        <w:t>*auto, student and personal loans</w:t>
      </w:r>
    </w:p>
    <w:p w14:paraId="6B40FDE6" w14:textId="77777777" w:rsidR="00731522" w:rsidRDefault="00731522" w:rsidP="00550FF2">
      <w:pPr>
        <w:spacing w:after="0" w:line="240" w:lineRule="auto"/>
        <w:contextualSpacing/>
        <w:mirrorIndents/>
        <w:rPr>
          <w:rFonts w:ascii="Verdana" w:hAnsi="Verdana"/>
          <w:sz w:val="20"/>
          <w:szCs w:val="20"/>
        </w:rPr>
      </w:pPr>
    </w:p>
    <w:p w14:paraId="0D372D44" w14:textId="3C3F80E7" w:rsidR="00550FF2" w:rsidRPr="00237D41" w:rsidRDefault="00550FF2" w:rsidP="00237D41">
      <w:pPr>
        <w:spacing w:after="0" w:line="240" w:lineRule="auto"/>
        <w:contextualSpacing/>
        <w:mirrorIndents/>
        <w:jc w:val="center"/>
        <w:rPr>
          <w:rFonts w:ascii="Verdana" w:hAnsi="Verdana"/>
          <w:b/>
          <w:bCs/>
          <w:color w:val="0070C0"/>
          <w:sz w:val="20"/>
          <w:szCs w:val="20"/>
        </w:rPr>
      </w:pPr>
      <w:r w:rsidRPr="00237D41">
        <w:rPr>
          <w:rFonts w:ascii="Verdana" w:hAnsi="Verdana"/>
          <w:b/>
          <w:bCs/>
          <w:color w:val="0070C0"/>
          <w:sz w:val="20"/>
          <w:szCs w:val="20"/>
        </w:rPr>
        <w:t>Cooling Housing Market Is a Good Sign</w:t>
      </w:r>
    </w:p>
    <w:p w14:paraId="18D053A9" w14:textId="77777777" w:rsidR="00550FF2" w:rsidRPr="00550FF2" w:rsidRDefault="00550FF2" w:rsidP="00550FF2">
      <w:pPr>
        <w:spacing w:after="0" w:line="240" w:lineRule="auto"/>
        <w:contextualSpacing/>
        <w:mirrorIndents/>
        <w:rPr>
          <w:rFonts w:ascii="Verdana" w:hAnsi="Verdana"/>
          <w:sz w:val="20"/>
          <w:szCs w:val="20"/>
        </w:rPr>
      </w:pPr>
    </w:p>
    <w:p w14:paraId="59B27A87" w14:textId="20C63E37" w:rsidR="00237D41" w:rsidRDefault="00237D41" w:rsidP="00550FF2">
      <w:pPr>
        <w:spacing w:after="0" w:line="240" w:lineRule="auto"/>
        <w:contextualSpacing/>
        <w:mirrorIndents/>
        <w:rPr>
          <w:rFonts w:ascii="Verdana" w:hAnsi="Verdana"/>
          <w:sz w:val="20"/>
          <w:szCs w:val="20"/>
        </w:rPr>
      </w:pPr>
      <w:r>
        <w:rPr>
          <w:rFonts w:ascii="Verdana" w:hAnsi="Verdana"/>
          <w:sz w:val="20"/>
          <w:szCs w:val="20"/>
        </w:rPr>
        <w:t>As a major contributor to the US economy, the housing market is starting to show signs of returning to a typical supply-and-demand pattern. According to Redfin, the number of homes for sale during May increased the most since the beginning of the year.</w:t>
      </w:r>
    </w:p>
    <w:p w14:paraId="704D99FF" w14:textId="6C19B98E" w:rsidR="00237D41" w:rsidRDefault="00237D41" w:rsidP="00550FF2">
      <w:pPr>
        <w:spacing w:after="0" w:line="240" w:lineRule="auto"/>
        <w:contextualSpacing/>
        <w:mirrorIndents/>
        <w:rPr>
          <w:rFonts w:ascii="Verdana" w:hAnsi="Verdana"/>
          <w:sz w:val="20"/>
          <w:szCs w:val="20"/>
        </w:rPr>
      </w:pPr>
    </w:p>
    <w:p w14:paraId="31F06869" w14:textId="54676E1A" w:rsidR="00237D41" w:rsidRDefault="00237D41" w:rsidP="00550FF2">
      <w:pPr>
        <w:spacing w:after="0" w:line="240" w:lineRule="auto"/>
        <w:contextualSpacing/>
        <w:mirrorIndents/>
        <w:rPr>
          <w:rFonts w:ascii="Verdana" w:hAnsi="Verdana"/>
          <w:sz w:val="20"/>
          <w:szCs w:val="20"/>
        </w:rPr>
      </w:pPr>
      <w:r>
        <w:rPr>
          <w:rFonts w:ascii="Verdana" w:hAnsi="Verdana"/>
          <w:sz w:val="20"/>
          <w:szCs w:val="20"/>
        </w:rPr>
        <w:t>Redfin also reports 20% of home sellers have reduced their asking prices; however, those prices still remain high as well as mortgage rates. The buyers’ market will remain restricted</w:t>
      </w:r>
      <w:r w:rsidR="00D11CED">
        <w:rPr>
          <w:rFonts w:ascii="Verdana" w:hAnsi="Verdana"/>
          <w:sz w:val="20"/>
          <w:szCs w:val="20"/>
        </w:rPr>
        <w:t xml:space="preserve"> during the short term, but should restart to recover throughout the year.</w:t>
      </w:r>
    </w:p>
    <w:p w14:paraId="0C60B6C9" w14:textId="7551064C" w:rsidR="00D11CED" w:rsidRPr="00595195" w:rsidRDefault="00D11CED" w:rsidP="00595195">
      <w:pPr>
        <w:spacing w:after="0" w:line="240" w:lineRule="auto"/>
        <w:contextualSpacing/>
        <w:mirrorIndents/>
        <w:rPr>
          <w:rFonts w:ascii="Verdana" w:hAnsi="Verdana"/>
          <w:sz w:val="20"/>
          <w:szCs w:val="20"/>
        </w:rPr>
      </w:pPr>
    </w:p>
    <w:p w14:paraId="4AF307CF" w14:textId="35332E8F" w:rsidR="00595195" w:rsidRPr="00595195" w:rsidRDefault="00595195" w:rsidP="00595195">
      <w:pPr>
        <w:spacing w:after="0" w:line="240" w:lineRule="auto"/>
        <w:contextualSpacing/>
        <w:mirrorIndents/>
        <w:rPr>
          <w:sz w:val="20"/>
          <w:szCs w:val="20"/>
        </w:rPr>
      </w:pPr>
      <w:r w:rsidRPr="00595195">
        <w:rPr>
          <w:sz w:val="20"/>
          <w:szCs w:val="20"/>
        </w:rPr>
        <w:t xml:space="preserve">More single-family homes were built during April </w:t>
      </w:r>
      <w:r>
        <w:rPr>
          <w:sz w:val="20"/>
          <w:szCs w:val="20"/>
        </w:rPr>
        <w:t xml:space="preserve">2022 </w:t>
      </w:r>
      <w:r w:rsidR="0061708C">
        <w:rPr>
          <w:sz w:val="20"/>
          <w:szCs w:val="20"/>
        </w:rPr>
        <w:t xml:space="preserve">than </w:t>
      </w:r>
      <w:r w:rsidRPr="00595195">
        <w:rPr>
          <w:sz w:val="20"/>
          <w:szCs w:val="20"/>
        </w:rPr>
        <w:t>since November 2006, leading many analysts to predict a reduction in prices throughout 2022</w:t>
      </w:r>
      <w:r>
        <w:rPr>
          <w:sz w:val="20"/>
          <w:szCs w:val="20"/>
        </w:rPr>
        <w:t>.</w:t>
      </w:r>
    </w:p>
    <w:p w14:paraId="406B842D" w14:textId="77777777" w:rsidR="00D11CED" w:rsidRPr="00414DA6" w:rsidRDefault="00D11CED" w:rsidP="00595195">
      <w:pPr>
        <w:spacing w:after="0" w:line="240" w:lineRule="auto"/>
        <w:contextualSpacing/>
        <w:mirrorIndents/>
        <w:rPr>
          <w:rFonts w:ascii="Verdana" w:hAnsi="Verdana"/>
          <w:sz w:val="20"/>
          <w:szCs w:val="20"/>
        </w:rPr>
      </w:pPr>
    </w:p>
    <w:p w14:paraId="3E38EB41" w14:textId="5B48420B" w:rsidR="00595195" w:rsidRPr="00414DA6" w:rsidRDefault="009A3522" w:rsidP="00595195">
      <w:pPr>
        <w:contextualSpacing/>
        <w:mirrorIndents/>
        <w:jc w:val="center"/>
        <w:rPr>
          <w:rFonts w:ascii="Verdana" w:hAnsi="Verdana"/>
          <w:b/>
          <w:bCs/>
          <w:sz w:val="20"/>
          <w:szCs w:val="20"/>
        </w:rPr>
      </w:pPr>
      <w:r w:rsidRPr="00414DA6">
        <w:rPr>
          <w:rFonts w:ascii="Verdana" w:hAnsi="Verdana"/>
          <w:b/>
          <w:bCs/>
          <w:sz w:val="20"/>
          <w:szCs w:val="20"/>
        </w:rPr>
        <w:t>Comparison of US Housing Starts</w:t>
      </w:r>
      <w:r w:rsidR="00595195" w:rsidRPr="00414DA6">
        <w:rPr>
          <w:rFonts w:ascii="Verdana" w:hAnsi="Verdana"/>
          <w:b/>
          <w:bCs/>
          <w:sz w:val="20"/>
          <w:szCs w:val="20"/>
        </w:rPr>
        <w:t xml:space="preserve">, </w:t>
      </w:r>
      <w:r w:rsidR="00CF3369" w:rsidRPr="00414DA6">
        <w:rPr>
          <w:rFonts w:ascii="Verdana" w:hAnsi="Verdana"/>
          <w:b/>
          <w:bCs/>
          <w:sz w:val="20"/>
          <w:szCs w:val="20"/>
        </w:rPr>
        <w:t xml:space="preserve">by Region, </w:t>
      </w:r>
      <w:r w:rsidRPr="00414DA6">
        <w:rPr>
          <w:rFonts w:ascii="Verdana" w:hAnsi="Verdana"/>
          <w:b/>
          <w:bCs/>
          <w:sz w:val="20"/>
          <w:szCs w:val="20"/>
        </w:rPr>
        <w:t xml:space="preserve">April </w:t>
      </w:r>
      <w:r w:rsidR="00595195" w:rsidRPr="00414DA6">
        <w:rPr>
          <w:rFonts w:ascii="Verdana" w:hAnsi="Verdana"/>
          <w:b/>
          <w:bCs/>
          <w:sz w:val="20"/>
          <w:szCs w:val="20"/>
        </w:rPr>
        <w:t>202</w:t>
      </w:r>
      <w:r w:rsidRPr="00414DA6">
        <w:rPr>
          <w:rFonts w:ascii="Verdana" w:hAnsi="Verdana"/>
          <w:b/>
          <w:bCs/>
          <w:sz w:val="20"/>
          <w:szCs w:val="20"/>
        </w:rPr>
        <w:t>2 vs. April 2021</w:t>
      </w:r>
    </w:p>
    <w:tbl>
      <w:tblPr>
        <w:tblW w:w="6353"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333"/>
        <w:gridCol w:w="1342"/>
        <w:gridCol w:w="1339"/>
        <w:gridCol w:w="1339"/>
      </w:tblGrid>
      <w:tr w:rsidR="009A3522" w:rsidRPr="00414DA6" w14:paraId="48382B8F" w14:textId="76AA175D" w:rsidTr="0061708C">
        <w:trPr>
          <w:jc w:val="center"/>
        </w:trPr>
        <w:tc>
          <w:tcPr>
            <w:tcW w:w="2333"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28A5EA51" w14:textId="72D1AA3E" w:rsidR="009A3522" w:rsidRPr="00414DA6" w:rsidRDefault="009A3522" w:rsidP="0061708C">
            <w:pPr>
              <w:widowControl w:val="0"/>
              <w:tabs>
                <w:tab w:val="left" w:pos="220"/>
                <w:tab w:val="left" w:pos="720"/>
              </w:tabs>
              <w:autoSpaceDE w:val="0"/>
              <w:autoSpaceDN w:val="0"/>
              <w:contextualSpacing/>
              <w:mirrorIndents/>
              <w:jc w:val="center"/>
              <w:rPr>
                <w:rFonts w:ascii="Verdana" w:eastAsia="Times New Roman" w:hAnsi="Verdana"/>
                <w:sz w:val="20"/>
                <w:szCs w:val="20"/>
              </w:rPr>
            </w:pPr>
            <w:r w:rsidRPr="00414DA6">
              <w:rPr>
                <w:rFonts w:ascii="Verdana" w:eastAsia="Times New Roman" w:hAnsi="Verdana"/>
                <w:sz w:val="20"/>
                <w:szCs w:val="20"/>
              </w:rPr>
              <w:t>Metrics</w:t>
            </w:r>
          </w:p>
        </w:tc>
        <w:tc>
          <w:tcPr>
            <w:tcW w:w="1342"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001AE6C4" w14:textId="310402F9" w:rsidR="009A3522" w:rsidRPr="00414DA6" w:rsidRDefault="009A3522" w:rsidP="0061708C">
            <w:pPr>
              <w:widowControl w:val="0"/>
              <w:tabs>
                <w:tab w:val="left" w:pos="220"/>
                <w:tab w:val="left" w:pos="720"/>
              </w:tabs>
              <w:autoSpaceDE w:val="0"/>
              <w:autoSpaceDN w:val="0"/>
              <w:contextualSpacing/>
              <w:mirrorIndents/>
              <w:jc w:val="center"/>
              <w:rPr>
                <w:rFonts w:ascii="Verdana" w:eastAsia="Times New Roman" w:hAnsi="Verdana"/>
                <w:sz w:val="20"/>
                <w:szCs w:val="20"/>
              </w:rPr>
            </w:pPr>
            <w:r w:rsidRPr="00414DA6">
              <w:rPr>
                <w:rFonts w:ascii="Verdana" w:eastAsia="Times New Roman" w:hAnsi="Verdana"/>
                <w:sz w:val="20"/>
                <w:szCs w:val="20"/>
              </w:rPr>
              <w:t>April 2021</w:t>
            </w:r>
          </w:p>
        </w:tc>
        <w:tc>
          <w:tcPr>
            <w:tcW w:w="1339"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0847DEBA" w14:textId="4708D3AE" w:rsidR="009A3522" w:rsidRPr="00414DA6" w:rsidRDefault="009A3522" w:rsidP="0061708C">
            <w:pPr>
              <w:widowControl w:val="0"/>
              <w:tabs>
                <w:tab w:val="left" w:pos="220"/>
                <w:tab w:val="left" w:pos="720"/>
              </w:tabs>
              <w:autoSpaceDE w:val="0"/>
              <w:autoSpaceDN w:val="0"/>
              <w:contextualSpacing/>
              <w:mirrorIndents/>
              <w:jc w:val="center"/>
              <w:rPr>
                <w:rFonts w:ascii="Verdana" w:eastAsia="Times New Roman" w:hAnsi="Verdana"/>
                <w:sz w:val="20"/>
                <w:szCs w:val="20"/>
              </w:rPr>
            </w:pPr>
            <w:r w:rsidRPr="00414DA6">
              <w:rPr>
                <w:rFonts w:ascii="Verdana" w:eastAsia="Times New Roman" w:hAnsi="Verdana"/>
                <w:sz w:val="20"/>
                <w:szCs w:val="20"/>
              </w:rPr>
              <w:t>April 2022</w:t>
            </w:r>
          </w:p>
        </w:tc>
        <w:tc>
          <w:tcPr>
            <w:tcW w:w="1339" w:type="dxa"/>
            <w:tcBorders>
              <w:top w:val="single" w:sz="12" w:space="0" w:color="000000"/>
              <w:left w:val="single" w:sz="8" w:space="0" w:color="0070C0"/>
              <w:bottom w:val="single" w:sz="18" w:space="0" w:color="C0504D" w:themeColor="accent2"/>
              <w:right w:val="single" w:sz="12" w:space="0" w:color="000000"/>
            </w:tcBorders>
            <w:vAlign w:val="center"/>
          </w:tcPr>
          <w:p w14:paraId="764F3ACD" w14:textId="3F009CC0" w:rsidR="009A3522" w:rsidRPr="00414DA6" w:rsidRDefault="009A3522" w:rsidP="0061708C">
            <w:pPr>
              <w:widowControl w:val="0"/>
              <w:tabs>
                <w:tab w:val="left" w:pos="220"/>
                <w:tab w:val="left" w:pos="720"/>
              </w:tabs>
              <w:autoSpaceDE w:val="0"/>
              <w:autoSpaceDN w:val="0"/>
              <w:contextualSpacing/>
              <w:mirrorIndents/>
              <w:jc w:val="center"/>
              <w:rPr>
                <w:rFonts w:ascii="Verdana" w:eastAsia="Times New Roman" w:hAnsi="Verdana"/>
                <w:sz w:val="20"/>
                <w:szCs w:val="20"/>
              </w:rPr>
            </w:pPr>
            <w:r w:rsidRPr="00414DA6">
              <w:rPr>
                <w:rFonts w:ascii="Verdana" w:eastAsia="Times New Roman" w:hAnsi="Verdana"/>
                <w:sz w:val="20"/>
                <w:szCs w:val="20"/>
              </w:rPr>
              <w:t>Change</w:t>
            </w:r>
          </w:p>
        </w:tc>
      </w:tr>
      <w:tr w:rsidR="009A3522" w:rsidRPr="00414DA6" w14:paraId="39686346" w14:textId="588FB997" w:rsidTr="0061708C">
        <w:tblPrEx>
          <w:tblBorders>
            <w:top w:val="none" w:sz="0" w:space="0" w:color="auto"/>
          </w:tblBorders>
        </w:tblPrEx>
        <w:trPr>
          <w:jc w:val="center"/>
        </w:trPr>
        <w:tc>
          <w:tcPr>
            <w:tcW w:w="2333"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2DEBEA50" w14:textId="74AB99EF" w:rsidR="009A3522" w:rsidRPr="00414DA6" w:rsidRDefault="00CF3369" w:rsidP="00A32846">
            <w:pPr>
              <w:widowControl w:val="0"/>
              <w:tabs>
                <w:tab w:val="left" w:pos="220"/>
                <w:tab w:val="left" w:pos="720"/>
              </w:tabs>
              <w:autoSpaceDE w:val="0"/>
              <w:autoSpaceDN w:val="0"/>
              <w:contextualSpacing/>
              <w:mirrorIndents/>
              <w:rPr>
                <w:rFonts w:ascii="Verdana" w:eastAsia="Times New Roman" w:hAnsi="Verdana"/>
                <w:sz w:val="20"/>
                <w:szCs w:val="20"/>
              </w:rPr>
            </w:pPr>
            <w:r w:rsidRPr="00414DA6">
              <w:rPr>
                <w:rFonts w:ascii="Verdana" w:eastAsia="Times New Roman" w:hAnsi="Verdana"/>
                <w:sz w:val="20"/>
                <w:szCs w:val="20"/>
              </w:rPr>
              <w:t>United States (total)</w:t>
            </w:r>
          </w:p>
        </w:tc>
        <w:tc>
          <w:tcPr>
            <w:tcW w:w="1342" w:type="dxa"/>
            <w:tcBorders>
              <w:top w:val="single" w:sz="18" w:space="0" w:color="C0504D" w:themeColor="accent2"/>
              <w:left w:val="single" w:sz="18" w:space="0" w:color="0070C0"/>
              <w:bottom w:val="single" w:sz="4" w:space="0" w:color="auto"/>
              <w:right w:val="single" w:sz="8" w:space="0" w:color="0070C0"/>
            </w:tcBorders>
            <w:shd w:val="clear" w:color="auto" w:fill="auto"/>
            <w:vAlign w:val="center"/>
          </w:tcPr>
          <w:p w14:paraId="4E88BEFA" w14:textId="39AB0B1C" w:rsidR="009A3522" w:rsidRPr="00414DA6" w:rsidRDefault="009A3522" w:rsidP="0061708C">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sidRPr="00414DA6">
              <w:rPr>
                <w:rFonts w:ascii="Verdana" w:eastAsia="Times New Roman" w:hAnsi="Verdana"/>
                <w:sz w:val="20"/>
                <w:szCs w:val="20"/>
              </w:rPr>
              <w:t>1,505</w:t>
            </w:r>
            <w:r w:rsidR="00CF3369" w:rsidRPr="00414DA6">
              <w:rPr>
                <w:rFonts w:ascii="Verdana" w:eastAsia="Times New Roman" w:hAnsi="Verdana"/>
                <w:sz w:val="20"/>
                <w:szCs w:val="20"/>
              </w:rPr>
              <w:t>,000</w:t>
            </w:r>
          </w:p>
        </w:tc>
        <w:tc>
          <w:tcPr>
            <w:tcW w:w="1339" w:type="dxa"/>
            <w:tcBorders>
              <w:top w:val="single" w:sz="18" w:space="0" w:color="C0504D" w:themeColor="accent2"/>
              <w:left w:val="single" w:sz="8" w:space="0" w:color="0070C0"/>
              <w:bottom w:val="single" w:sz="4" w:space="0" w:color="auto"/>
              <w:right w:val="single" w:sz="8" w:space="0" w:color="0070C0"/>
            </w:tcBorders>
            <w:shd w:val="clear" w:color="auto" w:fill="auto"/>
            <w:vAlign w:val="center"/>
          </w:tcPr>
          <w:p w14:paraId="10521E7D" w14:textId="08884AB3" w:rsidR="009A3522" w:rsidRPr="00414DA6" w:rsidRDefault="009A3522" w:rsidP="0061708C">
            <w:pPr>
              <w:widowControl w:val="0"/>
              <w:tabs>
                <w:tab w:val="left" w:pos="220"/>
                <w:tab w:val="left" w:pos="720"/>
              </w:tabs>
              <w:autoSpaceDE w:val="0"/>
              <w:autoSpaceDN w:val="0"/>
              <w:ind w:left="87"/>
              <w:contextualSpacing/>
              <w:mirrorIndents/>
              <w:jc w:val="right"/>
              <w:rPr>
                <w:rFonts w:ascii="Verdana" w:eastAsia="Times New Roman" w:hAnsi="Verdana"/>
                <w:sz w:val="20"/>
                <w:szCs w:val="20"/>
              </w:rPr>
            </w:pPr>
            <w:r w:rsidRPr="00414DA6">
              <w:rPr>
                <w:rFonts w:ascii="Verdana" w:eastAsia="Times New Roman" w:hAnsi="Verdana"/>
                <w:sz w:val="20"/>
                <w:szCs w:val="20"/>
              </w:rPr>
              <w:t>1,724</w:t>
            </w:r>
            <w:r w:rsidR="00CF3369" w:rsidRPr="00414DA6">
              <w:rPr>
                <w:rFonts w:ascii="Verdana" w:eastAsia="Times New Roman" w:hAnsi="Verdana"/>
                <w:sz w:val="20"/>
                <w:szCs w:val="20"/>
              </w:rPr>
              <w:t>,000</w:t>
            </w:r>
          </w:p>
        </w:tc>
        <w:tc>
          <w:tcPr>
            <w:tcW w:w="1339" w:type="dxa"/>
            <w:tcBorders>
              <w:top w:val="single" w:sz="18" w:space="0" w:color="C0504D" w:themeColor="accent2"/>
              <w:left w:val="single" w:sz="8" w:space="0" w:color="0070C0"/>
              <w:bottom w:val="single" w:sz="4" w:space="0" w:color="auto"/>
              <w:right w:val="single" w:sz="12" w:space="0" w:color="000000"/>
            </w:tcBorders>
            <w:shd w:val="clear" w:color="auto" w:fill="C2D69B" w:themeFill="accent3" w:themeFillTint="99"/>
            <w:vAlign w:val="center"/>
          </w:tcPr>
          <w:p w14:paraId="1CCFBE15" w14:textId="7D6C24B7" w:rsidR="009A3522" w:rsidRPr="00414DA6" w:rsidRDefault="00CF3369" w:rsidP="0061708C">
            <w:pPr>
              <w:widowControl w:val="0"/>
              <w:tabs>
                <w:tab w:val="left" w:pos="220"/>
                <w:tab w:val="left" w:pos="720"/>
              </w:tabs>
              <w:autoSpaceDE w:val="0"/>
              <w:autoSpaceDN w:val="0"/>
              <w:ind w:left="-9" w:firstLine="9"/>
              <w:contextualSpacing/>
              <w:mirrorIndents/>
              <w:jc w:val="right"/>
              <w:rPr>
                <w:rFonts w:ascii="Verdana" w:eastAsia="Times New Roman" w:hAnsi="Verdana"/>
                <w:sz w:val="20"/>
                <w:szCs w:val="20"/>
              </w:rPr>
            </w:pPr>
            <w:r w:rsidRPr="00414DA6">
              <w:rPr>
                <w:rFonts w:ascii="Verdana" w:eastAsia="Times New Roman" w:hAnsi="Verdana"/>
                <w:sz w:val="20"/>
                <w:szCs w:val="20"/>
              </w:rPr>
              <w:t>+14.6%</w:t>
            </w:r>
          </w:p>
        </w:tc>
      </w:tr>
      <w:tr w:rsidR="009A3522" w:rsidRPr="00414DA6" w14:paraId="6093B9A1" w14:textId="68BBF881" w:rsidTr="0061708C">
        <w:tblPrEx>
          <w:tblBorders>
            <w:top w:val="none" w:sz="0" w:space="0" w:color="auto"/>
          </w:tblBorders>
        </w:tblPrEx>
        <w:trPr>
          <w:jc w:val="center"/>
        </w:trPr>
        <w:tc>
          <w:tcPr>
            <w:tcW w:w="233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74B5414E" w14:textId="7E4960FA" w:rsidR="009A3522" w:rsidRPr="00414DA6" w:rsidRDefault="00CF3369" w:rsidP="00A32846">
            <w:pPr>
              <w:widowControl w:val="0"/>
              <w:tabs>
                <w:tab w:val="left" w:pos="220"/>
                <w:tab w:val="left" w:pos="720"/>
              </w:tabs>
              <w:autoSpaceDE w:val="0"/>
              <w:autoSpaceDN w:val="0"/>
              <w:contextualSpacing/>
              <w:mirrorIndents/>
              <w:rPr>
                <w:rFonts w:ascii="Verdana" w:eastAsia="Times New Roman" w:hAnsi="Verdana"/>
                <w:sz w:val="20"/>
                <w:szCs w:val="20"/>
              </w:rPr>
            </w:pPr>
            <w:r w:rsidRPr="00414DA6">
              <w:rPr>
                <w:rFonts w:ascii="Verdana" w:eastAsia="Times New Roman" w:hAnsi="Verdana"/>
                <w:sz w:val="20"/>
                <w:szCs w:val="20"/>
              </w:rPr>
              <w:t>Northeast (total)</w:t>
            </w:r>
          </w:p>
        </w:tc>
        <w:tc>
          <w:tcPr>
            <w:tcW w:w="1342" w:type="dxa"/>
            <w:tcBorders>
              <w:top w:val="single" w:sz="4" w:space="0" w:color="auto"/>
              <w:left w:val="single" w:sz="18" w:space="0" w:color="0070C0"/>
              <w:bottom w:val="single" w:sz="4" w:space="0" w:color="000000"/>
              <w:right w:val="single" w:sz="8" w:space="0" w:color="0070C0"/>
            </w:tcBorders>
            <w:shd w:val="clear" w:color="auto" w:fill="auto"/>
            <w:vAlign w:val="center"/>
          </w:tcPr>
          <w:p w14:paraId="6897351C" w14:textId="0E11BB81" w:rsidR="009A3522" w:rsidRPr="00414DA6" w:rsidRDefault="00CF3369" w:rsidP="0061708C">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sidRPr="00414DA6">
              <w:rPr>
                <w:rFonts w:ascii="Verdana" w:eastAsia="Times New Roman" w:hAnsi="Verdana"/>
                <w:sz w:val="20"/>
                <w:szCs w:val="20"/>
              </w:rPr>
              <w:t>156,000</w:t>
            </w:r>
          </w:p>
        </w:tc>
        <w:tc>
          <w:tcPr>
            <w:tcW w:w="1339" w:type="dxa"/>
            <w:tcBorders>
              <w:top w:val="single" w:sz="4" w:space="0" w:color="auto"/>
              <w:left w:val="single" w:sz="8" w:space="0" w:color="0070C0"/>
              <w:bottom w:val="single" w:sz="4" w:space="0" w:color="000000"/>
              <w:right w:val="single" w:sz="8" w:space="0" w:color="0070C0"/>
            </w:tcBorders>
            <w:shd w:val="clear" w:color="auto" w:fill="auto"/>
            <w:vAlign w:val="center"/>
          </w:tcPr>
          <w:p w14:paraId="5CC73045" w14:textId="7BEB8D26" w:rsidR="009A3522" w:rsidRPr="00414DA6" w:rsidRDefault="00CF3369" w:rsidP="0061708C">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sidRPr="00414DA6">
              <w:rPr>
                <w:rFonts w:ascii="Verdana" w:eastAsia="Times New Roman" w:hAnsi="Verdana"/>
                <w:sz w:val="20"/>
                <w:szCs w:val="20"/>
              </w:rPr>
              <w:t>182,000</w:t>
            </w:r>
          </w:p>
        </w:tc>
        <w:tc>
          <w:tcPr>
            <w:tcW w:w="1339"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0E3954A4" w14:textId="5A31F56E" w:rsidR="009A3522" w:rsidRPr="00414DA6" w:rsidRDefault="00CF3369" w:rsidP="0061708C">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sidRPr="00414DA6">
              <w:rPr>
                <w:rFonts w:ascii="Verdana" w:eastAsia="Times New Roman" w:hAnsi="Verdana"/>
                <w:sz w:val="20"/>
                <w:szCs w:val="20"/>
              </w:rPr>
              <w:t>+16.7%</w:t>
            </w:r>
          </w:p>
        </w:tc>
      </w:tr>
      <w:tr w:rsidR="009A3522" w:rsidRPr="00414DA6" w14:paraId="32E8E110" w14:textId="4870E102" w:rsidTr="0061708C">
        <w:tblPrEx>
          <w:tblBorders>
            <w:top w:val="none" w:sz="0" w:space="0" w:color="auto"/>
          </w:tblBorders>
        </w:tblPrEx>
        <w:trPr>
          <w:jc w:val="center"/>
        </w:trPr>
        <w:tc>
          <w:tcPr>
            <w:tcW w:w="233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1E454B47" w14:textId="59115AC2" w:rsidR="009A3522" w:rsidRPr="00414DA6" w:rsidRDefault="00CF3369" w:rsidP="00A32846">
            <w:pPr>
              <w:widowControl w:val="0"/>
              <w:tabs>
                <w:tab w:val="left" w:pos="220"/>
                <w:tab w:val="left" w:pos="720"/>
              </w:tabs>
              <w:autoSpaceDE w:val="0"/>
              <w:autoSpaceDN w:val="0"/>
              <w:contextualSpacing/>
              <w:mirrorIndents/>
              <w:rPr>
                <w:rFonts w:ascii="Verdana" w:eastAsia="Times New Roman" w:hAnsi="Verdana"/>
                <w:sz w:val="20"/>
                <w:szCs w:val="20"/>
              </w:rPr>
            </w:pPr>
            <w:r w:rsidRPr="00414DA6">
              <w:rPr>
                <w:rFonts w:ascii="Verdana" w:eastAsia="Times New Roman" w:hAnsi="Verdana"/>
                <w:sz w:val="20"/>
                <w:szCs w:val="20"/>
              </w:rPr>
              <w:t>Midwest</w:t>
            </w:r>
          </w:p>
        </w:tc>
        <w:tc>
          <w:tcPr>
            <w:tcW w:w="1342" w:type="dxa"/>
            <w:tcBorders>
              <w:top w:val="single" w:sz="4" w:space="0" w:color="auto"/>
              <w:left w:val="single" w:sz="18" w:space="0" w:color="0070C0"/>
              <w:bottom w:val="single" w:sz="4" w:space="0" w:color="000000"/>
              <w:right w:val="single" w:sz="8" w:space="0" w:color="0070C0"/>
            </w:tcBorders>
            <w:shd w:val="clear" w:color="auto" w:fill="auto"/>
            <w:vAlign w:val="center"/>
          </w:tcPr>
          <w:p w14:paraId="6365AAF2" w14:textId="37317E95" w:rsidR="009A3522" w:rsidRPr="00414DA6" w:rsidRDefault="00CF3369" w:rsidP="0061708C">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sidRPr="00414DA6">
              <w:rPr>
                <w:rFonts w:ascii="Verdana" w:eastAsia="Times New Roman" w:hAnsi="Verdana"/>
                <w:sz w:val="20"/>
                <w:szCs w:val="20"/>
              </w:rPr>
              <w:t>180,000</w:t>
            </w:r>
          </w:p>
        </w:tc>
        <w:tc>
          <w:tcPr>
            <w:tcW w:w="1339" w:type="dxa"/>
            <w:tcBorders>
              <w:top w:val="single" w:sz="4" w:space="0" w:color="auto"/>
              <w:left w:val="single" w:sz="8" w:space="0" w:color="0070C0"/>
              <w:bottom w:val="single" w:sz="4" w:space="0" w:color="000000"/>
              <w:right w:val="single" w:sz="8" w:space="0" w:color="0070C0"/>
            </w:tcBorders>
            <w:shd w:val="clear" w:color="auto" w:fill="auto"/>
            <w:vAlign w:val="center"/>
          </w:tcPr>
          <w:p w14:paraId="2E41F1E0" w14:textId="6B22CC3C" w:rsidR="009A3522" w:rsidRPr="00414DA6" w:rsidRDefault="00CF3369" w:rsidP="0061708C">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sidRPr="00414DA6">
              <w:rPr>
                <w:rFonts w:ascii="Verdana" w:eastAsia="Times New Roman" w:hAnsi="Verdana"/>
                <w:sz w:val="20"/>
                <w:szCs w:val="20"/>
              </w:rPr>
              <w:t>184,000</w:t>
            </w:r>
          </w:p>
        </w:tc>
        <w:tc>
          <w:tcPr>
            <w:tcW w:w="1339"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2D74E3DE" w14:textId="24A530D6" w:rsidR="009A3522" w:rsidRPr="00414DA6" w:rsidRDefault="00CF3369" w:rsidP="0061708C">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sidRPr="00414DA6">
              <w:rPr>
                <w:rFonts w:ascii="Verdana" w:eastAsia="Times New Roman" w:hAnsi="Verdana"/>
                <w:sz w:val="20"/>
                <w:szCs w:val="20"/>
              </w:rPr>
              <w:t>+2.2%</w:t>
            </w:r>
          </w:p>
        </w:tc>
      </w:tr>
      <w:tr w:rsidR="009A3522" w:rsidRPr="00414DA6" w14:paraId="3F8619E2" w14:textId="785682D4" w:rsidTr="0061708C">
        <w:tblPrEx>
          <w:tblBorders>
            <w:top w:val="none" w:sz="0" w:space="0" w:color="auto"/>
          </w:tblBorders>
        </w:tblPrEx>
        <w:trPr>
          <w:jc w:val="center"/>
        </w:trPr>
        <w:tc>
          <w:tcPr>
            <w:tcW w:w="233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B0EEF9E" w14:textId="6123FA09" w:rsidR="009A3522" w:rsidRPr="00414DA6" w:rsidRDefault="00CF3369" w:rsidP="00A32846">
            <w:pPr>
              <w:widowControl w:val="0"/>
              <w:tabs>
                <w:tab w:val="left" w:pos="220"/>
                <w:tab w:val="left" w:pos="720"/>
              </w:tabs>
              <w:autoSpaceDE w:val="0"/>
              <w:autoSpaceDN w:val="0"/>
              <w:contextualSpacing/>
              <w:mirrorIndents/>
              <w:rPr>
                <w:rFonts w:ascii="Verdana" w:eastAsia="Times New Roman" w:hAnsi="Verdana"/>
                <w:sz w:val="20"/>
                <w:szCs w:val="20"/>
              </w:rPr>
            </w:pPr>
            <w:r w:rsidRPr="00414DA6">
              <w:rPr>
                <w:rFonts w:ascii="Verdana" w:eastAsia="Times New Roman" w:hAnsi="Verdana"/>
                <w:sz w:val="20"/>
                <w:szCs w:val="20"/>
              </w:rPr>
              <w:t>South</w:t>
            </w:r>
          </w:p>
        </w:tc>
        <w:tc>
          <w:tcPr>
            <w:tcW w:w="1342" w:type="dxa"/>
            <w:tcBorders>
              <w:top w:val="single" w:sz="4" w:space="0" w:color="auto"/>
              <w:left w:val="single" w:sz="18" w:space="0" w:color="0070C0"/>
              <w:bottom w:val="single" w:sz="4" w:space="0" w:color="000000"/>
              <w:right w:val="single" w:sz="8" w:space="0" w:color="0070C0"/>
            </w:tcBorders>
            <w:shd w:val="clear" w:color="auto" w:fill="auto"/>
            <w:vAlign w:val="center"/>
          </w:tcPr>
          <w:p w14:paraId="770B3AD7" w14:textId="58C91F9C" w:rsidR="009A3522" w:rsidRPr="00414DA6" w:rsidRDefault="00CF3369" w:rsidP="0061708C">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sidRPr="00414DA6">
              <w:rPr>
                <w:rFonts w:ascii="Verdana" w:eastAsia="Times New Roman" w:hAnsi="Verdana"/>
                <w:sz w:val="20"/>
                <w:szCs w:val="20"/>
              </w:rPr>
              <w:t>782,000</w:t>
            </w:r>
          </w:p>
        </w:tc>
        <w:tc>
          <w:tcPr>
            <w:tcW w:w="1339" w:type="dxa"/>
            <w:tcBorders>
              <w:top w:val="single" w:sz="4" w:space="0" w:color="auto"/>
              <w:left w:val="single" w:sz="8" w:space="0" w:color="0070C0"/>
              <w:bottom w:val="single" w:sz="4" w:space="0" w:color="000000"/>
              <w:right w:val="single" w:sz="8" w:space="0" w:color="0070C0"/>
            </w:tcBorders>
            <w:shd w:val="clear" w:color="auto" w:fill="auto"/>
            <w:vAlign w:val="center"/>
          </w:tcPr>
          <w:p w14:paraId="150D6FC8" w14:textId="7E00402B" w:rsidR="009A3522" w:rsidRPr="00414DA6" w:rsidRDefault="00CF3369" w:rsidP="0061708C">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sidRPr="00414DA6">
              <w:rPr>
                <w:rFonts w:ascii="Verdana" w:eastAsia="Times New Roman" w:hAnsi="Verdana"/>
                <w:sz w:val="20"/>
                <w:szCs w:val="20"/>
              </w:rPr>
              <w:t>926,000</w:t>
            </w:r>
          </w:p>
        </w:tc>
        <w:tc>
          <w:tcPr>
            <w:tcW w:w="1339" w:type="dxa"/>
            <w:tcBorders>
              <w:top w:val="single" w:sz="4" w:space="0" w:color="auto"/>
              <w:left w:val="single" w:sz="8" w:space="0" w:color="0070C0"/>
              <w:bottom w:val="single" w:sz="4" w:space="0" w:color="000000"/>
              <w:right w:val="single" w:sz="12" w:space="0" w:color="000000"/>
            </w:tcBorders>
            <w:shd w:val="clear" w:color="auto" w:fill="00B050"/>
            <w:vAlign w:val="center"/>
          </w:tcPr>
          <w:p w14:paraId="29E5EE49" w14:textId="5D713DCC" w:rsidR="009A3522" w:rsidRPr="00414DA6" w:rsidRDefault="00CF3369" w:rsidP="0061708C">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sidRPr="00414DA6">
              <w:rPr>
                <w:rFonts w:ascii="Verdana" w:eastAsia="Times New Roman" w:hAnsi="Verdana"/>
                <w:sz w:val="20"/>
                <w:szCs w:val="20"/>
              </w:rPr>
              <w:t>+18.4%</w:t>
            </w:r>
          </w:p>
        </w:tc>
      </w:tr>
      <w:tr w:rsidR="009A3522" w:rsidRPr="00414DA6" w14:paraId="12823B3E" w14:textId="571E93C2" w:rsidTr="0061708C">
        <w:tblPrEx>
          <w:tblBorders>
            <w:top w:val="none" w:sz="0" w:space="0" w:color="auto"/>
          </w:tblBorders>
        </w:tblPrEx>
        <w:trPr>
          <w:jc w:val="center"/>
        </w:trPr>
        <w:tc>
          <w:tcPr>
            <w:tcW w:w="2333"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41943627" w14:textId="444A36AB" w:rsidR="009A3522" w:rsidRPr="00414DA6" w:rsidRDefault="00CF3369" w:rsidP="00A32846">
            <w:pPr>
              <w:widowControl w:val="0"/>
              <w:tabs>
                <w:tab w:val="left" w:pos="220"/>
                <w:tab w:val="left" w:pos="720"/>
              </w:tabs>
              <w:autoSpaceDE w:val="0"/>
              <w:autoSpaceDN w:val="0"/>
              <w:contextualSpacing/>
              <w:mirrorIndents/>
              <w:rPr>
                <w:rFonts w:ascii="Verdana" w:eastAsia="Times New Roman" w:hAnsi="Verdana"/>
                <w:sz w:val="20"/>
                <w:szCs w:val="20"/>
              </w:rPr>
            </w:pPr>
            <w:r w:rsidRPr="00414DA6">
              <w:rPr>
                <w:rFonts w:ascii="Verdana" w:eastAsia="Times New Roman" w:hAnsi="Verdana"/>
                <w:sz w:val="20"/>
                <w:szCs w:val="20"/>
              </w:rPr>
              <w:t>West</w:t>
            </w:r>
          </w:p>
        </w:tc>
        <w:tc>
          <w:tcPr>
            <w:tcW w:w="1342" w:type="dxa"/>
            <w:tcBorders>
              <w:top w:val="single" w:sz="4" w:space="0" w:color="000000"/>
              <w:left w:val="single" w:sz="18" w:space="0" w:color="0070C0"/>
              <w:bottom w:val="single" w:sz="12" w:space="0" w:color="auto"/>
              <w:right w:val="single" w:sz="8" w:space="0" w:color="0070C0"/>
            </w:tcBorders>
            <w:shd w:val="clear" w:color="auto" w:fill="auto"/>
            <w:vAlign w:val="center"/>
          </w:tcPr>
          <w:p w14:paraId="6DEE40A5" w14:textId="6577D1DA" w:rsidR="009A3522" w:rsidRPr="00414DA6" w:rsidRDefault="00CF3369" w:rsidP="0061708C">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sidRPr="00414DA6">
              <w:rPr>
                <w:rFonts w:ascii="Verdana" w:eastAsia="Times New Roman" w:hAnsi="Verdana"/>
                <w:sz w:val="20"/>
                <w:szCs w:val="20"/>
              </w:rPr>
              <w:t>387,000</w:t>
            </w:r>
          </w:p>
        </w:tc>
        <w:tc>
          <w:tcPr>
            <w:tcW w:w="1339" w:type="dxa"/>
            <w:tcBorders>
              <w:top w:val="single" w:sz="4" w:space="0" w:color="000000"/>
              <w:left w:val="single" w:sz="8" w:space="0" w:color="0070C0"/>
              <w:bottom w:val="single" w:sz="12" w:space="0" w:color="auto"/>
              <w:right w:val="single" w:sz="8" w:space="0" w:color="0070C0"/>
            </w:tcBorders>
            <w:shd w:val="clear" w:color="auto" w:fill="auto"/>
            <w:vAlign w:val="center"/>
          </w:tcPr>
          <w:p w14:paraId="12CE6195" w14:textId="31842803" w:rsidR="009A3522" w:rsidRPr="00414DA6" w:rsidRDefault="00CF3369" w:rsidP="0061708C">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sidRPr="00414DA6">
              <w:rPr>
                <w:rFonts w:ascii="Verdana" w:eastAsia="Times New Roman" w:hAnsi="Verdana"/>
                <w:sz w:val="20"/>
                <w:szCs w:val="20"/>
              </w:rPr>
              <w:t>432,000</w:t>
            </w:r>
          </w:p>
        </w:tc>
        <w:tc>
          <w:tcPr>
            <w:tcW w:w="1339" w:type="dxa"/>
            <w:tcBorders>
              <w:top w:val="single" w:sz="4" w:space="0" w:color="000000"/>
              <w:left w:val="single" w:sz="8" w:space="0" w:color="0070C0"/>
              <w:bottom w:val="single" w:sz="12" w:space="0" w:color="auto"/>
              <w:right w:val="single" w:sz="12" w:space="0" w:color="000000"/>
            </w:tcBorders>
            <w:shd w:val="clear" w:color="auto" w:fill="D6E3BC" w:themeFill="accent3" w:themeFillTint="66"/>
            <w:vAlign w:val="center"/>
          </w:tcPr>
          <w:p w14:paraId="4B17623A" w14:textId="6B8B8CE4" w:rsidR="009A3522" w:rsidRPr="00414DA6" w:rsidRDefault="00CF3369" w:rsidP="0061708C">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sidRPr="00414DA6">
              <w:rPr>
                <w:rFonts w:ascii="Verdana" w:eastAsia="Times New Roman" w:hAnsi="Verdana"/>
                <w:sz w:val="20"/>
                <w:szCs w:val="20"/>
              </w:rPr>
              <w:t>+11.6%</w:t>
            </w:r>
          </w:p>
        </w:tc>
      </w:tr>
    </w:tbl>
    <w:p w14:paraId="1855C725" w14:textId="5E5BE7B5" w:rsidR="00237D41" w:rsidRPr="00414DA6" w:rsidRDefault="00CF3369" w:rsidP="002241F3">
      <w:pPr>
        <w:tabs>
          <w:tab w:val="left" w:pos="1530"/>
        </w:tabs>
        <w:spacing w:after="0" w:line="240" w:lineRule="auto"/>
        <w:contextualSpacing/>
        <w:mirrorIndents/>
        <w:rPr>
          <w:rFonts w:ascii="Verdana" w:hAnsi="Verdana"/>
          <w:sz w:val="16"/>
          <w:szCs w:val="16"/>
        </w:rPr>
      </w:pPr>
      <w:r w:rsidRPr="00414DA6">
        <w:rPr>
          <w:rFonts w:ascii="Verdana" w:hAnsi="Verdana"/>
          <w:sz w:val="16"/>
          <w:szCs w:val="16"/>
        </w:rPr>
        <w:tab/>
        <w:t>US Census Bureau, May 2022</w:t>
      </w:r>
    </w:p>
    <w:p w14:paraId="1C67A295" w14:textId="77777777" w:rsidR="00595195" w:rsidRPr="00414DA6" w:rsidRDefault="00595195" w:rsidP="00550FF2">
      <w:pPr>
        <w:spacing w:after="0" w:line="240" w:lineRule="auto"/>
        <w:contextualSpacing/>
        <w:mirrorIndents/>
        <w:rPr>
          <w:rFonts w:ascii="Verdana" w:hAnsi="Verdana"/>
          <w:sz w:val="20"/>
          <w:szCs w:val="20"/>
        </w:rPr>
      </w:pPr>
    </w:p>
    <w:p w14:paraId="0B263897" w14:textId="4ED4F157" w:rsidR="00550FF2" w:rsidRPr="00AB7EE7" w:rsidRDefault="00550FF2" w:rsidP="00AB7EE7">
      <w:pPr>
        <w:spacing w:after="0" w:line="240" w:lineRule="auto"/>
        <w:contextualSpacing/>
        <w:mirrorIndents/>
        <w:jc w:val="center"/>
        <w:rPr>
          <w:rFonts w:ascii="Verdana" w:hAnsi="Verdana"/>
          <w:b/>
          <w:bCs/>
          <w:color w:val="0070C0"/>
          <w:sz w:val="20"/>
          <w:szCs w:val="20"/>
        </w:rPr>
      </w:pPr>
      <w:r w:rsidRPr="00AB7EE7">
        <w:rPr>
          <w:rFonts w:ascii="Verdana" w:hAnsi="Verdana"/>
          <w:b/>
          <w:bCs/>
          <w:color w:val="0070C0"/>
          <w:sz w:val="20"/>
          <w:szCs w:val="20"/>
        </w:rPr>
        <w:lastRenderedPageBreak/>
        <w:t>Mortgage Rates Have Likely Peaked</w:t>
      </w:r>
    </w:p>
    <w:p w14:paraId="5455A330" w14:textId="77777777" w:rsidR="00550FF2" w:rsidRPr="00550FF2" w:rsidRDefault="00550FF2" w:rsidP="00550FF2">
      <w:pPr>
        <w:spacing w:after="0" w:line="240" w:lineRule="auto"/>
        <w:contextualSpacing/>
        <w:mirrorIndents/>
        <w:rPr>
          <w:rFonts w:ascii="Verdana" w:hAnsi="Verdana"/>
          <w:sz w:val="20"/>
          <w:szCs w:val="20"/>
        </w:rPr>
      </w:pPr>
    </w:p>
    <w:p w14:paraId="1BCE35C3" w14:textId="7A654FB8" w:rsidR="00AB7EE7" w:rsidRDefault="00AB7EE7" w:rsidP="00550FF2">
      <w:pPr>
        <w:spacing w:after="0" w:line="240" w:lineRule="auto"/>
        <w:contextualSpacing/>
        <w:mirrorIndents/>
        <w:rPr>
          <w:rFonts w:ascii="Verdana" w:hAnsi="Verdana"/>
          <w:sz w:val="20"/>
          <w:szCs w:val="20"/>
        </w:rPr>
      </w:pPr>
      <w:r>
        <w:rPr>
          <w:rFonts w:ascii="Verdana" w:hAnsi="Verdana"/>
          <w:sz w:val="20"/>
          <w:szCs w:val="20"/>
        </w:rPr>
        <w:t>According to Bankrate, the average rate for a 30-year, fixed-mortgage was 5.45% as of 6/6/22, a 21-basis-point increase from 5/30/22</w:t>
      </w:r>
      <w:r w:rsidR="00FC3756">
        <w:rPr>
          <w:rFonts w:ascii="Verdana" w:hAnsi="Verdana"/>
          <w:sz w:val="20"/>
          <w:szCs w:val="20"/>
        </w:rPr>
        <w:t>. That rate is</w:t>
      </w:r>
      <w:r w:rsidR="007F7456">
        <w:rPr>
          <w:rFonts w:ascii="Verdana" w:hAnsi="Verdana"/>
          <w:sz w:val="20"/>
          <w:szCs w:val="20"/>
        </w:rPr>
        <w:t xml:space="preserve"> the</w:t>
      </w:r>
      <w:r w:rsidR="00FC3756">
        <w:rPr>
          <w:rFonts w:ascii="Verdana" w:hAnsi="Verdana"/>
          <w:sz w:val="20"/>
          <w:szCs w:val="20"/>
        </w:rPr>
        <w:t xml:space="preserve"> largest for more than a decade. The National 15-year, fixed-refinance rate was 4.64%.</w:t>
      </w:r>
    </w:p>
    <w:p w14:paraId="1E93104D" w14:textId="0AE51D56" w:rsidR="00FC3756" w:rsidRDefault="00FC3756" w:rsidP="00550FF2">
      <w:pPr>
        <w:spacing w:after="0" w:line="240" w:lineRule="auto"/>
        <w:contextualSpacing/>
        <w:mirrorIndents/>
        <w:rPr>
          <w:rFonts w:ascii="Verdana" w:hAnsi="Verdana"/>
          <w:sz w:val="20"/>
          <w:szCs w:val="20"/>
        </w:rPr>
      </w:pPr>
    </w:p>
    <w:p w14:paraId="12A32B09" w14:textId="1E2E3998" w:rsidR="00FC3756" w:rsidRDefault="00A96F43" w:rsidP="00550FF2">
      <w:pPr>
        <w:spacing w:after="0" w:line="240" w:lineRule="auto"/>
        <w:contextualSpacing/>
        <w:mirrorIndents/>
        <w:rPr>
          <w:rFonts w:ascii="Verdana" w:hAnsi="Verdana"/>
          <w:sz w:val="20"/>
          <w:szCs w:val="20"/>
        </w:rPr>
      </w:pPr>
      <w:r>
        <w:rPr>
          <w:rFonts w:ascii="Verdana" w:hAnsi="Verdana"/>
          <w:sz w:val="20"/>
          <w:szCs w:val="20"/>
        </w:rPr>
        <w:t>Another sign of an easing housing market was the 1.2% decrease of mortgage applications for the week ending 5/20/22, as reported by the Mortgage Bankers Association (MBA).</w:t>
      </w:r>
    </w:p>
    <w:p w14:paraId="6E6430BE" w14:textId="14AECF87" w:rsidR="00A96F43" w:rsidRDefault="00A96F43" w:rsidP="00550FF2">
      <w:pPr>
        <w:spacing w:after="0" w:line="240" w:lineRule="auto"/>
        <w:contextualSpacing/>
        <w:mirrorIndents/>
        <w:rPr>
          <w:rFonts w:ascii="Verdana" w:hAnsi="Verdana"/>
          <w:sz w:val="20"/>
          <w:szCs w:val="20"/>
        </w:rPr>
      </w:pPr>
    </w:p>
    <w:p w14:paraId="115C341B" w14:textId="4F4C5153" w:rsidR="00A96F43" w:rsidRDefault="00A96F43" w:rsidP="00550FF2">
      <w:pPr>
        <w:spacing w:after="0" w:line="240" w:lineRule="auto"/>
        <w:contextualSpacing/>
        <w:mirrorIndents/>
        <w:rPr>
          <w:rFonts w:ascii="Verdana" w:hAnsi="Verdana"/>
          <w:sz w:val="20"/>
          <w:szCs w:val="20"/>
        </w:rPr>
      </w:pPr>
      <w:r>
        <w:rPr>
          <w:rFonts w:ascii="Verdana" w:hAnsi="Verdana"/>
          <w:sz w:val="20"/>
          <w:szCs w:val="20"/>
        </w:rPr>
        <w:t>The MBA also reported the mortgage loan delinquency rate decreased 4.11% during Q1 2022, the seventh consecutive quarterly decrease; however, credit availability decreased slightly during April as the average mortgage rate increased.</w:t>
      </w:r>
    </w:p>
    <w:p w14:paraId="05C90808" w14:textId="0C45C193" w:rsidR="00A96F43" w:rsidRDefault="00A96F43" w:rsidP="00550FF2">
      <w:pPr>
        <w:spacing w:after="0" w:line="240" w:lineRule="auto"/>
        <w:contextualSpacing/>
        <w:mirrorIndents/>
        <w:rPr>
          <w:rFonts w:ascii="Verdana" w:hAnsi="Verdana"/>
          <w:sz w:val="20"/>
          <w:szCs w:val="20"/>
        </w:rPr>
      </w:pPr>
    </w:p>
    <w:p w14:paraId="1F0D29F0" w14:textId="7AA9BD56" w:rsidR="006269D3" w:rsidRPr="00CC1ECE" w:rsidRDefault="006269D3" w:rsidP="006269D3">
      <w:pPr>
        <w:pStyle w:val="Header"/>
        <w:contextualSpacing/>
        <w:jc w:val="center"/>
        <w:rPr>
          <w:rFonts w:ascii="Verdana" w:hAnsi="Verdana"/>
          <w:b/>
          <w:sz w:val="20"/>
          <w:szCs w:val="20"/>
        </w:rPr>
      </w:pPr>
      <w:r>
        <w:rPr>
          <w:rFonts w:ascii="Verdana" w:hAnsi="Verdana"/>
          <w:b/>
          <w:sz w:val="20"/>
          <w:szCs w:val="20"/>
        </w:rPr>
        <w:t>Mortgage Finance Forecast, Q1–Q4 2022, 2023 and 2024</w:t>
      </w:r>
    </w:p>
    <w:tbl>
      <w:tblPr>
        <w:tblW w:w="11415" w:type="dxa"/>
        <w:jc w:val="center"/>
        <w:tblBorders>
          <w:left w:val="single" w:sz="8" w:space="0" w:color="000000"/>
          <w:right w:val="single" w:sz="8" w:space="0" w:color="000000"/>
        </w:tblBorders>
        <w:tblLayout w:type="fixed"/>
        <w:tblLook w:val="0000" w:firstRow="0" w:lastRow="0" w:firstColumn="0" w:lastColumn="0" w:noHBand="0" w:noVBand="0"/>
      </w:tblPr>
      <w:tblGrid>
        <w:gridCol w:w="3225"/>
        <w:gridCol w:w="1170"/>
        <w:gridCol w:w="1170"/>
        <w:gridCol w:w="1170"/>
        <w:gridCol w:w="1170"/>
        <w:gridCol w:w="1170"/>
        <w:gridCol w:w="1170"/>
        <w:gridCol w:w="1170"/>
      </w:tblGrid>
      <w:tr w:rsidR="006269D3" w:rsidRPr="00CC1ECE" w14:paraId="2BA39E05" w14:textId="77777777" w:rsidTr="0061708C">
        <w:trPr>
          <w:jc w:val="center"/>
        </w:trPr>
        <w:tc>
          <w:tcPr>
            <w:tcW w:w="3225" w:type="dxa"/>
            <w:tcBorders>
              <w:top w:val="single" w:sz="12" w:space="0" w:color="000000"/>
              <w:left w:val="single" w:sz="12" w:space="0" w:color="000000"/>
              <w:bottom w:val="single" w:sz="18" w:space="0" w:color="C0504D" w:themeColor="accent2"/>
              <w:right w:val="single" w:sz="18" w:space="0" w:color="0070C0"/>
            </w:tcBorders>
            <w:vAlign w:val="center"/>
          </w:tcPr>
          <w:p w14:paraId="570E8BD7" w14:textId="77777777" w:rsidR="006269D3" w:rsidRPr="00CC1ECE" w:rsidRDefault="006269D3" w:rsidP="0061708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Forecast Metric</w:t>
            </w:r>
          </w:p>
        </w:tc>
        <w:tc>
          <w:tcPr>
            <w:tcW w:w="1170" w:type="dxa"/>
            <w:tcBorders>
              <w:top w:val="single" w:sz="12" w:space="0" w:color="000000"/>
              <w:left w:val="single" w:sz="8" w:space="0" w:color="0070C0"/>
              <w:bottom w:val="single" w:sz="18" w:space="0" w:color="C0504D" w:themeColor="accent2"/>
              <w:right w:val="single" w:sz="8" w:space="0" w:color="0070C0"/>
            </w:tcBorders>
            <w:vAlign w:val="center"/>
          </w:tcPr>
          <w:p w14:paraId="6417A506" w14:textId="6E0B82E6" w:rsidR="006269D3" w:rsidRPr="00CC1ECE" w:rsidRDefault="006269D3" w:rsidP="0061708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Q1 2022</w:t>
            </w:r>
          </w:p>
        </w:tc>
        <w:tc>
          <w:tcPr>
            <w:tcW w:w="1170" w:type="dxa"/>
            <w:tcBorders>
              <w:top w:val="single" w:sz="12" w:space="0" w:color="000000"/>
              <w:left w:val="single" w:sz="8" w:space="0" w:color="0070C0"/>
              <w:bottom w:val="single" w:sz="18" w:space="0" w:color="C0504D" w:themeColor="accent2"/>
              <w:right w:val="single" w:sz="8" w:space="0" w:color="0070C0"/>
            </w:tcBorders>
            <w:vAlign w:val="center"/>
          </w:tcPr>
          <w:p w14:paraId="7A22C2EC" w14:textId="6AD3141F" w:rsidR="006269D3" w:rsidRPr="00CC1ECE" w:rsidRDefault="006269D3" w:rsidP="0061708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Q2 2022</w:t>
            </w:r>
          </w:p>
        </w:tc>
        <w:tc>
          <w:tcPr>
            <w:tcW w:w="1170" w:type="dxa"/>
            <w:tcBorders>
              <w:top w:val="single" w:sz="12" w:space="0" w:color="000000"/>
              <w:left w:val="single" w:sz="8" w:space="0" w:color="0070C0"/>
              <w:bottom w:val="single" w:sz="18" w:space="0" w:color="C0504D" w:themeColor="accent2"/>
              <w:right w:val="single" w:sz="8" w:space="0" w:color="0070C0"/>
            </w:tcBorders>
            <w:vAlign w:val="center"/>
          </w:tcPr>
          <w:p w14:paraId="229CDF95" w14:textId="2D680FE0" w:rsidR="006269D3" w:rsidRDefault="006269D3" w:rsidP="0061708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Q3 2022</w:t>
            </w:r>
          </w:p>
        </w:tc>
        <w:tc>
          <w:tcPr>
            <w:tcW w:w="1170" w:type="dxa"/>
            <w:tcBorders>
              <w:top w:val="single" w:sz="12" w:space="0" w:color="000000"/>
              <w:left w:val="single" w:sz="8" w:space="0" w:color="0070C0"/>
              <w:bottom w:val="single" w:sz="18" w:space="0" w:color="C0504D" w:themeColor="accent2"/>
              <w:right w:val="single" w:sz="12" w:space="0" w:color="0070C0"/>
            </w:tcBorders>
            <w:vAlign w:val="center"/>
          </w:tcPr>
          <w:p w14:paraId="773A16BD" w14:textId="0A38CE8B" w:rsidR="006269D3" w:rsidRDefault="006269D3" w:rsidP="0061708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Q4 2022</w:t>
            </w:r>
          </w:p>
        </w:tc>
        <w:tc>
          <w:tcPr>
            <w:tcW w:w="1170" w:type="dxa"/>
            <w:tcBorders>
              <w:top w:val="single" w:sz="12" w:space="0" w:color="000000"/>
              <w:left w:val="single" w:sz="12" w:space="0" w:color="0070C0"/>
              <w:bottom w:val="single" w:sz="18" w:space="0" w:color="C0504D" w:themeColor="accent2"/>
              <w:right w:val="single" w:sz="8" w:space="0" w:color="0070C0"/>
            </w:tcBorders>
            <w:vAlign w:val="center"/>
          </w:tcPr>
          <w:p w14:paraId="0A875909" w14:textId="68269030" w:rsidR="006269D3" w:rsidRDefault="006269D3" w:rsidP="0061708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2022</w:t>
            </w:r>
          </w:p>
        </w:tc>
        <w:tc>
          <w:tcPr>
            <w:tcW w:w="1170" w:type="dxa"/>
            <w:tcBorders>
              <w:top w:val="single" w:sz="12" w:space="0" w:color="000000"/>
              <w:left w:val="single" w:sz="8" w:space="0" w:color="0070C0"/>
              <w:bottom w:val="single" w:sz="18" w:space="0" w:color="C0504D" w:themeColor="accent2"/>
              <w:right w:val="single" w:sz="8" w:space="0" w:color="0070C0"/>
            </w:tcBorders>
            <w:vAlign w:val="center"/>
          </w:tcPr>
          <w:p w14:paraId="056F51DD" w14:textId="198FC5D4" w:rsidR="006269D3" w:rsidRDefault="006269D3" w:rsidP="0061708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2023</w:t>
            </w:r>
          </w:p>
        </w:tc>
        <w:tc>
          <w:tcPr>
            <w:tcW w:w="1170" w:type="dxa"/>
            <w:tcBorders>
              <w:top w:val="single" w:sz="12" w:space="0" w:color="000000"/>
              <w:left w:val="single" w:sz="8" w:space="0" w:color="0070C0"/>
              <w:bottom w:val="single" w:sz="18" w:space="0" w:color="C0504D" w:themeColor="accent2"/>
              <w:right w:val="single" w:sz="12" w:space="0" w:color="auto"/>
            </w:tcBorders>
            <w:vAlign w:val="center"/>
          </w:tcPr>
          <w:p w14:paraId="1AA4497A" w14:textId="48C571C7" w:rsidR="006269D3" w:rsidRDefault="006269D3" w:rsidP="0061708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2024</w:t>
            </w:r>
          </w:p>
        </w:tc>
      </w:tr>
      <w:tr w:rsidR="004F0119" w:rsidRPr="00CC1ECE" w14:paraId="2E514396" w14:textId="77777777" w:rsidTr="0061708C">
        <w:trPr>
          <w:trHeight w:val="243"/>
          <w:jc w:val="center"/>
        </w:trPr>
        <w:tc>
          <w:tcPr>
            <w:tcW w:w="3225"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3EF1F158" w14:textId="77777777" w:rsidR="006269D3" w:rsidRPr="00CC1ECE" w:rsidRDefault="006269D3" w:rsidP="0061708C">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30-year, fixed-rate mortgage</w:t>
            </w:r>
          </w:p>
        </w:tc>
        <w:tc>
          <w:tcPr>
            <w:tcW w:w="1170" w:type="dxa"/>
            <w:tcBorders>
              <w:top w:val="single" w:sz="18" w:space="0" w:color="C0504D" w:themeColor="accent2"/>
              <w:left w:val="single" w:sz="8" w:space="0" w:color="0070C0"/>
              <w:bottom w:val="single" w:sz="4" w:space="0" w:color="auto"/>
              <w:right w:val="single" w:sz="8" w:space="0" w:color="0070C0"/>
            </w:tcBorders>
            <w:shd w:val="clear" w:color="auto" w:fill="E5B8B7" w:themeFill="accent2" w:themeFillTint="66"/>
            <w:vAlign w:val="center"/>
          </w:tcPr>
          <w:p w14:paraId="62C49A67" w14:textId="49326BAE" w:rsidR="006269D3" w:rsidRPr="00CC1ECE" w:rsidRDefault="006269D3"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3.8%</w:t>
            </w:r>
          </w:p>
        </w:tc>
        <w:tc>
          <w:tcPr>
            <w:tcW w:w="1170" w:type="dxa"/>
            <w:tcBorders>
              <w:top w:val="single" w:sz="18" w:space="0" w:color="C0504D" w:themeColor="accent2"/>
              <w:left w:val="single" w:sz="8" w:space="0" w:color="0070C0"/>
              <w:bottom w:val="single" w:sz="4" w:space="0" w:color="auto"/>
              <w:right w:val="single" w:sz="8" w:space="0" w:color="0070C0"/>
            </w:tcBorders>
            <w:shd w:val="clear" w:color="auto" w:fill="D99594" w:themeFill="accent2" w:themeFillTint="99"/>
            <w:vAlign w:val="center"/>
          </w:tcPr>
          <w:p w14:paraId="2B644EAA" w14:textId="41F89959" w:rsidR="006269D3" w:rsidRPr="00CC1ECE" w:rsidRDefault="006269D3"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5.2%</w:t>
            </w:r>
          </w:p>
        </w:tc>
        <w:tc>
          <w:tcPr>
            <w:tcW w:w="1170" w:type="dxa"/>
            <w:tcBorders>
              <w:top w:val="single" w:sz="18" w:space="0" w:color="C0504D" w:themeColor="accent2"/>
              <w:left w:val="single" w:sz="8" w:space="0" w:color="0070C0"/>
              <w:bottom w:val="single" w:sz="4" w:space="0" w:color="auto"/>
              <w:right w:val="single" w:sz="8" w:space="0" w:color="0070C0"/>
            </w:tcBorders>
            <w:shd w:val="clear" w:color="auto" w:fill="EAF1DD" w:themeFill="accent3" w:themeFillTint="33"/>
            <w:vAlign w:val="center"/>
          </w:tcPr>
          <w:p w14:paraId="422AA327" w14:textId="6CFCD2E0" w:rsidR="006269D3" w:rsidRDefault="006269D3"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5.1%</w:t>
            </w:r>
          </w:p>
        </w:tc>
        <w:tc>
          <w:tcPr>
            <w:tcW w:w="1170" w:type="dxa"/>
            <w:tcBorders>
              <w:top w:val="single" w:sz="18" w:space="0" w:color="C0504D" w:themeColor="accent2"/>
              <w:left w:val="single" w:sz="8" w:space="0" w:color="0070C0"/>
              <w:bottom w:val="single" w:sz="4" w:space="0" w:color="auto"/>
              <w:right w:val="single" w:sz="12" w:space="0" w:color="0070C0"/>
            </w:tcBorders>
            <w:shd w:val="clear" w:color="auto" w:fill="EAF1DD" w:themeFill="accent3" w:themeFillTint="33"/>
            <w:vAlign w:val="center"/>
          </w:tcPr>
          <w:p w14:paraId="78C1EF5F" w14:textId="417E22CF" w:rsidR="006269D3" w:rsidRDefault="006269D3"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5.0%</w:t>
            </w:r>
          </w:p>
        </w:tc>
        <w:tc>
          <w:tcPr>
            <w:tcW w:w="1170" w:type="dxa"/>
            <w:tcBorders>
              <w:top w:val="single" w:sz="18" w:space="0" w:color="C0504D" w:themeColor="accent2"/>
              <w:left w:val="single" w:sz="12" w:space="0" w:color="0070C0"/>
              <w:bottom w:val="single" w:sz="4" w:space="0" w:color="auto"/>
              <w:right w:val="single" w:sz="8" w:space="0" w:color="0070C0"/>
            </w:tcBorders>
            <w:shd w:val="clear" w:color="auto" w:fill="D99594" w:themeFill="accent2" w:themeFillTint="99"/>
            <w:vAlign w:val="center"/>
          </w:tcPr>
          <w:p w14:paraId="43091868" w14:textId="46D0CC44" w:rsidR="006269D3" w:rsidRDefault="006269D3"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5.0%</w:t>
            </w:r>
          </w:p>
        </w:tc>
        <w:tc>
          <w:tcPr>
            <w:tcW w:w="1170" w:type="dxa"/>
            <w:tcBorders>
              <w:top w:val="single" w:sz="18" w:space="0" w:color="C0504D" w:themeColor="accent2"/>
              <w:left w:val="single" w:sz="8" w:space="0" w:color="0070C0"/>
              <w:bottom w:val="single" w:sz="4" w:space="0" w:color="auto"/>
              <w:right w:val="single" w:sz="8" w:space="0" w:color="0070C0"/>
            </w:tcBorders>
            <w:shd w:val="clear" w:color="auto" w:fill="EAF1DD" w:themeFill="accent3" w:themeFillTint="33"/>
            <w:vAlign w:val="center"/>
          </w:tcPr>
          <w:p w14:paraId="4EFA223A" w14:textId="50B9B3DA" w:rsidR="006269D3" w:rsidRDefault="006269D3"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4.8%</w:t>
            </w:r>
          </w:p>
        </w:tc>
        <w:tc>
          <w:tcPr>
            <w:tcW w:w="1170" w:type="dxa"/>
            <w:tcBorders>
              <w:top w:val="single" w:sz="18" w:space="0" w:color="C0504D" w:themeColor="accent2"/>
              <w:left w:val="single" w:sz="8" w:space="0" w:color="0070C0"/>
              <w:bottom w:val="single" w:sz="4" w:space="0" w:color="auto"/>
              <w:right w:val="single" w:sz="12" w:space="0" w:color="auto"/>
            </w:tcBorders>
            <w:shd w:val="clear" w:color="auto" w:fill="D6E3BC" w:themeFill="accent3" w:themeFillTint="66"/>
            <w:vAlign w:val="center"/>
          </w:tcPr>
          <w:p w14:paraId="6CFFD9BE" w14:textId="4565AB0F" w:rsidR="006269D3" w:rsidRDefault="006269D3"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4.4%</w:t>
            </w:r>
          </w:p>
        </w:tc>
      </w:tr>
      <w:tr w:rsidR="004F0119" w:rsidRPr="00CC1ECE" w14:paraId="38B37170" w14:textId="77777777" w:rsidTr="0061708C">
        <w:trPr>
          <w:trHeight w:val="243"/>
          <w:jc w:val="center"/>
        </w:trPr>
        <w:tc>
          <w:tcPr>
            <w:tcW w:w="322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7E9AAB2E" w14:textId="77777777" w:rsidR="006269D3" w:rsidRDefault="006269D3" w:rsidP="0061708C">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Total mortgage originations*</w:t>
            </w:r>
          </w:p>
        </w:tc>
        <w:tc>
          <w:tcPr>
            <w:tcW w:w="1170"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0EA5EDD0" w14:textId="7832811A" w:rsidR="006269D3" w:rsidRDefault="006269D3"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$689 B</w:t>
            </w:r>
          </w:p>
        </w:tc>
        <w:tc>
          <w:tcPr>
            <w:tcW w:w="1170"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0EA0FFD6" w14:textId="0783C282" w:rsidR="006269D3" w:rsidRDefault="006269D3"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$683 B</w:t>
            </w:r>
          </w:p>
        </w:tc>
        <w:tc>
          <w:tcPr>
            <w:tcW w:w="1170"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51835BDB" w14:textId="0831FEFB" w:rsidR="006269D3" w:rsidRDefault="006269D3"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$579 B</w:t>
            </w:r>
          </w:p>
        </w:tc>
        <w:tc>
          <w:tcPr>
            <w:tcW w:w="1170" w:type="dxa"/>
            <w:tcBorders>
              <w:top w:val="single" w:sz="4" w:space="0" w:color="auto"/>
              <w:left w:val="single" w:sz="8" w:space="0" w:color="0070C0"/>
              <w:bottom w:val="single" w:sz="4" w:space="0" w:color="000000"/>
              <w:right w:val="single" w:sz="12" w:space="0" w:color="0070C0"/>
            </w:tcBorders>
            <w:shd w:val="clear" w:color="auto" w:fill="E5B8B7" w:themeFill="accent2" w:themeFillTint="66"/>
            <w:vAlign w:val="center"/>
          </w:tcPr>
          <w:p w14:paraId="3767B35B" w14:textId="22DF06F6" w:rsidR="006269D3" w:rsidRDefault="006269D3"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$562 B</w:t>
            </w:r>
          </w:p>
        </w:tc>
        <w:tc>
          <w:tcPr>
            <w:tcW w:w="1170" w:type="dxa"/>
            <w:tcBorders>
              <w:top w:val="single" w:sz="4" w:space="0" w:color="auto"/>
              <w:left w:val="single" w:sz="12" w:space="0" w:color="0070C0"/>
              <w:bottom w:val="single" w:sz="4" w:space="0" w:color="000000"/>
              <w:right w:val="single" w:sz="8" w:space="0" w:color="0070C0"/>
            </w:tcBorders>
            <w:shd w:val="clear" w:color="auto" w:fill="D99594" w:themeFill="accent2" w:themeFillTint="99"/>
            <w:vAlign w:val="center"/>
          </w:tcPr>
          <w:p w14:paraId="205878E3" w14:textId="29530AB3" w:rsidR="006269D3" w:rsidRDefault="006269D3"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$2.51 T</w:t>
            </w:r>
          </w:p>
        </w:tc>
        <w:tc>
          <w:tcPr>
            <w:tcW w:w="1170"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7D22533C" w14:textId="2621C029" w:rsidR="006269D3" w:rsidRDefault="006269D3"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$2.36 T</w:t>
            </w:r>
          </w:p>
        </w:tc>
        <w:tc>
          <w:tcPr>
            <w:tcW w:w="1170" w:type="dxa"/>
            <w:tcBorders>
              <w:top w:val="single" w:sz="4" w:space="0" w:color="auto"/>
              <w:left w:val="single" w:sz="8" w:space="0" w:color="0070C0"/>
              <w:bottom w:val="single" w:sz="4" w:space="0" w:color="000000"/>
              <w:right w:val="single" w:sz="12" w:space="0" w:color="auto"/>
            </w:tcBorders>
            <w:shd w:val="clear" w:color="auto" w:fill="D6E3BC" w:themeFill="accent3" w:themeFillTint="66"/>
            <w:vAlign w:val="center"/>
          </w:tcPr>
          <w:p w14:paraId="28E01C89" w14:textId="7F991757" w:rsidR="006269D3" w:rsidRDefault="006269D3"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$2.53 T</w:t>
            </w:r>
          </w:p>
        </w:tc>
      </w:tr>
      <w:tr w:rsidR="004F0119" w:rsidRPr="00CC1ECE" w14:paraId="55BEC72B" w14:textId="77777777" w:rsidTr="0061708C">
        <w:trPr>
          <w:trHeight w:val="243"/>
          <w:jc w:val="center"/>
        </w:trPr>
        <w:tc>
          <w:tcPr>
            <w:tcW w:w="322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57139BF8" w14:textId="77777777" w:rsidR="006269D3" w:rsidRDefault="006269D3" w:rsidP="0061708C">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   Purchase</w:t>
            </w:r>
          </w:p>
        </w:tc>
        <w:tc>
          <w:tcPr>
            <w:tcW w:w="1170"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26536179" w14:textId="7F30FAB8" w:rsidR="006269D3" w:rsidRDefault="006269D3"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4F0119">
              <w:rPr>
                <w:rFonts w:ascii="Verdana" w:eastAsia="Times New Roman" w:hAnsi="Verdana"/>
                <w:sz w:val="20"/>
                <w:szCs w:val="20"/>
              </w:rPr>
              <w:t>3</w:t>
            </w:r>
            <w:r>
              <w:rPr>
                <w:rFonts w:ascii="Verdana" w:eastAsia="Times New Roman" w:hAnsi="Verdana"/>
                <w:sz w:val="20"/>
                <w:szCs w:val="20"/>
              </w:rPr>
              <w:t>81 B</w:t>
            </w:r>
          </w:p>
        </w:tc>
        <w:tc>
          <w:tcPr>
            <w:tcW w:w="1170"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67CF1368" w14:textId="61DC054B" w:rsidR="006269D3" w:rsidRDefault="006269D3"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$482 B</w:t>
            </w:r>
          </w:p>
        </w:tc>
        <w:tc>
          <w:tcPr>
            <w:tcW w:w="1170"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0E285C51" w14:textId="01AB3C0D" w:rsidR="006269D3" w:rsidRDefault="006269D3"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$421 B</w:t>
            </w:r>
          </w:p>
        </w:tc>
        <w:tc>
          <w:tcPr>
            <w:tcW w:w="1170" w:type="dxa"/>
            <w:tcBorders>
              <w:top w:val="single" w:sz="4" w:space="0" w:color="auto"/>
              <w:left w:val="single" w:sz="8" w:space="0" w:color="0070C0"/>
              <w:bottom w:val="single" w:sz="4" w:space="0" w:color="000000"/>
              <w:right w:val="single" w:sz="12" w:space="0" w:color="0070C0"/>
            </w:tcBorders>
            <w:shd w:val="clear" w:color="auto" w:fill="F2DBDB" w:themeFill="accent2" w:themeFillTint="33"/>
            <w:vAlign w:val="center"/>
          </w:tcPr>
          <w:p w14:paraId="3D6A599B" w14:textId="585B5404" w:rsidR="006269D3" w:rsidRDefault="006269D3"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$410 B</w:t>
            </w:r>
          </w:p>
        </w:tc>
        <w:tc>
          <w:tcPr>
            <w:tcW w:w="1170" w:type="dxa"/>
            <w:tcBorders>
              <w:top w:val="single" w:sz="4" w:space="0" w:color="auto"/>
              <w:left w:val="single" w:sz="12" w:space="0" w:color="0070C0"/>
              <w:bottom w:val="single" w:sz="4" w:space="0" w:color="000000"/>
              <w:right w:val="single" w:sz="8" w:space="0" w:color="0070C0"/>
            </w:tcBorders>
            <w:shd w:val="clear" w:color="auto" w:fill="EAF1DD" w:themeFill="accent3" w:themeFillTint="33"/>
            <w:vAlign w:val="center"/>
          </w:tcPr>
          <w:p w14:paraId="33FC6268" w14:textId="07EB311C" w:rsidR="006269D3" w:rsidRDefault="006269D3"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$1.69 T</w:t>
            </w:r>
          </w:p>
        </w:tc>
        <w:tc>
          <w:tcPr>
            <w:tcW w:w="1170"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7457F41D" w14:textId="7EB9094F" w:rsidR="006269D3" w:rsidRDefault="006269D3"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$1.75 T</w:t>
            </w:r>
          </w:p>
        </w:tc>
        <w:tc>
          <w:tcPr>
            <w:tcW w:w="1170" w:type="dxa"/>
            <w:tcBorders>
              <w:top w:val="single" w:sz="4" w:space="0" w:color="auto"/>
              <w:left w:val="single" w:sz="8" w:space="0" w:color="0070C0"/>
              <w:bottom w:val="single" w:sz="4" w:space="0" w:color="000000"/>
              <w:right w:val="single" w:sz="12" w:space="0" w:color="auto"/>
            </w:tcBorders>
            <w:shd w:val="clear" w:color="auto" w:fill="D6E3BC" w:themeFill="accent3" w:themeFillTint="66"/>
            <w:vAlign w:val="center"/>
          </w:tcPr>
          <w:p w14:paraId="6D3CEF8C" w14:textId="5259A8A1" w:rsidR="006269D3" w:rsidRDefault="004F0119"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$1.81 T</w:t>
            </w:r>
          </w:p>
        </w:tc>
      </w:tr>
      <w:tr w:rsidR="0018202D" w:rsidRPr="00CC1ECE" w14:paraId="395E8959" w14:textId="77777777" w:rsidTr="0061708C">
        <w:trPr>
          <w:trHeight w:val="243"/>
          <w:jc w:val="center"/>
        </w:trPr>
        <w:tc>
          <w:tcPr>
            <w:tcW w:w="322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12EB9976" w14:textId="77777777" w:rsidR="006269D3" w:rsidRDefault="006269D3" w:rsidP="0061708C">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   Refinance</w:t>
            </w:r>
          </w:p>
        </w:tc>
        <w:tc>
          <w:tcPr>
            <w:tcW w:w="1170"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736AF95D" w14:textId="65A45E71" w:rsidR="006269D3" w:rsidRDefault="006269D3"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$308 B</w:t>
            </w:r>
          </w:p>
        </w:tc>
        <w:tc>
          <w:tcPr>
            <w:tcW w:w="1170" w:type="dxa"/>
            <w:tcBorders>
              <w:top w:val="single" w:sz="4" w:space="0" w:color="auto"/>
              <w:left w:val="single" w:sz="8" w:space="0" w:color="0070C0"/>
              <w:bottom w:val="single" w:sz="4" w:space="0" w:color="000000"/>
              <w:right w:val="single" w:sz="8" w:space="0" w:color="0070C0"/>
            </w:tcBorders>
            <w:shd w:val="clear" w:color="auto" w:fill="FF0000"/>
            <w:vAlign w:val="center"/>
          </w:tcPr>
          <w:p w14:paraId="69ED5926" w14:textId="6DC7FD6C" w:rsidR="006269D3" w:rsidRDefault="006269D3"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$201 B</w:t>
            </w:r>
          </w:p>
        </w:tc>
        <w:tc>
          <w:tcPr>
            <w:tcW w:w="1170"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5181E417" w14:textId="2C52196A" w:rsidR="006269D3" w:rsidRDefault="006269D3"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$158 B</w:t>
            </w:r>
          </w:p>
        </w:tc>
        <w:tc>
          <w:tcPr>
            <w:tcW w:w="1170" w:type="dxa"/>
            <w:tcBorders>
              <w:top w:val="single" w:sz="4" w:space="0" w:color="auto"/>
              <w:left w:val="single" w:sz="8" w:space="0" w:color="0070C0"/>
              <w:bottom w:val="single" w:sz="4" w:space="0" w:color="000000"/>
              <w:right w:val="single" w:sz="12" w:space="0" w:color="0070C0"/>
            </w:tcBorders>
            <w:shd w:val="clear" w:color="auto" w:fill="F2DBDB" w:themeFill="accent2" w:themeFillTint="33"/>
            <w:vAlign w:val="center"/>
          </w:tcPr>
          <w:p w14:paraId="7F1825A9" w14:textId="64A5B0AD" w:rsidR="006269D3" w:rsidRDefault="006269D3"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$152 B</w:t>
            </w:r>
          </w:p>
        </w:tc>
        <w:tc>
          <w:tcPr>
            <w:tcW w:w="1170" w:type="dxa"/>
            <w:tcBorders>
              <w:top w:val="single" w:sz="4" w:space="0" w:color="auto"/>
              <w:left w:val="single" w:sz="12" w:space="0" w:color="0070C0"/>
              <w:bottom w:val="single" w:sz="4" w:space="0" w:color="000000"/>
              <w:right w:val="single" w:sz="8" w:space="0" w:color="0070C0"/>
            </w:tcBorders>
            <w:shd w:val="clear" w:color="auto" w:fill="FF0000"/>
            <w:vAlign w:val="center"/>
          </w:tcPr>
          <w:p w14:paraId="5C69C665" w14:textId="4377CD64" w:rsidR="006269D3" w:rsidRDefault="006269D3"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$819 B</w:t>
            </w:r>
          </w:p>
        </w:tc>
        <w:tc>
          <w:tcPr>
            <w:tcW w:w="1170"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60ECF039" w14:textId="660F486C" w:rsidR="006269D3" w:rsidRDefault="006269D3"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$608 B</w:t>
            </w:r>
          </w:p>
        </w:tc>
        <w:tc>
          <w:tcPr>
            <w:tcW w:w="1170" w:type="dxa"/>
            <w:tcBorders>
              <w:top w:val="single" w:sz="4" w:space="0" w:color="auto"/>
              <w:left w:val="single" w:sz="8" w:space="0" w:color="0070C0"/>
              <w:bottom w:val="single" w:sz="4" w:space="0" w:color="000000"/>
              <w:right w:val="single" w:sz="12" w:space="0" w:color="auto"/>
            </w:tcBorders>
            <w:shd w:val="clear" w:color="auto" w:fill="C2D69B" w:themeFill="accent3" w:themeFillTint="99"/>
            <w:vAlign w:val="center"/>
          </w:tcPr>
          <w:p w14:paraId="7CC8AB3F" w14:textId="735A41EE" w:rsidR="006269D3" w:rsidRDefault="006269D3"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$712 B</w:t>
            </w:r>
          </w:p>
        </w:tc>
      </w:tr>
      <w:tr w:rsidR="0018202D" w:rsidRPr="00CC1ECE" w14:paraId="426E09A8" w14:textId="77777777" w:rsidTr="0061708C">
        <w:trPr>
          <w:trHeight w:val="54"/>
          <w:jc w:val="center"/>
        </w:trPr>
        <w:tc>
          <w:tcPr>
            <w:tcW w:w="3225"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7AC7DFBD" w14:textId="77777777" w:rsidR="006269D3" w:rsidRPr="00CC1ECE" w:rsidRDefault="006269D3" w:rsidP="0061708C">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Mortgage debt outstanding</w:t>
            </w:r>
          </w:p>
        </w:tc>
        <w:tc>
          <w:tcPr>
            <w:tcW w:w="1170" w:type="dxa"/>
            <w:tcBorders>
              <w:top w:val="single" w:sz="4" w:space="0" w:color="000000"/>
              <w:left w:val="single" w:sz="8" w:space="0" w:color="0070C0"/>
              <w:bottom w:val="single" w:sz="12" w:space="0" w:color="000000"/>
              <w:right w:val="single" w:sz="8" w:space="0" w:color="0070C0"/>
            </w:tcBorders>
            <w:shd w:val="clear" w:color="auto" w:fill="auto"/>
            <w:vAlign w:val="center"/>
          </w:tcPr>
          <w:p w14:paraId="60DF4FA4" w14:textId="0630249A" w:rsidR="006269D3" w:rsidRPr="00CC1ECE" w:rsidRDefault="004F0119"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$12.17 T</w:t>
            </w:r>
          </w:p>
        </w:tc>
        <w:tc>
          <w:tcPr>
            <w:tcW w:w="1170" w:type="dxa"/>
            <w:tcBorders>
              <w:top w:val="single" w:sz="4" w:space="0" w:color="000000"/>
              <w:left w:val="single" w:sz="8" w:space="0" w:color="0070C0"/>
              <w:bottom w:val="single" w:sz="12" w:space="0" w:color="000000"/>
              <w:right w:val="single" w:sz="8" w:space="0" w:color="0070C0"/>
            </w:tcBorders>
            <w:shd w:val="clear" w:color="auto" w:fill="F2DBDB" w:themeFill="accent2" w:themeFillTint="33"/>
            <w:vAlign w:val="center"/>
          </w:tcPr>
          <w:p w14:paraId="71FF3BB0" w14:textId="7E2675FB" w:rsidR="006269D3" w:rsidRPr="00CC1ECE" w:rsidRDefault="004F0119"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$12.92 T</w:t>
            </w:r>
          </w:p>
        </w:tc>
        <w:tc>
          <w:tcPr>
            <w:tcW w:w="1170" w:type="dxa"/>
            <w:tcBorders>
              <w:top w:val="single" w:sz="4" w:space="0" w:color="000000"/>
              <w:left w:val="single" w:sz="8" w:space="0" w:color="0070C0"/>
              <w:bottom w:val="single" w:sz="12" w:space="0" w:color="000000"/>
              <w:right w:val="single" w:sz="8" w:space="0" w:color="0070C0"/>
            </w:tcBorders>
            <w:shd w:val="clear" w:color="auto" w:fill="E5B8B7" w:themeFill="accent2" w:themeFillTint="66"/>
            <w:vAlign w:val="center"/>
          </w:tcPr>
          <w:p w14:paraId="67A1CB77" w14:textId="6AFFE161" w:rsidR="006269D3" w:rsidRDefault="004F0119"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$13.14 T</w:t>
            </w:r>
          </w:p>
        </w:tc>
        <w:tc>
          <w:tcPr>
            <w:tcW w:w="1170" w:type="dxa"/>
            <w:tcBorders>
              <w:top w:val="single" w:sz="4" w:space="0" w:color="000000"/>
              <w:left w:val="single" w:sz="8" w:space="0" w:color="0070C0"/>
              <w:bottom w:val="single" w:sz="12" w:space="0" w:color="000000"/>
              <w:right w:val="single" w:sz="12" w:space="0" w:color="0070C0"/>
            </w:tcBorders>
            <w:shd w:val="clear" w:color="auto" w:fill="F2DBDB" w:themeFill="accent2" w:themeFillTint="33"/>
            <w:vAlign w:val="center"/>
          </w:tcPr>
          <w:p w14:paraId="4507903D" w14:textId="62F88393" w:rsidR="006269D3" w:rsidRDefault="004F0119"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$13.34 T</w:t>
            </w:r>
          </w:p>
        </w:tc>
        <w:tc>
          <w:tcPr>
            <w:tcW w:w="1170" w:type="dxa"/>
            <w:tcBorders>
              <w:top w:val="single" w:sz="4" w:space="0" w:color="000000"/>
              <w:left w:val="single" w:sz="12" w:space="0" w:color="0070C0"/>
              <w:bottom w:val="single" w:sz="12" w:space="0" w:color="000000"/>
              <w:right w:val="single" w:sz="8" w:space="0" w:color="0070C0"/>
            </w:tcBorders>
            <w:shd w:val="clear" w:color="auto" w:fill="D99594" w:themeFill="accent2" w:themeFillTint="99"/>
            <w:vAlign w:val="center"/>
          </w:tcPr>
          <w:p w14:paraId="4E353F3D" w14:textId="187DBD91" w:rsidR="006269D3" w:rsidRDefault="004F0119"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$13.34 T</w:t>
            </w:r>
          </w:p>
        </w:tc>
        <w:tc>
          <w:tcPr>
            <w:tcW w:w="1170" w:type="dxa"/>
            <w:tcBorders>
              <w:top w:val="single" w:sz="4" w:space="0" w:color="000000"/>
              <w:left w:val="single" w:sz="8" w:space="0" w:color="0070C0"/>
              <w:bottom w:val="single" w:sz="12" w:space="0" w:color="000000"/>
              <w:right w:val="single" w:sz="8" w:space="0" w:color="0070C0"/>
            </w:tcBorders>
            <w:shd w:val="clear" w:color="auto" w:fill="E5B8B7" w:themeFill="accent2" w:themeFillTint="66"/>
            <w:vAlign w:val="center"/>
          </w:tcPr>
          <w:p w14:paraId="6BC7E126" w14:textId="1D647A38" w:rsidR="006269D3" w:rsidRDefault="004F0119"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$14.04 T</w:t>
            </w:r>
          </w:p>
        </w:tc>
        <w:tc>
          <w:tcPr>
            <w:tcW w:w="1170" w:type="dxa"/>
            <w:tcBorders>
              <w:top w:val="single" w:sz="4" w:space="0" w:color="000000"/>
              <w:left w:val="single" w:sz="8" w:space="0" w:color="0070C0"/>
              <w:bottom w:val="single" w:sz="12" w:space="0" w:color="000000"/>
              <w:right w:val="single" w:sz="12" w:space="0" w:color="auto"/>
            </w:tcBorders>
            <w:shd w:val="clear" w:color="auto" w:fill="E5B8B7" w:themeFill="accent2" w:themeFillTint="66"/>
            <w:vAlign w:val="center"/>
          </w:tcPr>
          <w:p w14:paraId="6E154E69" w14:textId="6925857B" w:rsidR="006269D3" w:rsidRDefault="004F0119" w:rsidP="0061708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$14.65 T</w:t>
            </w:r>
          </w:p>
        </w:tc>
      </w:tr>
    </w:tbl>
    <w:p w14:paraId="12754115" w14:textId="32612539" w:rsidR="006269D3" w:rsidRDefault="006269D3" w:rsidP="006269D3">
      <w:pPr>
        <w:spacing w:after="0" w:line="240" w:lineRule="auto"/>
        <w:contextualSpacing/>
        <w:mirrorIndents/>
        <w:rPr>
          <w:rFonts w:ascii="Verdana" w:hAnsi="Verdana"/>
          <w:sz w:val="16"/>
          <w:szCs w:val="16"/>
        </w:rPr>
      </w:pPr>
      <w:r>
        <w:rPr>
          <w:rFonts w:ascii="Verdana" w:hAnsi="Verdana"/>
          <w:sz w:val="16"/>
          <w:szCs w:val="16"/>
        </w:rPr>
        <w:t>Mortgage Bankers Association</w:t>
      </w:r>
      <w:r w:rsidRPr="00CC1ECE">
        <w:rPr>
          <w:rFonts w:ascii="Verdana" w:hAnsi="Verdana"/>
          <w:sz w:val="16"/>
          <w:szCs w:val="16"/>
        </w:rPr>
        <w:t xml:space="preserve">, </w:t>
      </w:r>
      <w:r w:rsidR="004F0119">
        <w:rPr>
          <w:rFonts w:ascii="Verdana" w:hAnsi="Verdana"/>
          <w:sz w:val="16"/>
          <w:szCs w:val="16"/>
        </w:rPr>
        <w:t>May 2022</w:t>
      </w:r>
      <w:r>
        <w:rPr>
          <w:rFonts w:ascii="Verdana" w:hAnsi="Verdana"/>
          <w:sz w:val="16"/>
          <w:szCs w:val="16"/>
        </w:rPr>
        <w:tab/>
        <w:t xml:space="preserve">*for one-to-four-unit residential properties </w:t>
      </w:r>
    </w:p>
    <w:p w14:paraId="374E8E4F" w14:textId="77777777" w:rsidR="006269D3" w:rsidRDefault="006269D3" w:rsidP="006269D3">
      <w:pPr>
        <w:spacing w:after="0" w:line="240" w:lineRule="auto"/>
        <w:contextualSpacing/>
        <w:mirrorIndents/>
        <w:rPr>
          <w:rFonts w:ascii="Verdana" w:hAnsi="Verdana"/>
          <w:sz w:val="20"/>
          <w:szCs w:val="20"/>
        </w:rPr>
      </w:pPr>
      <w:r>
        <w:rPr>
          <w:rFonts w:ascii="Verdana" w:hAnsi="Verdana"/>
          <w:sz w:val="16"/>
          <w:szCs w:val="16"/>
        </w:rPr>
        <w:t>(color represents change from previous quarter)</w:t>
      </w:r>
    </w:p>
    <w:p w14:paraId="6B1FCD63" w14:textId="77777777" w:rsidR="00A96F43" w:rsidRDefault="00A96F43" w:rsidP="00550FF2">
      <w:pPr>
        <w:spacing w:after="0" w:line="240" w:lineRule="auto"/>
        <w:contextualSpacing/>
        <w:mirrorIndents/>
        <w:rPr>
          <w:rFonts w:ascii="Verdana" w:hAnsi="Verdana"/>
          <w:sz w:val="20"/>
          <w:szCs w:val="20"/>
        </w:rPr>
      </w:pPr>
    </w:p>
    <w:p w14:paraId="74625A53" w14:textId="50F12DEA" w:rsidR="00550FF2" w:rsidRPr="00257EF6" w:rsidRDefault="00550FF2" w:rsidP="00257EF6">
      <w:pPr>
        <w:spacing w:after="0" w:line="240" w:lineRule="auto"/>
        <w:contextualSpacing/>
        <w:mirrorIndents/>
        <w:jc w:val="center"/>
        <w:rPr>
          <w:rFonts w:ascii="Verdana" w:hAnsi="Verdana"/>
          <w:b/>
          <w:bCs/>
          <w:color w:val="0070C0"/>
          <w:sz w:val="20"/>
          <w:szCs w:val="20"/>
        </w:rPr>
      </w:pPr>
      <w:r w:rsidRPr="00257EF6">
        <w:rPr>
          <w:rFonts w:ascii="Verdana" w:hAnsi="Verdana"/>
          <w:b/>
          <w:bCs/>
          <w:color w:val="0070C0"/>
          <w:sz w:val="20"/>
          <w:szCs w:val="20"/>
        </w:rPr>
        <w:t>Few Vehicles, Higher Prices and Interest Rates</w:t>
      </w:r>
    </w:p>
    <w:p w14:paraId="7C3025F3" w14:textId="77777777" w:rsidR="00550FF2" w:rsidRPr="00550FF2" w:rsidRDefault="00550FF2" w:rsidP="00550FF2">
      <w:pPr>
        <w:spacing w:after="0" w:line="240" w:lineRule="auto"/>
        <w:contextualSpacing/>
        <w:mirrorIndents/>
        <w:rPr>
          <w:rFonts w:ascii="Verdana" w:hAnsi="Verdana"/>
          <w:sz w:val="20"/>
          <w:szCs w:val="20"/>
        </w:rPr>
      </w:pPr>
    </w:p>
    <w:p w14:paraId="277F3192" w14:textId="078682EE" w:rsidR="00257EF6" w:rsidRPr="00B93F15" w:rsidRDefault="00B93F15" w:rsidP="00550FF2">
      <w:pPr>
        <w:spacing w:after="0" w:line="240" w:lineRule="auto"/>
        <w:contextualSpacing/>
        <w:mirrorIndents/>
        <w:rPr>
          <w:rFonts w:ascii="Verdana" w:hAnsi="Verdana"/>
          <w:sz w:val="20"/>
          <w:szCs w:val="20"/>
        </w:rPr>
      </w:pPr>
      <w:r>
        <w:rPr>
          <w:rFonts w:ascii="Verdana" w:hAnsi="Verdana"/>
          <w:sz w:val="20"/>
          <w:szCs w:val="20"/>
        </w:rPr>
        <w:t xml:space="preserve">An extreme scarcity of new-vehicle inventory is reflected in the more than </w:t>
      </w:r>
      <w:r w:rsidRPr="00B93F15">
        <w:rPr>
          <w:sz w:val="20"/>
          <w:szCs w:val="20"/>
        </w:rPr>
        <w:t>80% of Honda-brand vehicles that arrives at a dealership are already sold.</w:t>
      </w:r>
      <w:r>
        <w:rPr>
          <w:sz w:val="20"/>
          <w:szCs w:val="20"/>
        </w:rPr>
        <w:t xml:space="preserve"> Consumer demand remains robust, but of the four reporting manufacturers, </w:t>
      </w:r>
      <w:r w:rsidR="00E0732B">
        <w:rPr>
          <w:sz w:val="20"/>
          <w:szCs w:val="20"/>
        </w:rPr>
        <w:t>May 2022 sales decreased 31.4% YOY.</w:t>
      </w:r>
    </w:p>
    <w:p w14:paraId="16DFFB02" w14:textId="4E5992D7" w:rsidR="00257EF6" w:rsidRDefault="00257EF6" w:rsidP="00550FF2">
      <w:pPr>
        <w:spacing w:after="0" w:line="240" w:lineRule="auto"/>
        <w:contextualSpacing/>
        <w:mirrorIndents/>
        <w:rPr>
          <w:rFonts w:ascii="Verdana" w:hAnsi="Verdana"/>
          <w:sz w:val="20"/>
          <w:szCs w:val="20"/>
        </w:rPr>
      </w:pPr>
    </w:p>
    <w:p w14:paraId="5D632CA7" w14:textId="690BD9AC" w:rsidR="00E0732B" w:rsidRPr="00B93F15" w:rsidRDefault="00E0732B" w:rsidP="00550FF2">
      <w:pPr>
        <w:spacing w:after="0" w:line="240" w:lineRule="auto"/>
        <w:contextualSpacing/>
        <w:mirrorIndents/>
        <w:rPr>
          <w:rFonts w:ascii="Verdana" w:hAnsi="Verdana"/>
          <w:sz w:val="20"/>
          <w:szCs w:val="20"/>
        </w:rPr>
      </w:pPr>
      <w:r>
        <w:rPr>
          <w:rFonts w:ascii="Verdana" w:hAnsi="Verdana"/>
          <w:sz w:val="20"/>
          <w:szCs w:val="20"/>
        </w:rPr>
        <w:t xml:space="preserve">The new-vehicle loan rate for consumers with the highest credit score was 7.41%, which, combined with low inventory, resulted in the average price for a new car at $45,232 during May and the average monthly payment </w:t>
      </w:r>
      <w:r w:rsidR="007F7456">
        <w:rPr>
          <w:rFonts w:ascii="Verdana" w:hAnsi="Verdana"/>
          <w:sz w:val="20"/>
          <w:szCs w:val="20"/>
        </w:rPr>
        <w:t xml:space="preserve">of </w:t>
      </w:r>
      <w:r>
        <w:rPr>
          <w:rFonts w:ascii="Verdana" w:hAnsi="Verdana"/>
          <w:sz w:val="20"/>
          <w:szCs w:val="20"/>
        </w:rPr>
        <w:t>approximately $650 for 70 months.</w:t>
      </w:r>
    </w:p>
    <w:p w14:paraId="76A7B0A7" w14:textId="55B4E51D" w:rsidR="00257EF6" w:rsidRDefault="00257EF6" w:rsidP="00550FF2">
      <w:pPr>
        <w:spacing w:after="0" w:line="240" w:lineRule="auto"/>
        <w:contextualSpacing/>
        <w:mirrorIndents/>
        <w:rPr>
          <w:rFonts w:ascii="Verdana" w:hAnsi="Verdana"/>
          <w:sz w:val="20"/>
          <w:szCs w:val="20"/>
        </w:rPr>
      </w:pPr>
    </w:p>
    <w:p w14:paraId="17C6721A" w14:textId="26E20E34" w:rsidR="00E0732B" w:rsidRPr="00B93F15" w:rsidRDefault="00E0732B" w:rsidP="00550FF2">
      <w:pPr>
        <w:spacing w:after="0" w:line="240" w:lineRule="auto"/>
        <w:contextualSpacing/>
        <w:mirrorIndents/>
        <w:rPr>
          <w:rFonts w:ascii="Verdana" w:hAnsi="Verdana"/>
          <w:sz w:val="20"/>
          <w:szCs w:val="20"/>
        </w:rPr>
      </w:pPr>
      <w:r>
        <w:rPr>
          <w:rFonts w:ascii="Verdana" w:hAnsi="Verdana"/>
          <w:sz w:val="20"/>
          <w:szCs w:val="20"/>
        </w:rPr>
        <w:t xml:space="preserve">According to a March 2022 Morning Consult survey, 30% of all </w:t>
      </w:r>
      <w:r w:rsidR="00811F60">
        <w:rPr>
          <w:rFonts w:ascii="Verdana" w:hAnsi="Verdana"/>
          <w:sz w:val="20"/>
          <w:szCs w:val="20"/>
        </w:rPr>
        <w:t>survey respondents</w:t>
      </w:r>
      <w:r>
        <w:rPr>
          <w:rFonts w:ascii="Verdana" w:hAnsi="Verdana"/>
          <w:sz w:val="20"/>
          <w:szCs w:val="20"/>
        </w:rPr>
        <w:t xml:space="preserve"> financed their vehicle. </w:t>
      </w:r>
      <w:r w:rsidR="00811F60">
        <w:rPr>
          <w:rFonts w:ascii="Verdana" w:hAnsi="Verdana"/>
          <w:sz w:val="20"/>
          <w:szCs w:val="20"/>
        </w:rPr>
        <w:t>Millennials of four major generational groups had the largest percentage at 34% and all adults with incomes of $100,000 or more had the largest by income at 32%.</w:t>
      </w:r>
    </w:p>
    <w:p w14:paraId="75D65DE0" w14:textId="77777777" w:rsidR="00811F60" w:rsidRDefault="00811F60" w:rsidP="00550FF2">
      <w:pPr>
        <w:spacing w:after="0" w:line="240" w:lineRule="auto"/>
        <w:contextualSpacing/>
        <w:mirrorIndents/>
        <w:rPr>
          <w:rFonts w:ascii="Verdana" w:hAnsi="Verdana"/>
          <w:sz w:val="20"/>
          <w:szCs w:val="20"/>
        </w:rPr>
      </w:pPr>
    </w:p>
    <w:p w14:paraId="3220C422" w14:textId="273C8E28" w:rsidR="000F1C6D" w:rsidRDefault="000F1C6D" w:rsidP="000F1C6D">
      <w:pPr>
        <w:pStyle w:val="Header"/>
        <w:contextualSpacing/>
        <w:jc w:val="center"/>
        <w:rPr>
          <w:rFonts w:ascii="Verdana" w:hAnsi="Verdana"/>
          <w:b/>
          <w:sz w:val="20"/>
          <w:szCs w:val="20"/>
        </w:rPr>
      </w:pPr>
      <w:r>
        <w:rPr>
          <w:rFonts w:ascii="Verdana" w:hAnsi="Verdana"/>
          <w:b/>
          <w:sz w:val="20"/>
          <w:szCs w:val="20"/>
        </w:rPr>
        <w:t xml:space="preserve">Indices of Adults 18+ Who Have a Vehicle Loan, </w:t>
      </w:r>
    </w:p>
    <w:p w14:paraId="2E112D4F" w14:textId="2C3036F0" w:rsidR="000F1C6D" w:rsidRPr="00A65A1A" w:rsidRDefault="000F1C6D" w:rsidP="000F1C6D">
      <w:pPr>
        <w:pStyle w:val="Header"/>
        <w:contextualSpacing/>
        <w:jc w:val="center"/>
        <w:rPr>
          <w:rFonts w:ascii="Verdana" w:hAnsi="Verdana"/>
          <w:b/>
          <w:sz w:val="20"/>
          <w:szCs w:val="20"/>
        </w:rPr>
      </w:pPr>
      <w:r>
        <w:rPr>
          <w:rFonts w:ascii="Verdana" w:hAnsi="Verdana"/>
          <w:b/>
          <w:sz w:val="20"/>
          <w:szCs w:val="20"/>
        </w:rPr>
        <w:t xml:space="preserve">by Household Income, in Selected Markets, </w:t>
      </w:r>
      <w:r w:rsidRPr="00A65A1A">
        <w:rPr>
          <w:rFonts w:ascii="Verdana" w:hAnsi="Verdana"/>
          <w:b/>
          <w:sz w:val="20"/>
          <w:szCs w:val="20"/>
        </w:rPr>
        <w:t>202</w:t>
      </w:r>
      <w:r>
        <w:rPr>
          <w:rFonts w:ascii="Verdana" w:hAnsi="Verdana"/>
          <w:b/>
          <w:sz w:val="20"/>
          <w:szCs w:val="20"/>
        </w:rPr>
        <w:t>1</w:t>
      </w:r>
    </w:p>
    <w:tbl>
      <w:tblPr>
        <w:tblW w:w="9540" w:type="dxa"/>
        <w:jc w:val="center"/>
        <w:tblBorders>
          <w:left w:val="single" w:sz="8" w:space="0" w:color="000000"/>
          <w:right w:val="single" w:sz="8" w:space="0" w:color="000000"/>
        </w:tblBorders>
        <w:tblLayout w:type="fixed"/>
        <w:tblLook w:val="0000" w:firstRow="0" w:lastRow="0" w:firstColumn="0" w:lastColumn="0" w:noHBand="0" w:noVBand="0"/>
      </w:tblPr>
      <w:tblGrid>
        <w:gridCol w:w="2325"/>
        <w:gridCol w:w="1455"/>
        <w:gridCol w:w="1440"/>
        <w:gridCol w:w="1440"/>
        <w:gridCol w:w="1440"/>
        <w:gridCol w:w="1440"/>
      </w:tblGrid>
      <w:tr w:rsidR="000F1C6D" w:rsidRPr="00A65A1A" w14:paraId="1F8F6809" w14:textId="77777777" w:rsidTr="000F1C6D">
        <w:trPr>
          <w:jc w:val="center"/>
        </w:trPr>
        <w:tc>
          <w:tcPr>
            <w:tcW w:w="2325" w:type="dxa"/>
            <w:tcBorders>
              <w:top w:val="single" w:sz="12" w:space="0" w:color="auto"/>
              <w:left w:val="single" w:sz="12" w:space="0" w:color="000000"/>
              <w:bottom w:val="single" w:sz="18" w:space="0" w:color="C0504D" w:themeColor="accent2"/>
              <w:right w:val="single" w:sz="18" w:space="0" w:color="0070C0"/>
            </w:tcBorders>
            <w:shd w:val="clear" w:color="auto" w:fill="auto"/>
            <w:vAlign w:val="center"/>
          </w:tcPr>
          <w:p w14:paraId="64040B2F" w14:textId="7CB7A5D8" w:rsidR="000F1C6D" w:rsidRPr="00A65A1A" w:rsidRDefault="000F1C6D" w:rsidP="00A32846">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Household Income</w:t>
            </w:r>
          </w:p>
        </w:tc>
        <w:tc>
          <w:tcPr>
            <w:tcW w:w="1455" w:type="dxa"/>
            <w:tcBorders>
              <w:top w:val="single" w:sz="12" w:space="0" w:color="auto"/>
              <w:left w:val="single" w:sz="18" w:space="0" w:color="0070C0"/>
              <w:bottom w:val="single" w:sz="18" w:space="0" w:color="C0504D" w:themeColor="accent2"/>
              <w:right w:val="single" w:sz="8" w:space="0" w:color="0070C0"/>
            </w:tcBorders>
            <w:shd w:val="clear" w:color="auto" w:fill="auto"/>
            <w:vAlign w:val="center"/>
          </w:tcPr>
          <w:p w14:paraId="0A2E01F7" w14:textId="73FC014D" w:rsidR="000F1C6D" w:rsidRPr="00A65A1A" w:rsidRDefault="000F1C6D"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center"/>
              <w:rPr>
                <w:rFonts w:ascii="Verdana" w:eastAsia="Times New Roman" w:hAnsi="Verdana"/>
                <w:sz w:val="20"/>
                <w:szCs w:val="20"/>
              </w:rPr>
            </w:pPr>
            <w:r>
              <w:rPr>
                <w:rFonts w:ascii="Verdana" w:eastAsia="Times New Roman" w:hAnsi="Verdana"/>
                <w:sz w:val="20"/>
                <w:szCs w:val="20"/>
              </w:rPr>
              <w:t>Tampa-St. Petersburg</w:t>
            </w:r>
          </w:p>
        </w:tc>
        <w:tc>
          <w:tcPr>
            <w:tcW w:w="1440" w:type="dxa"/>
            <w:tcBorders>
              <w:top w:val="single" w:sz="12" w:space="0" w:color="auto"/>
              <w:left w:val="single" w:sz="8" w:space="0" w:color="0070C0"/>
              <w:bottom w:val="single" w:sz="18" w:space="0" w:color="C0504D" w:themeColor="accent2"/>
              <w:right w:val="single" w:sz="8" w:space="0" w:color="0070C0"/>
            </w:tcBorders>
            <w:vAlign w:val="center"/>
          </w:tcPr>
          <w:p w14:paraId="220E05D2" w14:textId="601B1B7C" w:rsidR="000F1C6D" w:rsidRPr="00A65A1A" w:rsidRDefault="00A135A1"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center"/>
              <w:rPr>
                <w:rFonts w:ascii="Verdana" w:eastAsia="Times New Roman" w:hAnsi="Verdana"/>
                <w:sz w:val="20"/>
                <w:szCs w:val="20"/>
              </w:rPr>
            </w:pPr>
            <w:r>
              <w:rPr>
                <w:rFonts w:ascii="Verdana" w:eastAsia="Times New Roman" w:hAnsi="Verdana"/>
                <w:sz w:val="20"/>
                <w:szCs w:val="20"/>
              </w:rPr>
              <w:t>Cincinnati</w:t>
            </w:r>
          </w:p>
        </w:tc>
        <w:tc>
          <w:tcPr>
            <w:tcW w:w="1440" w:type="dxa"/>
            <w:tcBorders>
              <w:top w:val="single" w:sz="12" w:space="0" w:color="auto"/>
              <w:left w:val="single" w:sz="8" w:space="0" w:color="0070C0"/>
              <w:bottom w:val="single" w:sz="18" w:space="0" w:color="C0504D" w:themeColor="accent2"/>
              <w:right w:val="single" w:sz="8" w:space="0" w:color="0070C0"/>
            </w:tcBorders>
            <w:vAlign w:val="center"/>
          </w:tcPr>
          <w:p w14:paraId="5F89207A" w14:textId="41F9EEA1" w:rsidR="000F1C6D" w:rsidRDefault="00A135A1"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center"/>
              <w:rPr>
                <w:rFonts w:ascii="Verdana" w:eastAsia="Times New Roman" w:hAnsi="Verdana"/>
                <w:sz w:val="20"/>
                <w:szCs w:val="20"/>
              </w:rPr>
            </w:pPr>
            <w:r>
              <w:rPr>
                <w:rFonts w:ascii="Verdana" w:eastAsia="Times New Roman" w:hAnsi="Verdana"/>
                <w:sz w:val="20"/>
                <w:szCs w:val="20"/>
              </w:rPr>
              <w:t>Little Rock</w:t>
            </w:r>
          </w:p>
        </w:tc>
        <w:tc>
          <w:tcPr>
            <w:tcW w:w="1440" w:type="dxa"/>
            <w:tcBorders>
              <w:top w:val="single" w:sz="12" w:space="0" w:color="auto"/>
              <w:left w:val="single" w:sz="8" w:space="0" w:color="0070C0"/>
              <w:bottom w:val="single" w:sz="18" w:space="0" w:color="C0504D" w:themeColor="accent2"/>
              <w:right w:val="single" w:sz="8" w:space="0" w:color="0070C0"/>
            </w:tcBorders>
            <w:shd w:val="clear" w:color="auto" w:fill="auto"/>
            <w:vAlign w:val="center"/>
          </w:tcPr>
          <w:p w14:paraId="2AAFE1B5" w14:textId="59E53BAE" w:rsidR="000F1C6D" w:rsidRPr="00A65A1A" w:rsidRDefault="00A135A1"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center"/>
              <w:rPr>
                <w:rFonts w:ascii="Verdana" w:eastAsia="Times New Roman" w:hAnsi="Verdana"/>
                <w:sz w:val="20"/>
                <w:szCs w:val="20"/>
              </w:rPr>
            </w:pPr>
            <w:r>
              <w:rPr>
                <w:rFonts w:ascii="Verdana" w:eastAsia="Times New Roman" w:hAnsi="Verdana"/>
                <w:sz w:val="20"/>
                <w:szCs w:val="20"/>
              </w:rPr>
              <w:t>Denver</w:t>
            </w:r>
          </w:p>
        </w:tc>
        <w:tc>
          <w:tcPr>
            <w:tcW w:w="1440" w:type="dxa"/>
            <w:tcBorders>
              <w:top w:val="single" w:sz="12" w:space="0" w:color="auto"/>
              <w:left w:val="single" w:sz="8" w:space="0" w:color="0070C0"/>
              <w:bottom w:val="single" w:sz="18" w:space="0" w:color="C0504D" w:themeColor="accent2"/>
              <w:right w:val="single" w:sz="12" w:space="0" w:color="000000"/>
            </w:tcBorders>
            <w:shd w:val="clear" w:color="auto" w:fill="auto"/>
            <w:vAlign w:val="center"/>
          </w:tcPr>
          <w:p w14:paraId="38729A1F" w14:textId="71F6B3D7" w:rsidR="000F1C6D" w:rsidRPr="00A65A1A" w:rsidRDefault="00A135A1"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center"/>
              <w:rPr>
                <w:rFonts w:ascii="Verdana" w:eastAsia="Times New Roman" w:hAnsi="Verdana"/>
                <w:sz w:val="20"/>
                <w:szCs w:val="20"/>
              </w:rPr>
            </w:pPr>
            <w:r>
              <w:rPr>
                <w:rFonts w:ascii="Verdana" w:eastAsia="Times New Roman" w:hAnsi="Verdana"/>
                <w:sz w:val="20"/>
                <w:szCs w:val="20"/>
              </w:rPr>
              <w:t>Monterey-Salinas, CA</w:t>
            </w:r>
          </w:p>
        </w:tc>
      </w:tr>
      <w:tr w:rsidR="000F1C6D" w:rsidRPr="00A65A1A" w14:paraId="42D0383D" w14:textId="77777777" w:rsidTr="00E76A50">
        <w:trPr>
          <w:jc w:val="center"/>
        </w:trPr>
        <w:tc>
          <w:tcPr>
            <w:tcW w:w="2325"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5B96F3C4" w14:textId="78EF2E09" w:rsidR="000F1C6D" w:rsidRPr="00A65A1A" w:rsidRDefault="000F1C6D" w:rsidP="00A32846">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Less than $35,000</w:t>
            </w:r>
          </w:p>
        </w:tc>
        <w:tc>
          <w:tcPr>
            <w:tcW w:w="1455" w:type="dxa"/>
            <w:tcBorders>
              <w:top w:val="single" w:sz="18" w:space="0" w:color="C0504D" w:themeColor="accent2"/>
              <w:left w:val="single" w:sz="18" w:space="0" w:color="0070C0"/>
              <w:bottom w:val="single" w:sz="4" w:space="0" w:color="000000"/>
              <w:right w:val="single" w:sz="8" w:space="0" w:color="0070C0"/>
            </w:tcBorders>
            <w:shd w:val="clear" w:color="auto" w:fill="D99594" w:themeFill="accent2" w:themeFillTint="99"/>
            <w:vAlign w:val="center"/>
          </w:tcPr>
          <w:p w14:paraId="49127F84" w14:textId="27A73078" w:rsidR="000F1C6D" w:rsidRPr="000F1C6D" w:rsidRDefault="000F1C6D" w:rsidP="000F1C6D">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54</w:t>
            </w:r>
          </w:p>
        </w:tc>
        <w:tc>
          <w:tcPr>
            <w:tcW w:w="1440" w:type="dxa"/>
            <w:tcBorders>
              <w:top w:val="single" w:sz="18" w:space="0" w:color="C0504D" w:themeColor="accent2"/>
              <w:left w:val="single" w:sz="8" w:space="0" w:color="0070C0"/>
              <w:bottom w:val="single" w:sz="4" w:space="0" w:color="000000"/>
              <w:right w:val="single" w:sz="8" w:space="0" w:color="0070C0"/>
            </w:tcBorders>
            <w:shd w:val="clear" w:color="auto" w:fill="FF0000"/>
            <w:vAlign w:val="center"/>
          </w:tcPr>
          <w:p w14:paraId="65B2D892" w14:textId="3DB1D8CD" w:rsidR="000F1C6D" w:rsidRPr="00A65A1A" w:rsidRDefault="00A135A1"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48</w:t>
            </w:r>
          </w:p>
        </w:tc>
        <w:tc>
          <w:tcPr>
            <w:tcW w:w="1440" w:type="dxa"/>
            <w:tcBorders>
              <w:top w:val="single" w:sz="18" w:space="0" w:color="C0504D" w:themeColor="accent2"/>
              <w:left w:val="single" w:sz="8" w:space="0" w:color="0070C0"/>
              <w:bottom w:val="single" w:sz="4" w:space="0" w:color="000000"/>
              <w:right w:val="single" w:sz="8" w:space="0" w:color="0070C0"/>
            </w:tcBorders>
            <w:shd w:val="clear" w:color="auto" w:fill="FF0000"/>
            <w:vAlign w:val="center"/>
          </w:tcPr>
          <w:p w14:paraId="2D8D2266" w14:textId="57A4A30D" w:rsidR="000F1C6D" w:rsidRPr="00A65A1A" w:rsidRDefault="00A135A1"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44</w:t>
            </w:r>
          </w:p>
        </w:tc>
        <w:tc>
          <w:tcPr>
            <w:tcW w:w="1440" w:type="dxa"/>
            <w:tcBorders>
              <w:top w:val="single" w:sz="18" w:space="0" w:color="C0504D" w:themeColor="accent2"/>
              <w:left w:val="single" w:sz="8" w:space="0" w:color="0070C0"/>
              <w:bottom w:val="single" w:sz="4" w:space="0" w:color="000000"/>
              <w:right w:val="single" w:sz="8" w:space="0" w:color="0070C0"/>
            </w:tcBorders>
            <w:shd w:val="clear" w:color="auto" w:fill="FF0000"/>
            <w:vAlign w:val="center"/>
          </w:tcPr>
          <w:p w14:paraId="1A6D6119" w14:textId="1A68FCAB" w:rsidR="000F1C6D" w:rsidRPr="00A65A1A" w:rsidRDefault="00A135A1"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35</w:t>
            </w:r>
          </w:p>
        </w:tc>
        <w:tc>
          <w:tcPr>
            <w:tcW w:w="1440" w:type="dxa"/>
            <w:tcBorders>
              <w:top w:val="single" w:sz="18" w:space="0" w:color="C0504D" w:themeColor="accent2"/>
              <w:left w:val="single" w:sz="8" w:space="0" w:color="0070C0"/>
              <w:bottom w:val="single" w:sz="4" w:space="0" w:color="000000"/>
              <w:right w:val="single" w:sz="12" w:space="0" w:color="000000"/>
            </w:tcBorders>
            <w:shd w:val="clear" w:color="auto" w:fill="E5B8B7" w:themeFill="accent2" w:themeFillTint="66"/>
            <w:vAlign w:val="center"/>
          </w:tcPr>
          <w:p w14:paraId="7132BED7" w14:textId="577F302C" w:rsidR="000F1C6D" w:rsidRPr="00A65A1A" w:rsidRDefault="00A135A1"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78</w:t>
            </w:r>
          </w:p>
        </w:tc>
      </w:tr>
      <w:tr w:rsidR="000F1C6D" w:rsidRPr="00A65A1A" w14:paraId="42C64055" w14:textId="77777777" w:rsidTr="00E76A50">
        <w:trPr>
          <w:jc w:val="center"/>
        </w:trPr>
        <w:tc>
          <w:tcPr>
            <w:tcW w:w="2325"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90A58FF" w14:textId="36F1E634" w:rsidR="000F1C6D" w:rsidRPr="00A65A1A" w:rsidRDefault="000F1C6D" w:rsidP="00A32846">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$35,000–$49,999</w:t>
            </w:r>
          </w:p>
        </w:tc>
        <w:tc>
          <w:tcPr>
            <w:tcW w:w="1455" w:type="dxa"/>
            <w:tcBorders>
              <w:top w:val="single" w:sz="4" w:space="0" w:color="000000"/>
              <w:left w:val="single" w:sz="18" w:space="0" w:color="0070C0"/>
              <w:bottom w:val="single" w:sz="4" w:space="0" w:color="000000"/>
              <w:right w:val="single" w:sz="8" w:space="0" w:color="0070C0"/>
            </w:tcBorders>
            <w:shd w:val="clear" w:color="auto" w:fill="F2DBDB" w:themeFill="accent2" w:themeFillTint="33"/>
            <w:vAlign w:val="center"/>
          </w:tcPr>
          <w:p w14:paraId="2D050A80" w14:textId="669B67E9" w:rsidR="000F1C6D" w:rsidRPr="00A65A1A" w:rsidRDefault="000F1C6D"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97</w:t>
            </w:r>
          </w:p>
        </w:tc>
        <w:tc>
          <w:tcPr>
            <w:tcW w:w="1440"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35709E80" w14:textId="0030632F" w:rsidR="000F1C6D" w:rsidRPr="00A65A1A" w:rsidRDefault="00A135A1"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104</w:t>
            </w:r>
          </w:p>
        </w:tc>
        <w:tc>
          <w:tcPr>
            <w:tcW w:w="1440" w:type="dxa"/>
            <w:tcBorders>
              <w:top w:val="single" w:sz="4" w:space="0" w:color="auto"/>
              <w:left w:val="single" w:sz="8" w:space="0" w:color="0070C0"/>
              <w:bottom w:val="single" w:sz="4" w:space="0" w:color="000000"/>
              <w:right w:val="single" w:sz="8" w:space="0" w:color="0070C0"/>
            </w:tcBorders>
            <w:shd w:val="clear" w:color="auto" w:fill="00B050"/>
            <w:vAlign w:val="center"/>
          </w:tcPr>
          <w:p w14:paraId="33802B75" w14:textId="351F2448" w:rsidR="000F1C6D" w:rsidRPr="00A65A1A" w:rsidRDefault="00A135A1"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183</w:t>
            </w:r>
          </w:p>
        </w:tc>
        <w:tc>
          <w:tcPr>
            <w:tcW w:w="1440"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57100743" w14:textId="6AF880F5" w:rsidR="000F1C6D" w:rsidRPr="00A65A1A" w:rsidRDefault="00A135A1"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67</w:t>
            </w:r>
          </w:p>
        </w:tc>
        <w:tc>
          <w:tcPr>
            <w:tcW w:w="1440" w:type="dxa"/>
            <w:tcBorders>
              <w:top w:val="single" w:sz="4" w:space="0" w:color="auto"/>
              <w:left w:val="single" w:sz="8" w:space="0" w:color="0070C0"/>
              <w:bottom w:val="single" w:sz="4" w:space="0" w:color="000000"/>
              <w:right w:val="single" w:sz="12" w:space="0" w:color="000000"/>
            </w:tcBorders>
            <w:shd w:val="clear" w:color="auto" w:fill="E5B8B7" w:themeFill="accent2" w:themeFillTint="66"/>
            <w:vAlign w:val="center"/>
          </w:tcPr>
          <w:p w14:paraId="1CF3746D" w14:textId="4134A073" w:rsidR="000F1C6D" w:rsidRPr="00A65A1A" w:rsidRDefault="00A135A1"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70</w:t>
            </w:r>
          </w:p>
        </w:tc>
      </w:tr>
      <w:tr w:rsidR="000F1C6D" w:rsidRPr="00A65A1A" w14:paraId="1C2119D9" w14:textId="77777777" w:rsidTr="00E76A50">
        <w:trPr>
          <w:jc w:val="center"/>
        </w:trPr>
        <w:tc>
          <w:tcPr>
            <w:tcW w:w="2325"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6FAB3569" w14:textId="14AAC147" w:rsidR="000F1C6D" w:rsidRPr="00A65A1A" w:rsidRDefault="000F1C6D" w:rsidP="00A32846">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$50,000–$74,999</w:t>
            </w:r>
          </w:p>
        </w:tc>
        <w:tc>
          <w:tcPr>
            <w:tcW w:w="1455" w:type="dxa"/>
            <w:tcBorders>
              <w:top w:val="single" w:sz="4" w:space="0" w:color="000000"/>
              <w:left w:val="single" w:sz="18" w:space="0" w:color="0070C0"/>
              <w:bottom w:val="single" w:sz="4" w:space="0" w:color="000000"/>
              <w:right w:val="single" w:sz="8" w:space="0" w:color="0070C0"/>
            </w:tcBorders>
            <w:shd w:val="clear" w:color="auto" w:fill="C2D69B" w:themeFill="accent3" w:themeFillTint="99"/>
            <w:vAlign w:val="center"/>
          </w:tcPr>
          <w:p w14:paraId="162CE287" w14:textId="192481D8" w:rsidR="000F1C6D" w:rsidRPr="00A65A1A" w:rsidRDefault="000F1C6D"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138</w:t>
            </w:r>
          </w:p>
        </w:tc>
        <w:tc>
          <w:tcPr>
            <w:tcW w:w="1440"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52FAFF60" w14:textId="275CC5DA" w:rsidR="000F1C6D" w:rsidRPr="00A65A1A" w:rsidRDefault="00A135A1"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105</w:t>
            </w:r>
          </w:p>
        </w:tc>
        <w:tc>
          <w:tcPr>
            <w:tcW w:w="1440"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38E4F7A4" w14:textId="171292C2" w:rsidR="000F1C6D" w:rsidRPr="00A65A1A" w:rsidRDefault="00A135A1"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126</w:t>
            </w:r>
          </w:p>
        </w:tc>
        <w:tc>
          <w:tcPr>
            <w:tcW w:w="1440"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42FD1576" w14:textId="646DB32B" w:rsidR="000F1C6D" w:rsidRPr="00A65A1A" w:rsidRDefault="00A135A1"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102</w:t>
            </w:r>
          </w:p>
        </w:tc>
        <w:tc>
          <w:tcPr>
            <w:tcW w:w="1440" w:type="dxa"/>
            <w:tcBorders>
              <w:top w:val="single" w:sz="4" w:space="0" w:color="auto"/>
              <w:left w:val="single" w:sz="8" w:space="0" w:color="0070C0"/>
              <w:bottom w:val="single" w:sz="4" w:space="0" w:color="000000"/>
              <w:right w:val="single" w:sz="12" w:space="0" w:color="000000"/>
            </w:tcBorders>
            <w:shd w:val="clear" w:color="auto" w:fill="D99594" w:themeFill="accent2" w:themeFillTint="99"/>
            <w:vAlign w:val="center"/>
          </w:tcPr>
          <w:p w14:paraId="022D3A45" w14:textId="56FB3315" w:rsidR="000F1C6D" w:rsidRPr="00A65A1A" w:rsidRDefault="00A135A1"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64</w:t>
            </w:r>
          </w:p>
        </w:tc>
      </w:tr>
      <w:tr w:rsidR="000F1C6D" w:rsidRPr="00A65A1A" w14:paraId="7D181E89" w14:textId="77777777" w:rsidTr="00E76A50">
        <w:trPr>
          <w:jc w:val="center"/>
        </w:trPr>
        <w:tc>
          <w:tcPr>
            <w:tcW w:w="2325"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3CE956D4" w14:textId="7E679702" w:rsidR="000F1C6D" w:rsidRPr="00A65A1A" w:rsidRDefault="000F1C6D" w:rsidP="00A32846">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$75,000–$99,999</w:t>
            </w:r>
          </w:p>
        </w:tc>
        <w:tc>
          <w:tcPr>
            <w:tcW w:w="1455" w:type="dxa"/>
            <w:tcBorders>
              <w:top w:val="single" w:sz="4" w:space="0" w:color="000000"/>
              <w:left w:val="single" w:sz="18" w:space="0" w:color="0070C0"/>
              <w:bottom w:val="single" w:sz="4" w:space="0" w:color="000000"/>
              <w:right w:val="single" w:sz="8" w:space="0" w:color="0070C0"/>
            </w:tcBorders>
            <w:shd w:val="clear" w:color="auto" w:fill="D6E3BC" w:themeFill="accent3" w:themeFillTint="66"/>
            <w:vAlign w:val="center"/>
          </w:tcPr>
          <w:p w14:paraId="5EB4C7F3" w14:textId="228A5FAE" w:rsidR="000F1C6D" w:rsidRPr="00A65A1A" w:rsidRDefault="000F1C6D"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119</w:t>
            </w:r>
          </w:p>
        </w:tc>
        <w:tc>
          <w:tcPr>
            <w:tcW w:w="1440"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58679350" w14:textId="5EF21654" w:rsidR="000F1C6D" w:rsidRPr="00A65A1A" w:rsidRDefault="00A135A1"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144</w:t>
            </w:r>
          </w:p>
        </w:tc>
        <w:tc>
          <w:tcPr>
            <w:tcW w:w="1440"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30963B4F" w14:textId="5FCE5D12" w:rsidR="000F1C6D" w:rsidRPr="00A65A1A" w:rsidRDefault="00A135A1"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124</w:t>
            </w:r>
          </w:p>
        </w:tc>
        <w:tc>
          <w:tcPr>
            <w:tcW w:w="1440" w:type="dxa"/>
            <w:tcBorders>
              <w:top w:val="single" w:sz="4" w:space="0" w:color="auto"/>
              <w:left w:val="single" w:sz="8" w:space="0" w:color="0070C0"/>
              <w:bottom w:val="single" w:sz="4" w:space="0" w:color="000000"/>
              <w:right w:val="single" w:sz="8" w:space="0" w:color="0070C0"/>
            </w:tcBorders>
            <w:shd w:val="clear" w:color="auto" w:fill="92D050"/>
            <w:vAlign w:val="center"/>
          </w:tcPr>
          <w:p w14:paraId="0E6E028B" w14:textId="7745548E" w:rsidR="000F1C6D" w:rsidRPr="00A65A1A" w:rsidRDefault="00A135A1"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151</w:t>
            </w:r>
          </w:p>
        </w:tc>
        <w:tc>
          <w:tcPr>
            <w:tcW w:w="1440" w:type="dxa"/>
            <w:tcBorders>
              <w:top w:val="single" w:sz="4" w:space="0" w:color="auto"/>
              <w:left w:val="single" w:sz="8" w:space="0" w:color="0070C0"/>
              <w:bottom w:val="single" w:sz="4" w:space="0" w:color="000000"/>
              <w:right w:val="single" w:sz="12" w:space="0" w:color="000000"/>
            </w:tcBorders>
            <w:shd w:val="clear" w:color="auto" w:fill="92D050"/>
            <w:vAlign w:val="center"/>
          </w:tcPr>
          <w:p w14:paraId="2D6454DB" w14:textId="2632FB86" w:rsidR="000F1C6D" w:rsidRPr="00A65A1A" w:rsidRDefault="00A135A1"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156</w:t>
            </w:r>
          </w:p>
        </w:tc>
      </w:tr>
      <w:tr w:rsidR="000F1C6D" w:rsidRPr="00A65A1A" w14:paraId="68264B16" w14:textId="77777777" w:rsidTr="00E76A50">
        <w:trPr>
          <w:jc w:val="center"/>
        </w:trPr>
        <w:tc>
          <w:tcPr>
            <w:tcW w:w="2325"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1586AD4" w14:textId="52BF6416" w:rsidR="000F1C6D" w:rsidRPr="00A65A1A" w:rsidRDefault="000F1C6D" w:rsidP="00A32846">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$100,000–$149,999</w:t>
            </w:r>
          </w:p>
        </w:tc>
        <w:tc>
          <w:tcPr>
            <w:tcW w:w="1455" w:type="dxa"/>
            <w:tcBorders>
              <w:top w:val="single" w:sz="4" w:space="0" w:color="000000"/>
              <w:left w:val="single" w:sz="18" w:space="0" w:color="0070C0"/>
              <w:bottom w:val="single" w:sz="4" w:space="0" w:color="000000"/>
              <w:right w:val="single" w:sz="8" w:space="0" w:color="0070C0"/>
            </w:tcBorders>
            <w:shd w:val="clear" w:color="auto" w:fill="C2D69B" w:themeFill="accent3" w:themeFillTint="99"/>
            <w:vAlign w:val="center"/>
          </w:tcPr>
          <w:p w14:paraId="580700A2" w14:textId="0284C305" w:rsidR="000F1C6D" w:rsidRPr="00A65A1A" w:rsidRDefault="000F1C6D"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126</w:t>
            </w:r>
          </w:p>
        </w:tc>
        <w:tc>
          <w:tcPr>
            <w:tcW w:w="1440" w:type="dxa"/>
            <w:tcBorders>
              <w:top w:val="single" w:sz="4" w:space="0" w:color="auto"/>
              <w:left w:val="single" w:sz="8" w:space="0" w:color="0070C0"/>
              <w:bottom w:val="single" w:sz="4" w:space="0" w:color="000000"/>
              <w:right w:val="single" w:sz="8" w:space="0" w:color="0070C0"/>
            </w:tcBorders>
            <w:shd w:val="clear" w:color="auto" w:fill="92D050"/>
            <w:vAlign w:val="center"/>
          </w:tcPr>
          <w:p w14:paraId="1FB03AD8" w14:textId="4EB1214F" w:rsidR="000F1C6D" w:rsidRPr="00A65A1A" w:rsidRDefault="00A135A1"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165</w:t>
            </w:r>
          </w:p>
        </w:tc>
        <w:tc>
          <w:tcPr>
            <w:tcW w:w="1440" w:type="dxa"/>
            <w:tcBorders>
              <w:top w:val="single" w:sz="4" w:space="0" w:color="auto"/>
              <w:left w:val="single" w:sz="8" w:space="0" w:color="0070C0"/>
              <w:bottom w:val="single" w:sz="4" w:space="0" w:color="000000"/>
              <w:right w:val="single" w:sz="8" w:space="0" w:color="0070C0"/>
            </w:tcBorders>
            <w:shd w:val="clear" w:color="auto" w:fill="00B050"/>
            <w:vAlign w:val="center"/>
          </w:tcPr>
          <w:p w14:paraId="6E4E40AF" w14:textId="1B24C914" w:rsidR="000F1C6D" w:rsidRPr="00A65A1A" w:rsidRDefault="00A135A1"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195</w:t>
            </w:r>
          </w:p>
        </w:tc>
        <w:tc>
          <w:tcPr>
            <w:tcW w:w="1440"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4B147DD3" w14:textId="79C52250" w:rsidR="000F1C6D" w:rsidRPr="00A65A1A" w:rsidRDefault="00A135A1"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142</w:t>
            </w:r>
          </w:p>
        </w:tc>
        <w:tc>
          <w:tcPr>
            <w:tcW w:w="1440"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6C2BD20E" w14:textId="6B7859DF" w:rsidR="000F1C6D" w:rsidRPr="00A65A1A" w:rsidRDefault="00A135A1"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112</w:t>
            </w:r>
          </w:p>
        </w:tc>
      </w:tr>
      <w:tr w:rsidR="000F1C6D" w:rsidRPr="00A65A1A" w14:paraId="778EFE88" w14:textId="77777777" w:rsidTr="00E76A50">
        <w:trPr>
          <w:jc w:val="center"/>
        </w:trPr>
        <w:tc>
          <w:tcPr>
            <w:tcW w:w="2325"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201B6954" w14:textId="7CF271AA" w:rsidR="000F1C6D" w:rsidRPr="00A65A1A" w:rsidRDefault="000F1C6D" w:rsidP="00A32846">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$150,000 or more</w:t>
            </w:r>
          </w:p>
        </w:tc>
        <w:tc>
          <w:tcPr>
            <w:tcW w:w="1455" w:type="dxa"/>
            <w:tcBorders>
              <w:top w:val="single" w:sz="4" w:space="0" w:color="000000"/>
              <w:left w:val="single" w:sz="18" w:space="0" w:color="0070C0"/>
              <w:bottom w:val="single" w:sz="12" w:space="0" w:color="000000"/>
              <w:right w:val="single" w:sz="8" w:space="0" w:color="0070C0"/>
            </w:tcBorders>
            <w:shd w:val="clear" w:color="auto" w:fill="C2D69B" w:themeFill="accent3" w:themeFillTint="99"/>
            <w:vAlign w:val="center"/>
          </w:tcPr>
          <w:p w14:paraId="56A4894A" w14:textId="62123166" w:rsidR="000F1C6D" w:rsidRPr="00A65A1A" w:rsidRDefault="000F1C6D"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136</w:t>
            </w:r>
          </w:p>
        </w:tc>
        <w:tc>
          <w:tcPr>
            <w:tcW w:w="1440" w:type="dxa"/>
            <w:tcBorders>
              <w:top w:val="single" w:sz="4" w:space="0" w:color="000000"/>
              <w:left w:val="single" w:sz="8" w:space="0" w:color="0070C0"/>
              <w:bottom w:val="single" w:sz="12" w:space="0" w:color="000000"/>
              <w:right w:val="single" w:sz="8" w:space="0" w:color="0070C0"/>
            </w:tcBorders>
            <w:shd w:val="clear" w:color="auto" w:fill="F2DBDB" w:themeFill="accent2" w:themeFillTint="33"/>
            <w:vAlign w:val="center"/>
          </w:tcPr>
          <w:p w14:paraId="0133CA8E" w14:textId="4C024949" w:rsidR="000F1C6D" w:rsidRPr="00A65A1A" w:rsidRDefault="00A135A1"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93</w:t>
            </w:r>
          </w:p>
        </w:tc>
        <w:tc>
          <w:tcPr>
            <w:tcW w:w="1440" w:type="dxa"/>
            <w:tcBorders>
              <w:top w:val="single" w:sz="4" w:space="0" w:color="000000"/>
              <w:left w:val="single" w:sz="8" w:space="0" w:color="0070C0"/>
              <w:bottom w:val="single" w:sz="12" w:space="0" w:color="000000"/>
              <w:right w:val="single" w:sz="8" w:space="0" w:color="0070C0"/>
            </w:tcBorders>
            <w:shd w:val="clear" w:color="auto" w:fill="EAF1DD" w:themeFill="accent3" w:themeFillTint="33"/>
            <w:vAlign w:val="center"/>
          </w:tcPr>
          <w:p w14:paraId="6715CDBB" w14:textId="0B783D71" w:rsidR="000F1C6D" w:rsidRPr="00A65A1A" w:rsidRDefault="00A135A1"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103</w:t>
            </w:r>
          </w:p>
        </w:tc>
        <w:tc>
          <w:tcPr>
            <w:tcW w:w="1440" w:type="dxa"/>
            <w:tcBorders>
              <w:top w:val="single" w:sz="4" w:space="0" w:color="000000"/>
              <w:left w:val="single" w:sz="8" w:space="0" w:color="0070C0"/>
              <w:bottom w:val="single" w:sz="12" w:space="0" w:color="000000"/>
              <w:right w:val="single" w:sz="8" w:space="0" w:color="0070C0"/>
            </w:tcBorders>
            <w:shd w:val="clear" w:color="auto" w:fill="C2D69B" w:themeFill="accent3" w:themeFillTint="99"/>
            <w:vAlign w:val="center"/>
          </w:tcPr>
          <w:p w14:paraId="4A82740C" w14:textId="3ABD5AAB" w:rsidR="000F1C6D" w:rsidRPr="00A65A1A" w:rsidRDefault="00A135A1"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141</w:t>
            </w:r>
          </w:p>
        </w:tc>
        <w:tc>
          <w:tcPr>
            <w:tcW w:w="1440" w:type="dxa"/>
            <w:tcBorders>
              <w:top w:val="single" w:sz="4" w:space="0" w:color="000000"/>
              <w:left w:val="single" w:sz="8" w:space="0" w:color="0070C0"/>
              <w:bottom w:val="single" w:sz="12" w:space="0" w:color="000000"/>
              <w:right w:val="single" w:sz="12" w:space="0" w:color="000000"/>
            </w:tcBorders>
            <w:shd w:val="clear" w:color="auto" w:fill="C2D69B" w:themeFill="accent3" w:themeFillTint="99"/>
            <w:vAlign w:val="center"/>
          </w:tcPr>
          <w:p w14:paraId="09AAC688" w14:textId="1565C6C5" w:rsidR="000F1C6D" w:rsidRPr="008C1BE9" w:rsidRDefault="00A135A1"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123</w:t>
            </w:r>
          </w:p>
        </w:tc>
      </w:tr>
    </w:tbl>
    <w:p w14:paraId="0C0AD9DE" w14:textId="133AA41F" w:rsidR="00811F60" w:rsidRDefault="000F1C6D" w:rsidP="00550FF2">
      <w:pPr>
        <w:spacing w:after="0" w:line="240" w:lineRule="auto"/>
        <w:contextualSpacing/>
        <w:mirrorIndents/>
        <w:rPr>
          <w:rFonts w:ascii="Verdana" w:hAnsi="Verdana"/>
          <w:sz w:val="20"/>
          <w:szCs w:val="20"/>
        </w:rPr>
      </w:pPr>
      <w:r w:rsidRPr="00B74946">
        <w:rPr>
          <w:sz w:val="16"/>
          <w:szCs w:val="16"/>
        </w:rPr>
        <w:t>Based on The Media Audit</w:t>
      </w:r>
      <w:r>
        <w:rPr>
          <w:sz w:val="16"/>
          <w:szCs w:val="16"/>
        </w:rPr>
        <w:t xml:space="preserve">’s </w:t>
      </w:r>
      <w:r w:rsidRPr="00B74946">
        <w:rPr>
          <w:sz w:val="16"/>
          <w:szCs w:val="16"/>
        </w:rPr>
        <w:t>2021</w:t>
      </w:r>
      <w:r>
        <w:rPr>
          <w:sz w:val="16"/>
          <w:szCs w:val="16"/>
        </w:rPr>
        <w:t xml:space="preserve"> surveys</w:t>
      </w:r>
      <w:r>
        <w:rPr>
          <w:rFonts w:ascii="Verdana" w:hAnsi="Verdana"/>
          <w:sz w:val="16"/>
          <w:szCs w:val="16"/>
        </w:rPr>
        <w:tab/>
      </w:r>
      <w:r>
        <w:rPr>
          <w:rFonts w:ascii="Verdana" w:hAnsi="Verdana"/>
          <w:sz w:val="16"/>
          <w:szCs w:val="16"/>
        </w:rPr>
        <w:tab/>
      </w:r>
    </w:p>
    <w:p w14:paraId="472897DA" w14:textId="77777777" w:rsidR="000F1C6D" w:rsidRDefault="000F1C6D" w:rsidP="00550FF2">
      <w:pPr>
        <w:spacing w:after="0" w:line="240" w:lineRule="auto"/>
        <w:contextualSpacing/>
        <w:mirrorIndents/>
        <w:rPr>
          <w:rFonts w:ascii="Verdana" w:hAnsi="Verdana"/>
          <w:sz w:val="20"/>
          <w:szCs w:val="20"/>
        </w:rPr>
      </w:pPr>
    </w:p>
    <w:p w14:paraId="5E2CC899" w14:textId="4BB70431" w:rsidR="00550FF2" w:rsidRPr="003075BE" w:rsidRDefault="00550FF2" w:rsidP="003075BE">
      <w:pPr>
        <w:spacing w:after="0" w:line="240" w:lineRule="auto"/>
        <w:contextualSpacing/>
        <w:mirrorIndents/>
        <w:jc w:val="center"/>
        <w:rPr>
          <w:rFonts w:ascii="Verdana" w:hAnsi="Verdana"/>
          <w:b/>
          <w:bCs/>
          <w:color w:val="0070C0"/>
          <w:sz w:val="20"/>
          <w:szCs w:val="20"/>
        </w:rPr>
      </w:pPr>
      <w:r w:rsidRPr="003075BE">
        <w:rPr>
          <w:rFonts w:ascii="Verdana" w:hAnsi="Verdana"/>
          <w:b/>
          <w:bCs/>
          <w:color w:val="0070C0"/>
          <w:sz w:val="20"/>
          <w:szCs w:val="20"/>
        </w:rPr>
        <w:lastRenderedPageBreak/>
        <w:t>Student Loan Trends</w:t>
      </w:r>
    </w:p>
    <w:p w14:paraId="77187004" w14:textId="77777777" w:rsidR="00550FF2" w:rsidRPr="00550FF2" w:rsidRDefault="00550FF2" w:rsidP="00550FF2">
      <w:pPr>
        <w:spacing w:after="0" w:line="240" w:lineRule="auto"/>
        <w:contextualSpacing/>
        <w:mirrorIndents/>
        <w:rPr>
          <w:rFonts w:ascii="Verdana" w:hAnsi="Verdana"/>
          <w:sz w:val="20"/>
          <w:szCs w:val="20"/>
        </w:rPr>
      </w:pPr>
    </w:p>
    <w:p w14:paraId="064EB56D" w14:textId="6BFD6BDE" w:rsidR="003075BE" w:rsidRDefault="005476FC" w:rsidP="00550FF2">
      <w:pPr>
        <w:spacing w:after="0" w:line="240" w:lineRule="auto"/>
        <w:contextualSpacing/>
        <w:mirrorIndents/>
        <w:rPr>
          <w:rFonts w:ascii="Verdana" w:hAnsi="Verdana"/>
          <w:sz w:val="20"/>
          <w:szCs w:val="20"/>
        </w:rPr>
      </w:pPr>
      <w:r>
        <w:rPr>
          <w:rFonts w:ascii="Verdana" w:hAnsi="Verdana"/>
          <w:sz w:val="20"/>
          <w:szCs w:val="20"/>
        </w:rPr>
        <w:t>The</w:t>
      </w:r>
      <w:r w:rsidR="005634A6">
        <w:rPr>
          <w:rFonts w:ascii="Verdana" w:hAnsi="Verdana"/>
          <w:sz w:val="20"/>
          <w:szCs w:val="20"/>
        </w:rPr>
        <w:t xml:space="preserve"> Biden administration </w:t>
      </w:r>
      <w:r>
        <w:rPr>
          <w:rFonts w:ascii="Verdana" w:hAnsi="Verdana"/>
          <w:sz w:val="20"/>
          <w:szCs w:val="20"/>
        </w:rPr>
        <w:t>may</w:t>
      </w:r>
      <w:r w:rsidR="005634A6">
        <w:rPr>
          <w:rFonts w:ascii="Verdana" w:hAnsi="Verdana"/>
          <w:sz w:val="20"/>
          <w:szCs w:val="20"/>
        </w:rPr>
        <w:t xml:space="preserve"> forgive $10,000 of federal student loan debt</w:t>
      </w:r>
      <w:r>
        <w:rPr>
          <w:rFonts w:ascii="Verdana" w:hAnsi="Verdana"/>
          <w:sz w:val="20"/>
          <w:szCs w:val="20"/>
        </w:rPr>
        <w:t>, which could be announced during late summer 2022</w:t>
      </w:r>
      <w:r w:rsidR="005634A6">
        <w:rPr>
          <w:rFonts w:ascii="Verdana" w:hAnsi="Verdana"/>
          <w:sz w:val="20"/>
          <w:szCs w:val="20"/>
        </w:rPr>
        <w:t xml:space="preserve">. During late June 2022, all federal student loans were canceled for those who attended the now-closed Corinthian Colleges chain. </w:t>
      </w:r>
    </w:p>
    <w:p w14:paraId="5E05F095" w14:textId="2AEDE713" w:rsidR="003075BE" w:rsidRDefault="003075BE" w:rsidP="00550FF2">
      <w:pPr>
        <w:spacing w:after="0" w:line="240" w:lineRule="auto"/>
        <w:contextualSpacing/>
        <w:mirrorIndents/>
        <w:rPr>
          <w:rFonts w:ascii="Verdana" w:hAnsi="Verdana"/>
          <w:sz w:val="20"/>
          <w:szCs w:val="20"/>
        </w:rPr>
      </w:pPr>
    </w:p>
    <w:p w14:paraId="03C682C5" w14:textId="3C2E7A77" w:rsidR="00347340" w:rsidRDefault="00347340" w:rsidP="00550FF2">
      <w:pPr>
        <w:spacing w:after="0" w:line="240" w:lineRule="auto"/>
        <w:contextualSpacing/>
        <w:mirrorIndents/>
        <w:rPr>
          <w:rFonts w:ascii="Verdana" w:hAnsi="Verdana"/>
          <w:sz w:val="20"/>
          <w:szCs w:val="20"/>
        </w:rPr>
      </w:pPr>
      <w:r>
        <w:rPr>
          <w:rFonts w:ascii="Verdana" w:hAnsi="Verdana"/>
          <w:sz w:val="20"/>
          <w:szCs w:val="20"/>
        </w:rPr>
        <w:t>The administration’s extended student payment pause has saved 41 billion borrowers billions of dollars in monthly payments. The average monthly student loan payment was approximately $460 during March 2022.</w:t>
      </w:r>
    </w:p>
    <w:p w14:paraId="42F8C46A" w14:textId="77777777" w:rsidR="00347340" w:rsidRDefault="00347340" w:rsidP="00550FF2">
      <w:pPr>
        <w:spacing w:after="0" w:line="240" w:lineRule="auto"/>
        <w:contextualSpacing/>
        <w:mirrorIndents/>
        <w:rPr>
          <w:rFonts w:ascii="Verdana" w:hAnsi="Verdana"/>
          <w:sz w:val="20"/>
          <w:szCs w:val="20"/>
        </w:rPr>
      </w:pPr>
    </w:p>
    <w:p w14:paraId="0D68B243" w14:textId="28941F32" w:rsidR="005476FC" w:rsidRPr="00414DA6" w:rsidRDefault="005476FC" w:rsidP="00550FF2">
      <w:pPr>
        <w:spacing w:after="0" w:line="240" w:lineRule="auto"/>
        <w:contextualSpacing/>
        <w:mirrorIndents/>
        <w:rPr>
          <w:rFonts w:ascii="Verdana" w:hAnsi="Verdana"/>
          <w:sz w:val="20"/>
          <w:szCs w:val="20"/>
        </w:rPr>
      </w:pPr>
      <w:r>
        <w:rPr>
          <w:rFonts w:ascii="Verdana" w:hAnsi="Verdana"/>
          <w:sz w:val="20"/>
          <w:szCs w:val="20"/>
        </w:rPr>
        <w:t>The Federal Reserve Bank of New York reported outstanding student loan debt as of Q1 2022 totaled $1.59 trillion</w:t>
      </w:r>
      <w:r w:rsidR="0061708C">
        <w:rPr>
          <w:rFonts w:ascii="Verdana" w:hAnsi="Verdana"/>
          <w:sz w:val="20"/>
          <w:szCs w:val="20"/>
        </w:rPr>
        <w:t>, with a</w:t>
      </w:r>
      <w:r>
        <w:rPr>
          <w:rFonts w:ascii="Verdana" w:hAnsi="Verdana"/>
          <w:sz w:val="20"/>
          <w:szCs w:val="20"/>
        </w:rPr>
        <w:t>pproximately 5% of all student debt in default.</w:t>
      </w:r>
    </w:p>
    <w:p w14:paraId="74737F13" w14:textId="41E37766" w:rsidR="005476FC" w:rsidRPr="00414DA6" w:rsidRDefault="005476FC" w:rsidP="00550FF2">
      <w:pPr>
        <w:spacing w:after="0" w:line="240" w:lineRule="auto"/>
        <w:contextualSpacing/>
        <w:mirrorIndents/>
        <w:rPr>
          <w:rFonts w:ascii="Verdana" w:hAnsi="Verdana"/>
          <w:sz w:val="20"/>
          <w:szCs w:val="20"/>
        </w:rPr>
      </w:pPr>
    </w:p>
    <w:p w14:paraId="105E0EA2" w14:textId="77777777" w:rsidR="002241F3" w:rsidRPr="00414DA6" w:rsidRDefault="002241F3" w:rsidP="002241F3">
      <w:pPr>
        <w:contextualSpacing/>
        <w:mirrorIndents/>
        <w:jc w:val="center"/>
        <w:rPr>
          <w:rFonts w:ascii="Verdana" w:hAnsi="Verdana"/>
          <w:b/>
          <w:bCs/>
          <w:sz w:val="20"/>
          <w:szCs w:val="20"/>
        </w:rPr>
      </w:pPr>
      <w:r w:rsidRPr="00414DA6">
        <w:rPr>
          <w:rFonts w:ascii="Verdana" w:hAnsi="Verdana"/>
          <w:b/>
          <w:bCs/>
          <w:sz w:val="20"/>
          <w:szCs w:val="20"/>
        </w:rPr>
        <w:t xml:space="preserve">High-End, Low-End and Average Monthly Student </w:t>
      </w:r>
    </w:p>
    <w:p w14:paraId="3DAA66C9" w14:textId="4D360CC7" w:rsidR="0061708C" w:rsidRPr="00414DA6" w:rsidRDefault="002241F3" w:rsidP="0061708C">
      <w:pPr>
        <w:contextualSpacing/>
        <w:mirrorIndents/>
        <w:jc w:val="center"/>
        <w:rPr>
          <w:rFonts w:ascii="Verdana" w:hAnsi="Verdana"/>
          <w:b/>
          <w:bCs/>
          <w:sz w:val="20"/>
          <w:szCs w:val="20"/>
        </w:rPr>
      </w:pPr>
      <w:r w:rsidRPr="00414DA6">
        <w:rPr>
          <w:rFonts w:ascii="Verdana" w:hAnsi="Verdana"/>
          <w:b/>
          <w:bCs/>
          <w:sz w:val="20"/>
          <w:szCs w:val="20"/>
        </w:rPr>
        <w:t>Loan Payment, by Type of Degree, March 2022</w:t>
      </w:r>
    </w:p>
    <w:tbl>
      <w:tblPr>
        <w:tblW w:w="5609"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808"/>
        <w:gridCol w:w="1267"/>
        <w:gridCol w:w="1267"/>
        <w:gridCol w:w="1267"/>
      </w:tblGrid>
      <w:tr w:rsidR="002241F3" w:rsidRPr="00414DA6" w14:paraId="7E7FF73D" w14:textId="77777777" w:rsidTr="0061708C">
        <w:trPr>
          <w:jc w:val="center"/>
        </w:trPr>
        <w:tc>
          <w:tcPr>
            <w:tcW w:w="1808"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3E38119D" w14:textId="453BE715" w:rsidR="002241F3" w:rsidRPr="00414DA6" w:rsidRDefault="002241F3" w:rsidP="002241F3">
            <w:pPr>
              <w:widowControl w:val="0"/>
              <w:tabs>
                <w:tab w:val="left" w:pos="220"/>
                <w:tab w:val="left" w:pos="720"/>
              </w:tabs>
              <w:autoSpaceDE w:val="0"/>
              <w:autoSpaceDN w:val="0"/>
              <w:contextualSpacing/>
              <w:mirrorIndents/>
              <w:jc w:val="center"/>
              <w:rPr>
                <w:rFonts w:ascii="Verdana" w:eastAsia="Times New Roman" w:hAnsi="Verdana"/>
                <w:sz w:val="20"/>
                <w:szCs w:val="20"/>
              </w:rPr>
            </w:pPr>
            <w:r w:rsidRPr="00414DA6">
              <w:rPr>
                <w:rFonts w:ascii="Verdana" w:eastAsia="Times New Roman" w:hAnsi="Verdana"/>
                <w:sz w:val="20"/>
                <w:szCs w:val="20"/>
              </w:rPr>
              <w:t>Degree Type</w:t>
            </w:r>
          </w:p>
        </w:tc>
        <w:tc>
          <w:tcPr>
            <w:tcW w:w="1267"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08088A48" w14:textId="520D6452" w:rsidR="002241F3" w:rsidRPr="00414DA6" w:rsidRDefault="002241F3" w:rsidP="002241F3">
            <w:pPr>
              <w:widowControl w:val="0"/>
              <w:tabs>
                <w:tab w:val="left" w:pos="220"/>
                <w:tab w:val="left" w:pos="720"/>
              </w:tabs>
              <w:autoSpaceDE w:val="0"/>
              <w:autoSpaceDN w:val="0"/>
              <w:contextualSpacing/>
              <w:mirrorIndents/>
              <w:jc w:val="center"/>
              <w:rPr>
                <w:rFonts w:ascii="Verdana" w:eastAsia="Times New Roman" w:hAnsi="Verdana"/>
                <w:sz w:val="20"/>
                <w:szCs w:val="20"/>
              </w:rPr>
            </w:pPr>
            <w:r w:rsidRPr="00414DA6">
              <w:rPr>
                <w:rFonts w:ascii="Verdana" w:eastAsia="Times New Roman" w:hAnsi="Verdana"/>
                <w:sz w:val="20"/>
                <w:szCs w:val="20"/>
              </w:rPr>
              <w:t>High-End</w:t>
            </w:r>
          </w:p>
        </w:tc>
        <w:tc>
          <w:tcPr>
            <w:tcW w:w="1267"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4AADA241" w14:textId="04060384" w:rsidR="002241F3" w:rsidRPr="00414DA6" w:rsidRDefault="002241F3" w:rsidP="002241F3">
            <w:pPr>
              <w:widowControl w:val="0"/>
              <w:tabs>
                <w:tab w:val="left" w:pos="220"/>
                <w:tab w:val="left" w:pos="720"/>
              </w:tabs>
              <w:autoSpaceDE w:val="0"/>
              <w:autoSpaceDN w:val="0"/>
              <w:contextualSpacing/>
              <w:mirrorIndents/>
              <w:jc w:val="center"/>
              <w:rPr>
                <w:rFonts w:ascii="Verdana" w:eastAsia="Times New Roman" w:hAnsi="Verdana"/>
                <w:sz w:val="20"/>
                <w:szCs w:val="20"/>
              </w:rPr>
            </w:pPr>
            <w:r w:rsidRPr="00414DA6">
              <w:rPr>
                <w:rFonts w:ascii="Verdana" w:eastAsia="Times New Roman" w:hAnsi="Verdana"/>
                <w:sz w:val="20"/>
                <w:szCs w:val="20"/>
              </w:rPr>
              <w:t>Average</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02367700" w14:textId="44D65F67" w:rsidR="002241F3" w:rsidRPr="00414DA6" w:rsidRDefault="002241F3" w:rsidP="002241F3">
            <w:pPr>
              <w:widowControl w:val="0"/>
              <w:tabs>
                <w:tab w:val="left" w:pos="220"/>
                <w:tab w:val="left" w:pos="720"/>
              </w:tabs>
              <w:autoSpaceDE w:val="0"/>
              <w:autoSpaceDN w:val="0"/>
              <w:contextualSpacing/>
              <w:mirrorIndents/>
              <w:jc w:val="center"/>
              <w:rPr>
                <w:rFonts w:ascii="Verdana" w:eastAsia="Times New Roman" w:hAnsi="Verdana"/>
                <w:sz w:val="20"/>
                <w:szCs w:val="20"/>
              </w:rPr>
            </w:pPr>
            <w:r w:rsidRPr="00414DA6">
              <w:rPr>
                <w:rFonts w:ascii="Verdana" w:eastAsia="Times New Roman" w:hAnsi="Verdana"/>
                <w:sz w:val="20"/>
                <w:szCs w:val="20"/>
              </w:rPr>
              <w:t>Low-End</w:t>
            </w:r>
          </w:p>
        </w:tc>
      </w:tr>
      <w:tr w:rsidR="002241F3" w:rsidRPr="00414DA6" w14:paraId="091A1642" w14:textId="77777777" w:rsidTr="0061708C">
        <w:tblPrEx>
          <w:tblBorders>
            <w:top w:val="none" w:sz="0" w:space="0" w:color="auto"/>
          </w:tblBorders>
        </w:tblPrEx>
        <w:trPr>
          <w:jc w:val="center"/>
        </w:trPr>
        <w:tc>
          <w:tcPr>
            <w:tcW w:w="1808"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0E3CE0DE" w14:textId="6509FE25" w:rsidR="002241F3" w:rsidRPr="00414DA6" w:rsidRDefault="002241F3" w:rsidP="00A32846">
            <w:pPr>
              <w:widowControl w:val="0"/>
              <w:tabs>
                <w:tab w:val="left" w:pos="220"/>
                <w:tab w:val="left" w:pos="720"/>
              </w:tabs>
              <w:autoSpaceDE w:val="0"/>
              <w:autoSpaceDN w:val="0"/>
              <w:contextualSpacing/>
              <w:mirrorIndents/>
              <w:rPr>
                <w:rFonts w:ascii="Verdana" w:eastAsia="Times New Roman" w:hAnsi="Verdana"/>
                <w:sz w:val="20"/>
                <w:szCs w:val="20"/>
              </w:rPr>
            </w:pPr>
            <w:r w:rsidRPr="00414DA6">
              <w:rPr>
                <w:rFonts w:ascii="Verdana" w:eastAsia="Times New Roman" w:hAnsi="Verdana"/>
                <w:sz w:val="20"/>
                <w:szCs w:val="20"/>
              </w:rPr>
              <w:t>Associate’s</w:t>
            </w:r>
          </w:p>
        </w:tc>
        <w:tc>
          <w:tcPr>
            <w:tcW w:w="1267" w:type="dxa"/>
            <w:tcBorders>
              <w:top w:val="single" w:sz="18" w:space="0" w:color="C0504D" w:themeColor="accent2"/>
              <w:left w:val="single" w:sz="18" w:space="0" w:color="0070C0"/>
              <w:bottom w:val="single" w:sz="4" w:space="0" w:color="auto"/>
              <w:right w:val="single" w:sz="8" w:space="0" w:color="0070C0"/>
            </w:tcBorders>
            <w:shd w:val="clear" w:color="auto" w:fill="F2DBDB" w:themeFill="accent2" w:themeFillTint="33"/>
            <w:vAlign w:val="center"/>
          </w:tcPr>
          <w:p w14:paraId="508B58DF" w14:textId="7EE3B60D" w:rsidR="002241F3" w:rsidRPr="00414DA6" w:rsidRDefault="002241F3" w:rsidP="00A32846">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sidRPr="00414DA6">
              <w:rPr>
                <w:rFonts w:ascii="Verdana" w:eastAsia="Times New Roman" w:hAnsi="Verdana"/>
                <w:sz w:val="20"/>
                <w:szCs w:val="20"/>
              </w:rPr>
              <w:t>$384</w:t>
            </w:r>
          </w:p>
        </w:tc>
        <w:tc>
          <w:tcPr>
            <w:tcW w:w="1267" w:type="dxa"/>
            <w:tcBorders>
              <w:top w:val="single" w:sz="18" w:space="0" w:color="C0504D" w:themeColor="accent2"/>
              <w:left w:val="single" w:sz="8" w:space="0" w:color="0070C0"/>
              <w:bottom w:val="single" w:sz="4" w:space="0" w:color="auto"/>
              <w:right w:val="single" w:sz="8" w:space="0" w:color="0070C0"/>
            </w:tcBorders>
            <w:shd w:val="clear" w:color="auto" w:fill="F2DBDB" w:themeFill="accent2" w:themeFillTint="33"/>
            <w:vAlign w:val="center"/>
          </w:tcPr>
          <w:p w14:paraId="0CDD5402" w14:textId="4BBF9BF8" w:rsidR="002241F3" w:rsidRPr="00414DA6" w:rsidRDefault="002241F3" w:rsidP="00A32846">
            <w:pPr>
              <w:widowControl w:val="0"/>
              <w:tabs>
                <w:tab w:val="left" w:pos="220"/>
                <w:tab w:val="left" w:pos="720"/>
              </w:tabs>
              <w:autoSpaceDE w:val="0"/>
              <w:autoSpaceDN w:val="0"/>
              <w:ind w:left="87"/>
              <w:contextualSpacing/>
              <w:mirrorIndents/>
              <w:jc w:val="right"/>
              <w:rPr>
                <w:rFonts w:ascii="Verdana" w:eastAsia="Times New Roman" w:hAnsi="Verdana"/>
                <w:sz w:val="20"/>
                <w:szCs w:val="20"/>
              </w:rPr>
            </w:pPr>
            <w:r w:rsidRPr="00414DA6">
              <w:rPr>
                <w:rFonts w:ascii="Verdana" w:eastAsia="Times New Roman" w:hAnsi="Verdana"/>
                <w:sz w:val="20"/>
                <w:szCs w:val="20"/>
              </w:rPr>
              <w:t>$333</w:t>
            </w:r>
          </w:p>
        </w:tc>
        <w:tc>
          <w:tcPr>
            <w:tcW w:w="1267" w:type="dxa"/>
            <w:tcBorders>
              <w:top w:val="single" w:sz="18" w:space="0" w:color="C0504D" w:themeColor="accent2"/>
              <w:left w:val="single" w:sz="8" w:space="0" w:color="0070C0"/>
              <w:bottom w:val="single" w:sz="4" w:space="0" w:color="auto"/>
              <w:right w:val="single" w:sz="12" w:space="0" w:color="000000"/>
            </w:tcBorders>
            <w:shd w:val="clear" w:color="auto" w:fill="F2DBDB" w:themeFill="accent2" w:themeFillTint="33"/>
          </w:tcPr>
          <w:p w14:paraId="21EC80E8" w14:textId="68A73D62" w:rsidR="002241F3" w:rsidRPr="00414DA6" w:rsidRDefault="002241F3" w:rsidP="00A32846">
            <w:pPr>
              <w:widowControl w:val="0"/>
              <w:tabs>
                <w:tab w:val="left" w:pos="220"/>
                <w:tab w:val="left" w:pos="720"/>
              </w:tabs>
              <w:autoSpaceDE w:val="0"/>
              <w:autoSpaceDN w:val="0"/>
              <w:ind w:left="360"/>
              <w:contextualSpacing/>
              <w:mirrorIndents/>
              <w:jc w:val="right"/>
              <w:rPr>
                <w:rFonts w:ascii="Verdana" w:eastAsia="Times New Roman" w:hAnsi="Verdana"/>
                <w:sz w:val="20"/>
                <w:szCs w:val="20"/>
              </w:rPr>
            </w:pPr>
            <w:r w:rsidRPr="00414DA6">
              <w:rPr>
                <w:rFonts w:ascii="Verdana" w:eastAsia="Times New Roman" w:hAnsi="Verdana"/>
                <w:sz w:val="20"/>
                <w:szCs w:val="20"/>
              </w:rPr>
              <w:t>$281</w:t>
            </w:r>
          </w:p>
        </w:tc>
      </w:tr>
      <w:tr w:rsidR="002241F3" w:rsidRPr="00414DA6" w14:paraId="1EC92A88" w14:textId="77777777" w:rsidTr="0061708C">
        <w:tblPrEx>
          <w:tblBorders>
            <w:top w:val="none" w:sz="0" w:space="0" w:color="auto"/>
          </w:tblBorders>
        </w:tblPrEx>
        <w:trPr>
          <w:jc w:val="center"/>
        </w:trPr>
        <w:tc>
          <w:tcPr>
            <w:tcW w:w="180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8D48A83" w14:textId="4970DDE2" w:rsidR="002241F3" w:rsidRPr="00414DA6" w:rsidRDefault="002241F3" w:rsidP="00A32846">
            <w:pPr>
              <w:widowControl w:val="0"/>
              <w:tabs>
                <w:tab w:val="left" w:pos="220"/>
                <w:tab w:val="left" w:pos="720"/>
              </w:tabs>
              <w:autoSpaceDE w:val="0"/>
              <w:autoSpaceDN w:val="0"/>
              <w:contextualSpacing/>
              <w:mirrorIndents/>
              <w:rPr>
                <w:rFonts w:ascii="Verdana" w:eastAsia="Times New Roman" w:hAnsi="Verdana"/>
                <w:sz w:val="20"/>
                <w:szCs w:val="20"/>
              </w:rPr>
            </w:pPr>
            <w:r w:rsidRPr="00414DA6">
              <w:rPr>
                <w:rFonts w:ascii="Verdana" w:eastAsia="Times New Roman" w:hAnsi="Verdana"/>
                <w:sz w:val="20"/>
                <w:szCs w:val="20"/>
              </w:rPr>
              <w:t>Bachelor’s</w:t>
            </w:r>
          </w:p>
        </w:tc>
        <w:tc>
          <w:tcPr>
            <w:tcW w:w="1267" w:type="dxa"/>
            <w:tcBorders>
              <w:top w:val="single" w:sz="4" w:space="0" w:color="auto"/>
              <w:left w:val="single" w:sz="18" w:space="0" w:color="0070C0"/>
              <w:bottom w:val="single" w:sz="4" w:space="0" w:color="000000"/>
              <w:right w:val="single" w:sz="8" w:space="0" w:color="0070C0"/>
            </w:tcBorders>
            <w:shd w:val="clear" w:color="auto" w:fill="E5B8B7" w:themeFill="accent2" w:themeFillTint="66"/>
            <w:vAlign w:val="center"/>
          </w:tcPr>
          <w:p w14:paraId="1CD2A7B2" w14:textId="41466F42" w:rsidR="002241F3" w:rsidRPr="00414DA6" w:rsidRDefault="002241F3" w:rsidP="00A32846">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sidRPr="00414DA6">
              <w:rPr>
                <w:rFonts w:ascii="Verdana" w:eastAsia="Times New Roman" w:hAnsi="Verdana"/>
                <w:sz w:val="20"/>
                <w:szCs w:val="20"/>
              </w:rPr>
              <w:t>$541</w:t>
            </w:r>
          </w:p>
        </w:tc>
        <w:tc>
          <w:tcPr>
            <w:tcW w:w="1267"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587824EA" w14:textId="4613AE56" w:rsidR="002241F3" w:rsidRPr="00414DA6" w:rsidRDefault="002241F3" w:rsidP="00A32846">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sidRPr="00414DA6">
              <w:rPr>
                <w:rFonts w:ascii="Verdana" w:eastAsia="Times New Roman" w:hAnsi="Verdana"/>
                <w:sz w:val="20"/>
                <w:szCs w:val="20"/>
              </w:rPr>
              <w:t>$448</w:t>
            </w:r>
          </w:p>
        </w:tc>
        <w:tc>
          <w:tcPr>
            <w:tcW w:w="1267" w:type="dxa"/>
            <w:tcBorders>
              <w:top w:val="single" w:sz="4" w:space="0" w:color="auto"/>
              <w:left w:val="single" w:sz="8" w:space="0" w:color="0070C0"/>
              <w:bottom w:val="single" w:sz="4" w:space="0" w:color="000000"/>
              <w:right w:val="single" w:sz="12" w:space="0" w:color="000000"/>
            </w:tcBorders>
            <w:shd w:val="clear" w:color="auto" w:fill="F2DBDB" w:themeFill="accent2" w:themeFillTint="33"/>
          </w:tcPr>
          <w:p w14:paraId="142D0944" w14:textId="64307E08" w:rsidR="002241F3" w:rsidRPr="00414DA6" w:rsidRDefault="002241F3" w:rsidP="00A32846">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sidRPr="00414DA6">
              <w:rPr>
                <w:rFonts w:ascii="Verdana" w:eastAsia="Times New Roman" w:hAnsi="Verdana"/>
                <w:sz w:val="20"/>
                <w:szCs w:val="20"/>
              </w:rPr>
              <w:t>$354</w:t>
            </w:r>
          </w:p>
        </w:tc>
      </w:tr>
      <w:tr w:rsidR="002241F3" w:rsidRPr="00414DA6" w14:paraId="5A4990FB" w14:textId="77777777" w:rsidTr="0061708C">
        <w:tblPrEx>
          <w:tblBorders>
            <w:top w:val="none" w:sz="0" w:space="0" w:color="auto"/>
          </w:tblBorders>
        </w:tblPrEx>
        <w:trPr>
          <w:jc w:val="center"/>
        </w:trPr>
        <w:tc>
          <w:tcPr>
            <w:tcW w:w="180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671590F" w14:textId="0F229EE7" w:rsidR="002241F3" w:rsidRPr="00414DA6" w:rsidRDefault="002241F3" w:rsidP="00A32846">
            <w:pPr>
              <w:widowControl w:val="0"/>
              <w:tabs>
                <w:tab w:val="left" w:pos="220"/>
                <w:tab w:val="left" w:pos="720"/>
              </w:tabs>
              <w:autoSpaceDE w:val="0"/>
              <w:autoSpaceDN w:val="0"/>
              <w:contextualSpacing/>
              <w:mirrorIndents/>
              <w:rPr>
                <w:rFonts w:ascii="Verdana" w:eastAsia="Times New Roman" w:hAnsi="Verdana"/>
                <w:sz w:val="20"/>
                <w:szCs w:val="20"/>
              </w:rPr>
            </w:pPr>
            <w:r w:rsidRPr="00414DA6">
              <w:rPr>
                <w:rFonts w:ascii="Verdana" w:eastAsia="Times New Roman" w:hAnsi="Verdana"/>
                <w:sz w:val="20"/>
                <w:szCs w:val="20"/>
              </w:rPr>
              <w:t>Master’s</w:t>
            </w:r>
          </w:p>
        </w:tc>
        <w:tc>
          <w:tcPr>
            <w:tcW w:w="1267" w:type="dxa"/>
            <w:tcBorders>
              <w:top w:val="single" w:sz="4" w:space="0" w:color="auto"/>
              <w:left w:val="single" w:sz="18" w:space="0" w:color="0070C0"/>
              <w:bottom w:val="single" w:sz="4" w:space="0" w:color="000000"/>
              <w:right w:val="single" w:sz="8" w:space="0" w:color="0070C0"/>
            </w:tcBorders>
            <w:shd w:val="clear" w:color="auto" w:fill="D99594" w:themeFill="accent2" w:themeFillTint="99"/>
            <w:vAlign w:val="center"/>
          </w:tcPr>
          <w:p w14:paraId="65724A05" w14:textId="1D8C2F2A" w:rsidR="002241F3" w:rsidRPr="00414DA6" w:rsidRDefault="002241F3" w:rsidP="00A32846">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sidRPr="00414DA6">
              <w:rPr>
                <w:rFonts w:ascii="Verdana" w:eastAsia="Times New Roman" w:hAnsi="Verdana"/>
                <w:sz w:val="20"/>
                <w:szCs w:val="20"/>
              </w:rPr>
              <w:t>$1,039</w:t>
            </w:r>
          </w:p>
        </w:tc>
        <w:tc>
          <w:tcPr>
            <w:tcW w:w="1267"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6C8E9D25" w14:textId="10607E15" w:rsidR="002241F3" w:rsidRPr="00414DA6" w:rsidRDefault="002241F3" w:rsidP="00A32846">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sidRPr="00414DA6">
              <w:rPr>
                <w:rFonts w:ascii="Verdana" w:eastAsia="Times New Roman" w:hAnsi="Verdana"/>
                <w:sz w:val="20"/>
                <w:szCs w:val="20"/>
              </w:rPr>
              <w:t>$695</w:t>
            </w:r>
          </w:p>
        </w:tc>
        <w:tc>
          <w:tcPr>
            <w:tcW w:w="1267" w:type="dxa"/>
            <w:tcBorders>
              <w:top w:val="single" w:sz="4" w:space="0" w:color="auto"/>
              <w:left w:val="single" w:sz="8" w:space="0" w:color="0070C0"/>
              <w:bottom w:val="single" w:sz="4" w:space="0" w:color="000000"/>
              <w:right w:val="single" w:sz="12" w:space="0" w:color="000000"/>
            </w:tcBorders>
            <w:shd w:val="clear" w:color="auto" w:fill="F2DBDB" w:themeFill="accent2" w:themeFillTint="33"/>
          </w:tcPr>
          <w:p w14:paraId="362F93E5" w14:textId="573685D6" w:rsidR="002241F3" w:rsidRPr="00414DA6" w:rsidRDefault="002241F3" w:rsidP="00A32846">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sidRPr="00414DA6">
              <w:rPr>
                <w:rFonts w:ascii="Verdana" w:eastAsia="Times New Roman" w:hAnsi="Verdana"/>
                <w:sz w:val="20"/>
                <w:szCs w:val="20"/>
              </w:rPr>
              <w:t>$350</w:t>
            </w:r>
          </w:p>
        </w:tc>
      </w:tr>
      <w:tr w:rsidR="002241F3" w:rsidRPr="00414DA6" w14:paraId="4E8E5DB8" w14:textId="77777777" w:rsidTr="0061708C">
        <w:tblPrEx>
          <w:tblBorders>
            <w:top w:val="none" w:sz="0" w:space="0" w:color="auto"/>
          </w:tblBorders>
        </w:tblPrEx>
        <w:trPr>
          <w:jc w:val="center"/>
        </w:trPr>
        <w:tc>
          <w:tcPr>
            <w:tcW w:w="180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534BD063" w14:textId="1A06111B" w:rsidR="002241F3" w:rsidRPr="00414DA6" w:rsidRDefault="002241F3" w:rsidP="00A32846">
            <w:pPr>
              <w:widowControl w:val="0"/>
              <w:tabs>
                <w:tab w:val="left" w:pos="220"/>
                <w:tab w:val="left" w:pos="720"/>
              </w:tabs>
              <w:autoSpaceDE w:val="0"/>
              <w:autoSpaceDN w:val="0"/>
              <w:contextualSpacing/>
              <w:mirrorIndents/>
              <w:rPr>
                <w:rFonts w:ascii="Verdana" w:eastAsia="Times New Roman" w:hAnsi="Verdana"/>
                <w:sz w:val="20"/>
                <w:szCs w:val="20"/>
              </w:rPr>
            </w:pPr>
            <w:r w:rsidRPr="00414DA6">
              <w:rPr>
                <w:rFonts w:ascii="Verdana" w:eastAsia="Times New Roman" w:hAnsi="Verdana"/>
                <w:sz w:val="20"/>
                <w:szCs w:val="20"/>
              </w:rPr>
              <w:t>Doctoral</w:t>
            </w:r>
          </w:p>
        </w:tc>
        <w:tc>
          <w:tcPr>
            <w:tcW w:w="1267" w:type="dxa"/>
            <w:tcBorders>
              <w:top w:val="single" w:sz="4" w:space="0" w:color="auto"/>
              <w:left w:val="single" w:sz="18" w:space="0" w:color="0070C0"/>
              <w:bottom w:val="single" w:sz="4" w:space="0" w:color="000000"/>
              <w:right w:val="single" w:sz="8" w:space="0" w:color="0070C0"/>
            </w:tcBorders>
            <w:shd w:val="clear" w:color="auto" w:fill="D99594" w:themeFill="accent2" w:themeFillTint="99"/>
            <w:vAlign w:val="center"/>
          </w:tcPr>
          <w:p w14:paraId="1E8652B0" w14:textId="7457577C" w:rsidR="002241F3" w:rsidRPr="00414DA6" w:rsidRDefault="002241F3" w:rsidP="00A32846">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sidRPr="00414DA6">
              <w:rPr>
                <w:rFonts w:ascii="Verdana" w:eastAsia="Times New Roman" w:hAnsi="Verdana"/>
                <w:sz w:val="20"/>
                <w:szCs w:val="20"/>
              </w:rPr>
              <w:t>$1,844</w:t>
            </w:r>
          </w:p>
        </w:tc>
        <w:tc>
          <w:tcPr>
            <w:tcW w:w="1267"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221EF2EB" w14:textId="15E41582" w:rsidR="002241F3" w:rsidRPr="00414DA6" w:rsidRDefault="002241F3" w:rsidP="00A32846">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sidRPr="00414DA6">
              <w:rPr>
                <w:rFonts w:ascii="Verdana" w:eastAsia="Times New Roman" w:hAnsi="Verdana"/>
                <w:sz w:val="20"/>
                <w:szCs w:val="20"/>
              </w:rPr>
              <w:t>$1,210</w:t>
            </w:r>
          </w:p>
        </w:tc>
        <w:tc>
          <w:tcPr>
            <w:tcW w:w="1267" w:type="dxa"/>
            <w:tcBorders>
              <w:top w:val="single" w:sz="4" w:space="0" w:color="auto"/>
              <w:left w:val="single" w:sz="8" w:space="0" w:color="0070C0"/>
              <w:bottom w:val="single" w:sz="4" w:space="0" w:color="000000"/>
              <w:right w:val="single" w:sz="12" w:space="0" w:color="000000"/>
            </w:tcBorders>
            <w:shd w:val="clear" w:color="auto" w:fill="E5B8B7" w:themeFill="accent2" w:themeFillTint="66"/>
          </w:tcPr>
          <w:p w14:paraId="1859F811" w14:textId="5C57ABF1" w:rsidR="002241F3" w:rsidRPr="00414DA6" w:rsidRDefault="002241F3" w:rsidP="00A32846">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sidRPr="00414DA6">
              <w:rPr>
                <w:rFonts w:ascii="Verdana" w:eastAsia="Times New Roman" w:hAnsi="Verdana"/>
                <w:sz w:val="20"/>
                <w:szCs w:val="20"/>
              </w:rPr>
              <w:t>$575</w:t>
            </w:r>
          </w:p>
        </w:tc>
      </w:tr>
      <w:tr w:rsidR="002241F3" w:rsidRPr="00414DA6" w14:paraId="025EEA09" w14:textId="77777777" w:rsidTr="0061708C">
        <w:tblPrEx>
          <w:tblBorders>
            <w:top w:val="none" w:sz="0" w:space="0" w:color="auto"/>
          </w:tblBorders>
        </w:tblPrEx>
        <w:trPr>
          <w:jc w:val="center"/>
        </w:trPr>
        <w:tc>
          <w:tcPr>
            <w:tcW w:w="1808"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46AE48DD" w14:textId="39078536" w:rsidR="002241F3" w:rsidRPr="00414DA6" w:rsidRDefault="002241F3" w:rsidP="00A32846">
            <w:pPr>
              <w:widowControl w:val="0"/>
              <w:tabs>
                <w:tab w:val="left" w:pos="220"/>
                <w:tab w:val="left" w:pos="720"/>
              </w:tabs>
              <w:autoSpaceDE w:val="0"/>
              <w:autoSpaceDN w:val="0"/>
              <w:contextualSpacing/>
              <w:mirrorIndents/>
              <w:rPr>
                <w:rFonts w:ascii="Verdana" w:eastAsia="Times New Roman" w:hAnsi="Verdana"/>
                <w:sz w:val="20"/>
                <w:szCs w:val="20"/>
              </w:rPr>
            </w:pPr>
            <w:r w:rsidRPr="00414DA6">
              <w:rPr>
                <w:rFonts w:ascii="Verdana" w:eastAsia="Times New Roman" w:hAnsi="Verdana"/>
                <w:sz w:val="20"/>
                <w:szCs w:val="20"/>
              </w:rPr>
              <w:t>Professional</w:t>
            </w:r>
          </w:p>
        </w:tc>
        <w:tc>
          <w:tcPr>
            <w:tcW w:w="1267" w:type="dxa"/>
            <w:tcBorders>
              <w:top w:val="single" w:sz="4" w:space="0" w:color="000000"/>
              <w:left w:val="single" w:sz="18" w:space="0" w:color="0070C0"/>
              <w:bottom w:val="single" w:sz="12" w:space="0" w:color="auto"/>
              <w:right w:val="single" w:sz="8" w:space="0" w:color="0070C0"/>
            </w:tcBorders>
            <w:shd w:val="clear" w:color="auto" w:fill="FF0000"/>
            <w:vAlign w:val="center"/>
          </w:tcPr>
          <w:p w14:paraId="272E2B24" w14:textId="06106EC4" w:rsidR="002241F3" w:rsidRPr="00414DA6" w:rsidRDefault="002241F3" w:rsidP="00A32846">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sidRPr="00414DA6">
              <w:rPr>
                <w:rFonts w:ascii="Verdana" w:eastAsia="Times New Roman" w:hAnsi="Verdana"/>
                <w:sz w:val="20"/>
                <w:szCs w:val="20"/>
              </w:rPr>
              <w:t>$2,553</w:t>
            </w:r>
          </w:p>
        </w:tc>
        <w:tc>
          <w:tcPr>
            <w:tcW w:w="1267" w:type="dxa"/>
            <w:tcBorders>
              <w:top w:val="single" w:sz="4" w:space="0" w:color="000000"/>
              <w:left w:val="single" w:sz="8" w:space="0" w:color="0070C0"/>
              <w:bottom w:val="single" w:sz="12" w:space="0" w:color="auto"/>
              <w:right w:val="single" w:sz="8" w:space="0" w:color="0070C0"/>
            </w:tcBorders>
            <w:shd w:val="clear" w:color="auto" w:fill="D99594" w:themeFill="accent2" w:themeFillTint="99"/>
            <w:vAlign w:val="center"/>
          </w:tcPr>
          <w:p w14:paraId="3139CA4A" w14:textId="1FF180AC" w:rsidR="002241F3" w:rsidRPr="00414DA6" w:rsidRDefault="002241F3" w:rsidP="00A32846">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sidRPr="00414DA6">
              <w:rPr>
                <w:rFonts w:ascii="Verdana" w:eastAsia="Times New Roman" w:hAnsi="Verdana"/>
                <w:sz w:val="20"/>
                <w:szCs w:val="20"/>
              </w:rPr>
              <w:t>$1,537</w:t>
            </w:r>
          </w:p>
        </w:tc>
        <w:tc>
          <w:tcPr>
            <w:tcW w:w="1267" w:type="dxa"/>
            <w:tcBorders>
              <w:top w:val="single" w:sz="4" w:space="0" w:color="000000"/>
              <w:left w:val="single" w:sz="8" w:space="0" w:color="0070C0"/>
              <w:bottom w:val="single" w:sz="12" w:space="0" w:color="auto"/>
              <w:right w:val="single" w:sz="12" w:space="0" w:color="000000"/>
            </w:tcBorders>
            <w:shd w:val="clear" w:color="auto" w:fill="E5B8B7" w:themeFill="accent2" w:themeFillTint="66"/>
          </w:tcPr>
          <w:p w14:paraId="111233EE" w14:textId="0204F935" w:rsidR="002241F3" w:rsidRPr="00414DA6" w:rsidRDefault="002241F3" w:rsidP="00A32846">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sidRPr="00414DA6">
              <w:rPr>
                <w:rFonts w:ascii="Verdana" w:eastAsia="Times New Roman" w:hAnsi="Verdana"/>
                <w:sz w:val="20"/>
                <w:szCs w:val="20"/>
              </w:rPr>
              <w:t>$521</w:t>
            </w:r>
          </w:p>
        </w:tc>
      </w:tr>
    </w:tbl>
    <w:p w14:paraId="0E451412" w14:textId="44494034" w:rsidR="002241F3" w:rsidRPr="00414DA6" w:rsidRDefault="002241F3" w:rsidP="0061708C">
      <w:pPr>
        <w:tabs>
          <w:tab w:val="left" w:pos="1890"/>
        </w:tabs>
        <w:spacing w:after="0" w:line="240" w:lineRule="auto"/>
        <w:contextualSpacing/>
        <w:mirrorIndents/>
        <w:rPr>
          <w:rFonts w:ascii="Verdana" w:hAnsi="Verdana"/>
          <w:sz w:val="16"/>
          <w:szCs w:val="16"/>
        </w:rPr>
      </w:pPr>
      <w:r w:rsidRPr="00414DA6">
        <w:rPr>
          <w:rFonts w:ascii="Verdana" w:hAnsi="Verdana"/>
          <w:sz w:val="16"/>
          <w:szCs w:val="16"/>
        </w:rPr>
        <w:tab/>
        <w:t>Education Data Initiative, March 2022</w:t>
      </w:r>
    </w:p>
    <w:p w14:paraId="4E685DE5" w14:textId="14E6EBDE" w:rsidR="002241F3" w:rsidRPr="00414DA6" w:rsidRDefault="002241F3" w:rsidP="00550FF2">
      <w:pPr>
        <w:spacing w:after="0" w:line="240" w:lineRule="auto"/>
        <w:contextualSpacing/>
        <w:mirrorIndents/>
        <w:rPr>
          <w:rFonts w:ascii="Verdana" w:hAnsi="Verdana"/>
          <w:sz w:val="20"/>
          <w:szCs w:val="20"/>
        </w:rPr>
      </w:pPr>
    </w:p>
    <w:p w14:paraId="7F8E52DE" w14:textId="6DBDDB8D" w:rsidR="00550FF2" w:rsidRPr="00414DA6" w:rsidRDefault="00550FF2" w:rsidP="00464E27">
      <w:pPr>
        <w:spacing w:after="0" w:line="240" w:lineRule="auto"/>
        <w:contextualSpacing/>
        <w:mirrorIndents/>
        <w:jc w:val="center"/>
        <w:rPr>
          <w:rFonts w:ascii="Verdana" w:hAnsi="Verdana"/>
          <w:b/>
          <w:bCs/>
          <w:color w:val="0070C0"/>
          <w:sz w:val="20"/>
          <w:szCs w:val="20"/>
        </w:rPr>
      </w:pPr>
      <w:r w:rsidRPr="00414DA6">
        <w:rPr>
          <w:rFonts w:ascii="Verdana" w:hAnsi="Verdana"/>
          <w:b/>
          <w:bCs/>
          <w:color w:val="0070C0"/>
          <w:sz w:val="20"/>
          <w:szCs w:val="20"/>
        </w:rPr>
        <w:t xml:space="preserve">Business and Commercial Loans </w:t>
      </w:r>
      <w:r w:rsidR="0061708C">
        <w:rPr>
          <w:rFonts w:ascii="Verdana" w:hAnsi="Verdana"/>
          <w:b/>
          <w:bCs/>
          <w:color w:val="0070C0"/>
          <w:sz w:val="20"/>
          <w:szCs w:val="20"/>
        </w:rPr>
        <w:t xml:space="preserve">Are </w:t>
      </w:r>
      <w:r w:rsidRPr="00414DA6">
        <w:rPr>
          <w:rFonts w:ascii="Verdana" w:hAnsi="Verdana"/>
          <w:b/>
          <w:bCs/>
          <w:color w:val="0070C0"/>
          <w:sz w:val="20"/>
          <w:szCs w:val="20"/>
        </w:rPr>
        <w:t>Still Available</w:t>
      </w:r>
    </w:p>
    <w:p w14:paraId="286AC9F6" w14:textId="77777777" w:rsidR="00F94CE8" w:rsidRPr="00414DA6" w:rsidRDefault="00F94CE8" w:rsidP="00550FF2">
      <w:pPr>
        <w:pStyle w:val="NoSpacing"/>
        <w:contextualSpacing/>
        <w:mirrorIndents/>
        <w:rPr>
          <w:rFonts w:ascii="Verdana" w:hAnsi="Verdana"/>
          <w:sz w:val="20"/>
          <w:szCs w:val="20"/>
        </w:rPr>
      </w:pPr>
    </w:p>
    <w:p w14:paraId="23D2BAA2" w14:textId="71850F2E" w:rsidR="00F94CE8" w:rsidRDefault="00414DA6" w:rsidP="00550FF2">
      <w:pPr>
        <w:pStyle w:val="NoSpacing"/>
        <w:contextualSpacing/>
        <w:mirrorIndents/>
        <w:rPr>
          <w:rFonts w:ascii="Verdana" w:hAnsi="Verdana"/>
          <w:sz w:val="20"/>
          <w:szCs w:val="20"/>
        </w:rPr>
      </w:pPr>
      <w:r>
        <w:rPr>
          <w:rFonts w:ascii="Verdana" w:hAnsi="Verdana"/>
          <w:sz w:val="20"/>
          <w:szCs w:val="20"/>
        </w:rPr>
        <w:t>According to the US Federal Reserve’s April 2022 Senior Loan Officer Opinion Survey on Bank Lending Practices, lending standards</w:t>
      </w:r>
      <w:r w:rsidR="00DB7117">
        <w:rPr>
          <w:rFonts w:ascii="Verdana" w:hAnsi="Verdana"/>
          <w:sz w:val="20"/>
          <w:szCs w:val="20"/>
        </w:rPr>
        <w:t xml:space="preserve"> for commercial and industrial loans</w:t>
      </w:r>
      <w:r>
        <w:rPr>
          <w:rFonts w:ascii="Verdana" w:hAnsi="Verdana"/>
          <w:sz w:val="20"/>
          <w:szCs w:val="20"/>
        </w:rPr>
        <w:t xml:space="preserve"> were mostly the same during Q1 2022</w:t>
      </w:r>
      <w:r w:rsidR="00DB7117">
        <w:rPr>
          <w:rFonts w:ascii="Verdana" w:hAnsi="Verdana"/>
          <w:sz w:val="20"/>
          <w:szCs w:val="20"/>
        </w:rPr>
        <w:t>, following four quarters of flexible</w:t>
      </w:r>
      <w:r>
        <w:rPr>
          <w:rFonts w:ascii="Verdana" w:hAnsi="Verdana"/>
          <w:sz w:val="20"/>
          <w:szCs w:val="20"/>
        </w:rPr>
        <w:t xml:space="preserve"> standards</w:t>
      </w:r>
      <w:r w:rsidR="00DB7117">
        <w:rPr>
          <w:rFonts w:ascii="Verdana" w:hAnsi="Verdana"/>
          <w:sz w:val="20"/>
          <w:szCs w:val="20"/>
        </w:rPr>
        <w:t>.</w:t>
      </w:r>
    </w:p>
    <w:p w14:paraId="18A446E8" w14:textId="7140FB09" w:rsidR="00DB7117" w:rsidRDefault="00DB7117" w:rsidP="00550FF2">
      <w:pPr>
        <w:pStyle w:val="NoSpacing"/>
        <w:contextualSpacing/>
        <w:mirrorIndents/>
        <w:rPr>
          <w:rFonts w:ascii="Verdana" w:hAnsi="Verdana"/>
          <w:sz w:val="20"/>
          <w:szCs w:val="20"/>
        </w:rPr>
      </w:pPr>
    </w:p>
    <w:p w14:paraId="64EB706B" w14:textId="213AA78D" w:rsidR="00DB7117" w:rsidRDefault="00DB7117" w:rsidP="00550FF2">
      <w:pPr>
        <w:pStyle w:val="NoSpacing"/>
        <w:contextualSpacing/>
        <w:mirrorIndents/>
        <w:rPr>
          <w:rFonts w:ascii="Verdana" w:hAnsi="Verdana"/>
          <w:sz w:val="20"/>
          <w:szCs w:val="20"/>
        </w:rPr>
      </w:pPr>
      <w:r>
        <w:rPr>
          <w:rFonts w:ascii="Verdana" w:hAnsi="Verdana"/>
          <w:sz w:val="20"/>
          <w:szCs w:val="20"/>
        </w:rPr>
        <w:t>The changes for construction, land development and nonfarm nonresidential loans were also unchanged during Q1 2022. The MBA reported a significant increase of 72% for commercial and multifamily mortgage loan originations during the quarter.</w:t>
      </w:r>
    </w:p>
    <w:p w14:paraId="623A9FC4" w14:textId="7E101058" w:rsidR="00DB7117" w:rsidRDefault="00DB7117" w:rsidP="00550FF2">
      <w:pPr>
        <w:pStyle w:val="NoSpacing"/>
        <w:contextualSpacing/>
        <w:mirrorIndents/>
        <w:rPr>
          <w:rFonts w:ascii="Verdana" w:hAnsi="Verdana"/>
          <w:sz w:val="20"/>
          <w:szCs w:val="20"/>
        </w:rPr>
      </w:pPr>
    </w:p>
    <w:p w14:paraId="4950009F" w14:textId="7C1F94EA" w:rsidR="00DB7117" w:rsidRPr="00550FF2" w:rsidRDefault="007256D5" w:rsidP="00550FF2">
      <w:pPr>
        <w:pStyle w:val="NoSpacing"/>
        <w:contextualSpacing/>
        <w:mirrorIndents/>
        <w:rPr>
          <w:rFonts w:ascii="Verdana" w:hAnsi="Verdana"/>
          <w:sz w:val="20"/>
          <w:szCs w:val="20"/>
        </w:rPr>
      </w:pPr>
      <w:r>
        <w:rPr>
          <w:rFonts w:ascii="Verdana" w:hAnsi="Verdana"/>
          <w:sz w:val="20"/>
          <w:szCs w:val="20"/>
        </w:rPr>
        <w:t>Because</w:t>
      </w:r>
      <w:r w:rsidR="00DB7117">
        <w:rPr>
          <w:rFonts w:ascii="Verdana" w:hAnsi="Verdana"/>
          <w:sz w:val="20"/>
          <w:szCs w:val="20"/>
        </w:rPr>
        <w:t xml:space="preserve"> the commercial and multifamily market has rebounded from its pandemic lows</w:t>
      </w:r>
      <w:r>
        <w:rPr>
          <w:rFonts w:ascii="Verdana" w:hAnsi="Verdana"/>
          <w:sz w:val="20"/>
          <w:szCs w:val="20"/>
        </w:rPr>
        <w:t xml:space="preserve"> and </w:t>
      </w:r>
      <w:r w:rsidR="00386821">
        <w:rPr>
          <w:rFonts w:ascii="Verdana" w:hAnsi="Verdana"/>
          <w:sz w:val="20"/>
          <w:szCs w:val="20"/>
        </w:rPr>
        <w:t xml:space="preserve">properties have </w:t>
      </w:r>
      <w:r>
        <w:rPr>
          <w:rFonts w:ascii="Verdana" w:hAnsi="Verdana"/>
          <w:sz w:val="20"/>
          <w:szCs w:val="20"/>
        </w:rPr>
        <w:t>increased their valuations</w:t>
      </w:r>
      <w:r w:rsidR="00DB7117">
        <w:rPr>
          <w:rFonts w:ascii="Verdana" w:hAnsi="Verdana"/>
          <w:sz w:val="20"/>
          <w:szCs w:val="20"/>
        </w:rPr>
        <w:t xml:space="preserve">, delinquency rates for their mortgages </w:t>
      </w:r>
      <w:r w:rsidR="00573C40">
        <w:rPr>
          <w:rFonts w:ascii="Verdana" w:hAnsi="Verdana"/>
          <w:sz w:val="20"/>
          <w:szCs w:val="20"/>
        </w:rPr>
        <w:t>decreased during Q1 2022.</w:t>
      </w:r>
    </w:p>
    <w:p w14:paraId="664EB1A4" w14:textId="77777777" w:rsidR="00F94CE8" w:rsidRPr="00550FF2" w:rsidRDefault="00F94CE8" w:rsidP="00550FF2">
      <w:pPr>
        <w:pStyle w:val="NoSpacing"/>
        <w:contextualSpacing/>
        <w:mirrorIndents/>
        <w:rPr>
          <w:rFonts w:ascii="Verdana" w:hAnsi="Verdana"/>
          <w:sz w:val="20"/>
          <w:szCs w:val="20"/>
        </w:rPr>
      </w:pPr>
    </w:p>
    <w:p w14:paraId="0730A957" w14:textId="0B634A4F" w:rsidR="00573C40" w:rsidRPr="00CC1ECE" w:rsidRDefault="00573C40" w:rsidP="00573C40">
      <w:pPr>
        <w:pStyle w:val="Header"/>
        <w:contextualSpacing/>
        <w:jc w:val="center"/>
        <w:rPr>
          <w:rFonts w:ascii="Verdana" w:hAnsi="Verdana"/>
          <w:b/>
          <w:sz w:val="20"/>
          <w:szCs w:val="20"/>
        </w:rPr>
      </w:pPr>
      <w:r>
        <w:rPr>
          <w:rFonts w:ascii="Verdana" w:hAnsi="Verdana"/>
          <w:b/>
          <w:sz w:val="20"/>
          <w:szCs w:val="20"/>
        </w:rPr>
        <w:t>Demand for Commercial and Industrial</w:t>
      </w:r>
      <w:r>
        <w:rPr>
          <w:rFonts w:ascii="Verdana" w:hAnsi="Verdana"/>
          <w:b/>
          <w:sz w:val="20"/>
          <w:szCs w:val="20"/>
        </w:rPr>
        <w:t xml:space="preserve"> Loans</w:t>
      </w:r>
      <w:r>
        <w:rPr>
          <w:rFonts w:ascii="Verdana" w:hAnsi="Verdana"/>
          <w:b/>
          <w:sz w:val="20"/>
          <w:szCs w:val="20"/>
        </w:rPr>
        <w:t xml:space="preserve"> During</w:t>
      </w:r>
      <w:r>
        <w:rPr>
          <w:rFonts w:ascii="Verdana" w:hAnsi="Verdana"/>
          <w:b/>
          <w:sz w:val="20"/>
          <w:szCs w:val="20"/>
        </w:rPr>
        <w:t xml:space="preserve"> Q1 2022</w:t>
      </w:r>
      <w:r>
        <w:rPr>
          <w:rFonts w:ascii="Verdana" w:hAnsi="Verdana"/>
          <w:b/>
          <w:sz w:val="20"/>
          <w:szCs w:val="20"/>
        </w:rPr>
        <w:t>, by Size of Firms</w:t>
      </w:r>
    </w:p>
    <w:tbl>
      <w:tblPr>
        <w:tblW w:w="6048" w:type="dxa"/>
        <w:jc w:val="center"/>
        <w:tblBorders>
          <w:left w:val="single" w:sz="8" w:space="0" w:color="000000"/>
          <w:right w:val="single" w:sz="8" w:space="0" w:color="000000"/>
        </w:tblBorders>
        <w:tblLayout w:type="fixed"/>
        <w:tblLook w:val="0000" w:firstRow="0" w:lastRow="0" w:firstColumn="0" w:lastColumn="0" w:noHBand="0" w:noVBand="0"/>
      </w:tblPr>
      <w:tblGrid>
        <w:gridCol w:w="2595"/>
        <w:gridCol w:w="1725"/>
        <w:gridCol w:w="1728"/>
      </w:tblGrid>
      <w:tr w:rsidR="00573C40" w:rsidRPr="00CC1ECE" w14:paraId="628CC2AE" w14:textId="77777777" w:rsidTr="007256D5">
        <w:trPr>
          <w:jc w:val="center"/>
        </w:trPr>
        <w:tc>
          <w:tcPr>
            <w:tcW w:w="2595" w:type="dxa"/>
            <w:tcBorders>
              <w:top w:val="single" w:sz="12" w:space="0" w:color="000000"/>
              <w:left w:val="single" w:sz="12" w:space="0" w:color="000000"/>
              <w:bottom w:val="single" w:sz="18" w:space="0" w:color="C0504D" w:themeColor="accent2"/>
              <w:right w:val="single" w:sz="18" w:space="0" w:color="0070C0"/>
            </w:tcBorders>
            <w:vAlign w:val="center"/>
          </w:tcPr>
          <w:p w14:paraId="70DD2C0B" w14:textId="34C4A2C6" w:rsidR="00573C40" w:rsidRPr="00CC1ECE" w:rsidRDefault="00573C40" w:rsidP="00A32846">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Demand</w:t>
            </w:r>
            <w:r>
              <w:rPr>
                <w:rFonts w:ascii="Verdana" w:eastAsia="Times New Roman" w:hAnsi="Verdana"/>
                <w:sz w:val="20"/>
                <w:szCs w:val="20"/>
              </w:rPr>
              <w:t xml:space="preserve"> Level</w:t>
            </w:r>
          </w:p>
        </w:tc>
        <w:tc>
          <w:tcPr>
            <w:tcW w:w="1725" w:type="dxa"/>
            <w:tcBorders>
              <w:top w:val="single" w:sz="12" w:space="0" w:color="000000"/>
              <w:left w:val="single" w:sz="8" w:space="0" w:color="0070C0"/>
              <w:bottom w:val="single" w:sz="18" w:space="0" w:color="C0504D" w:themeColor="accent2"/>
              <w:right w:val="single" w:sz="8" w:space="0" w:color="0070C0"/>
            </w:tcBorders>
            <w:vAlign w:val="center"/>
          </w:tcPr>
          <w:p w14:paraId="6FEFA019" w14:textId="69FD5032" w:rsidR="00573C40" w:rsidRPr="00CC1ECE" w:rsidRDefault="00573C40" w:rsidP="00A32846">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Large &amp; Middle-Market Firms</w:t>
            </w:r>
            <w:r w:rsidR="007256D5">
              <w:rPr>
                <w:rFonts w:ascii="Verdana" w:eastAsia="Times New Roman" w:hAnsi="Verdana"/>
                <w:sz w:val="20"/>
                <w:szCs w:val="20"/>
              </w:rPr>
              <w:t>*</w:t>
            </w:r>
          </w:p>
        </w:tc>
        <w:tc>
          <w:tcPr>
            <w:tcW w:w="1728" w:type="dxa"/>
            <w:tcBorders>
              <w:top w:val="single" w:sz="12" w:space="0" w:color="000000"/>
              <w:left w:val="single" w:sz="8" w:space="0" w:color="0070C0"/>
              <w:bottom w:val="single" w:sz="18" w:space="0" w:color="C0504D" w:themeColor="accent2"/>
              <w:right w:val="single" w:sz="12" w:space="0" w:color="auto"/>
            </w:tcBorders>
            <w:vAlign w:val="center"/>
          </w:tcPr>
          <w:p w14:paraId="1716D8ED" w14:textId="3AF7F161" w:rsidR="00573C40" w:rsidRDefault="00573C40" w:rsidP="00A32846">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 xml:space="preserve">Small </w:t>
            </w:r>
            <w:r w:rsidR="007256D5">
              <w:rPr>
                <w:rFonts w:ascii="Verdana" w:eastAsia="Times New Roman" w:hAnsi="Verdana"/>
                <w:sz w:val="20"/>
                <w:szCs w:val="20"/>
              </w:rPr>
              <w:t>F</w:t>
            </w:r>
            <w:r>
              <w:rPr>
                <w:rFonts w:ascii="Verdana" w:eastAsia="Times New Roman" w:hAnsi="Verdana"/>
                <w:sz w:val="20"/>
                <w:szCs w:val="20"/>
              </w:rPr>
              <w:t>irms</w:t>
            </w:r>
            <w:r w:rsidR="007256D5">
              <w:rPr>
                <w:rFonts w:ascii="Verdana" w:eastAsia="Times New Roman" w:hAnsi="Verdana"/>
                <w:sz w:val="20"/>
                <w:szCs w:val="20"/>
              </w:rPr>
              <w:t>†</w:t>
            </w:r>
          </w:p>
        </w:tc>
      </w:tr>
      <w:tr w:rsidR="00573C40" w:rsidRPr="00CC1ECE" w14:paraId="3151193D" w14:textId="77777777" w:rsidTr="0022668D">
        <w:trPr>
          <w:trHeight w:val="243"/>
          <w:jc w:val="center"/>
        </w:trPr>
        <w:tc>
          <w:tcPr>
            <w:tcW w:w="2595"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4D156B18" w14:textId="7CB73582" w:rsidR="00573C40" w:rsidRPr="00CC1ECE" w:rsidRDefault="00573C40" w:rsidP="00A3284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Substantially stronger</w:t>
            </w:r>
          </w:p>
        </w:tc>
        <w:tc>
          <w:tcPr>
            <w:tcW w:w="1725" w:type="dxa"/>
            <w:tcBorders>
              <w:top w:val="single" w:sz="18" w:space="0" w:color="C0504D" w:themeColor="accent2"/>
              <w:left w:val="single" w:sz="8" w:space="0" w:color="0070C0"/>
              <w:bottom w:val="single" w:sz="4" w:space="0" w:color="auto"/>
              <w:right w:val="single" w:sz="8" w:space="0" w:color="0070C0"/>
            </w:tcBorders>
            <w:shd w:val="clear" w:color="auto" w:fill="EAF1DD" w:themeFill="accent3" w:themeFillTint="33"/>
            <w:vAlign w:val="center"/>
          </w:tcPr>
          <w:p w14:paraId="49BA6869" w14:textId="7DBE8BB9" w:rsidR="00573C40" w:rsidRPr="00CC1ECE" w:rsidRDefault="007256D5" w:rsidP="00A328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1.5%</w:t>
            </w:r>
          </w:p>
        </w:tc>
        <w:tc>
          <w:tcPr>
            <w:tcW w:w="1728" w:type="dxa"/>
            <w:tcBorders>
              <w:top w:val="single" w:sz="18" w:space="0" w:color="C0504D" w:themeColor="accent2"/>
              <w:left w:val="single" w:sz="8" w:space="0" w:color="0070C0"/>
              <w:bottom w:val="single" w:sz="4" w:space="0" w:color="auto"/>
              <w:right w:val="single" w:sz="12" w:space="0" w:color="auto"/>
            </w:tcBorders>
            <w:shd w:val="clear" w:color="auto" w:fill="F2F2F2" w:themeFill="background1" w:themeFillShade="F2"/>
            <w:vAlign w:val="center"/>
          </w:tcPr>
          <w:p w14:paraId="4DEA51CE" w14:textId="5CDC91EB" w:rsidR="00573C40" w:rsidRDefault="007256D5" w:rsidP="00A328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0.0%</w:t>
            </w:r>
          </w:p>
        </w:tc>
      </w:tr>
      <w:tr w:rsidR="00573C40" w:rsidRPr="00CC1ECE" w14:paraId="33733F70" w14:textId="77777777" w:rsidTr="0022668D">
        <w:trPr>
          <w:trHeight w:val="243"/>
          <w:jc w:val="center"/>
        </w:trPr>
        <w:tc>
          <w:tcPr>
            <w:tcW w:w="259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0F4204FE" w14:textId="6C046355" w:rsidR="00573C40" w:rsidRDefault="00573C40" w:rsidP="00A3284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Moderately stronger</w:t>
            </w:r>
          </w:p>
        </w:tc>
        <w:tc>
          <w:tcPr>
            <w:tcW w:w="1725"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72C630DA" w14:textId="5017903A" w:rsidR="00573C40" w:rsidRDefault="007256D5" w:rsidP="00A328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24.6%</w:t>
            </w:r>
          </w:p>
        </w:tc>
        <w:tc>
          <w:tcPr>
            <w:tcW w:w="1728" w:type="dxa"/>
            <w:tcBorders>
              <w:top w:val="single" w:sz="4" w:space="0" w:color="auto"/>
              <w:left w:val="single" w:sz="8" w:space="0" w:color="0070C0"/>
              <w:bottom w:val="single" w:sz="4" w:space="0" w:color="000000"/>
              <w:right w:val="single" w:sz="12" w:space="0" w:color="auto"/>
            </w:tcBorders>
            <w:shd w:val="clear" w:color="auto" w:fill="C2D69B" w:themeFill="accent3" w:themeFillTint="99"/>
            <w:vAlign w:val="center"/>
          </w:tcPr>
          <w:p w14:paraId="019104D6" w14:textId="5B5DDE5C" w:rsidR="00573C40" w:rsidRDefault="007256D5" w:rsidP="00A328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29.0%</w:t>
            </w:r>
          </w:p>
        </w:tc>
      </w:tr>
      <w:tr w:rsidR="00573C40" w:rsidRPr="00CC1ECE" w14:paraId="3563A143" w14:textId="77777777" w:rsidTr="0022668D">
        <w:trPr>
          <w:trHeight w:val="243"/>
          <w:jc w:val="center"/>
        </w:trPr>
        <w:tc>
          <w:tcPr>
            <w:tcW w:w="259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67558048" w14:textId="77777777" w:rsidR="00573C40" w:rsidRDefault="00573C40" w:rsidP="00A3284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Unchanged</w:t>
            </w:r>
          </w:p>
        </w:tc>
        <w:tc>
          <w:tcPr>
            <w:tcW w:w="1725" w:type="dxa"/>
            <w:tcBorders>
              <w:top w:val="single" w:sz="4" w:space="0" w:color="auto"/>
              <w:left w:val="single" w:sz="8" w:space="0" w:color="0070C0"/>
              <w:bottom w:val="single" w:sz="4" w:space="0" w:color="000000"/>
              <w:right w:val="single" w:sz="8" w:space="0" w:color="0070C0"/>
            </w:tcBorders>
            <w:shd w:val="clear" w:color="auto" w:fill="00B050"/>
            <w:vAlign w:val="center"/>
          </w:tcPr>
          <w:p w14:paraId="56273245" w14:textId="33A7478C" w:rsidR="00573C40" w:rsidRDefault="007256D5" w:rsidP="00A328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60.0%</w:t>
            </w:r>
          </w:p>
        </w:tc>
        <w:tc>
          <w:tcPr>
            <w:tcW w:w="1728" w:type="dxa"/>
            <w:tcBorders>
              <w:top w:val="single" w:sz="4" w:space="0" w:color="auto"/>
              <w:left w:val="single" w:sz="8" w:space="0" w:color="0070C0"/>
              <w:bottom w:val="single" w:sz="4" w:space="0" w:color="000000"/>
              <w:right w:val="single" w:sz="12" w:space="0" w:color="auto"/>
            </w:tcBorders>
            <w:shd w:val="clear" w:color="auto" w:fill="00B050"/>
            <w:vAlign w:val="center"/>
          </w:tcPr>
          <w:p w14:paraId="45C86F53" w14:textId="722B4082" w:rsidR="00573C40" w:rsidRDefault="007256D5" w:rsidP="00A328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59.7%</w:t>
            </w:r>
          </w:p>
        </w:tc>
      </w:tr>
      <w:tr w:rsidR="00573C40" w:rsidRPr="00CC1ECE" w14:paraId="434A99B1" w14:textId="77777777" w:rsidTr="0022668D">
        <w:trPr>
          <w:trHeight w:val="243"/>
          <w:jc w:val="center"/>
        </w:trPr>
        <w:tc>
          <w:tcPr>
            <w:tcW w:w="259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4A2E6693" w14:textId="1292119B" w:rsidR="00573C40" w:rsidRDefault="00573C40" w:rsidP="00A3284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Moderately weaker</w:t>
            </w:r>
          </w:p>
        </w:tc>
        <w:tc>
          <w:tcPr>
            <w:tcW w:w="1725"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7121EA12" w14:textId="5FEF7F00" w:rsidR="00573C40" w:rsidRDefault="007256D5" w:rsidP="00A328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13.8%</w:t>
            </w:r>
          </w:p>
        </w:tc>
        <w:tc>
          <w:tcPr>
            <w:tcW w:w="1728" w:type="dxa"/>
            <w:tcBorders>
              <w:top w:val="single" w:sz="4" w:space="0" w:color="auto"/>
              <w:left w:val="single" w:sz="8" w:space="0" w:color="0070C0"/>
              <w:bottom w:val="single" w:sz="4" w:space="0" w:color="000000"/>
              <w:right w:val="single" w:sz="12" w:space="0" w:color="auto"/>
            </w:tcBorders>
            <w:shd w:val="clear" w:color="auto" w:fill="E5B8B7" w:themeFill="accent2" w:themeFillTint="66"/>
            <w:vAlign w:val="center"/>
          </w:tcPr>
          <w:p w14:paraId="3361A02C" w14:textId="5A94BBFC" w:rsidR="00573C40" w:rsidRDefault="007256D5" w:rsidP="00A328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11.3%</w:t>
            </w:r>
          </w:p>
        </w:tc>
      </w:tr>
      <w:tr w:rsidR="00573C40" w:rsidRPr="00CC1ECE" w14:paraId="4ED75A85" w14:textId="77777777" w:rsidTr="0022668D">
        <w:trPr>
          <w:trHeight w:val="54"/>
          <w:jc w:val="center"/>
        </w:trPr>
        <w:tc>
          <w:tcPr>
            <w:tcW w:w="2595"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1FF6EFBF" w14:textId="7F26C905" w:rsidR="00573C40" w:rsidRPr="00CC1ECE" w:rsidRDefault="00573C40" w:rsidP="00A3284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Substant</w:t>
            </w:r>
            <w:r w:rsidR="007256D5">
              <w:rPr>
                <w:rFonts w:ascii="Verdana" w:eastAsia="Times New Roman" w:hAnsi="Verdana"/>
                <w:sz w:val="20"/>
                <w:szCs w:val="20"/>
              </w:rPr>
              <w:t>ially weaker</w:t>
            </w:r>
          </w:p>
        </w:tc>
        <w:tc>
          <w:tcPr>
            <w:tcW w:w="1725" w:type="dxa"/>
            <w:tcBorders>
              <w:top w:val="single" w:sz="4" w:space="0" w:color="000000"/>
              <w:left w:val="single" w:sz="8" w:space="0" w:color="0070C0"/>
              <w:bottom w:val="single" w:sz="12" w:space="0" w:color="000000"/>
              <w:right w:val="single" w:sz="8" w:space="0" w:color="0070C0"/>
            </w:tcBorders>
            <w:shd w:val="clear" w:color="auto" w:fill="F2F2F2" w:themeFill="background1" w:themeFillShade="F2"/>
            <w:vAlign w:val="center"/>
          </w:tcPr>
          <w:p w14:paraId="5F58410F" w14:textId="0B96A0F7" w:rsidR="00573C40" w:rsidRPr="00CC1ECE" w:rsidRDefault="007256D5" w:rsidP="00A328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0.0%</w:t>
            </w:r>
          </w:p>
        </w:tc>
        <w:tc>
          <w:tcPr>
            <w:tcW w:w="1728" w:type="dxa"/>
            <w:tcBorders>
              <w:top w:val="single" w:sz="4" w:space="0" w:color="000000"/>
              <w:left w:val="single" w:sz="8" w:space="0" w:color="0070C0"/>
              <w:bottom w:val="single" w:sz="12" w:space="0" w:color="000000"/>
              <w:right w:val="single" w:sz="12" w:space="0" w:color="auto"/>
            </w:tcBorders>
            <w:shd w:val="clear" w:color="auto" w:fill="F2F2F2" w:themeFill="background1" w:themeFillShade="F2"/>
            <w:vAlign w:val="center"/>
          </w:tcPr>
          <w:p w14:paraId="34B996B5" w14:textId="3983D5A6" w:rsidR="00573C40" w:rsidRDefault="007256D5" w:rsidP="00A328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0.0%</w:t>
            </w:r>
          </w:p>
        </w:tc>
      </w:tr>
    </w:tbl>
    <w:p w14:paraId="7696395B" w14:textId="77777777" w:rsidR="007256D5" w:rsidRDefault="007256D5" w:rsidP="007256D5">
      <w:pPr>
        <w:pStyle w:val="NoSpacing"/>
        <w:tabs>
          <w:tab w:val="left" w:pos="1620"/>
        </w:tabs>
        <w:contextualSpacing/>
        <w:mirrorIndents/>
        <w:rPr>
          <w:rFonts w:ascii="Verdana" w:hAnsi="Verdana"/>
          <w:sz w:val="16"/>
          <w:szCs w:val="16"/>
        </w:rPr>
      </w:pPr>
      <w:r>
        <w:rPr>
          <w:rFonts w:ascii="Verdana" w:hAnsi="Verdana"/>
          <w:sz w:val="16"/>
          <w:szCs w:val="16"/>
        </w:rPr>
        <w:tab/>
      </w:r>
      <w:r w:rsidR="00573C40">
        <w:rPr>
          <w:rFonts w:ascii="Verdana" w:hAnsi="Verdana"/>
          <w:sz w:val="16"/>
          <w:szCs w:val="16"/>
        </w:rPr>
        <w:t>US Federal Reserve</w:t>
      </w:r>
      <w:r w:rsidR="00573C40" w:rsidRPr="00CC1ECE">
        <w:rPr>
          <w:rFonts w:ascii="Verdana" w:hAnsi="Verdana"/>
          <w:sz w:val="16"/>
          <w:szCs w:val="16"/>
        </w:rPr>
        <w:t xml:space="preserve">, </w:t>
      </w:r>
      <w:r w:rsidR="00573C40">
        <w:rPr>
          <w:rFonts w:ascii="Verdana" w:hAnsi="Verdana"/>
          <w:sz w:val="16"/>
          <w:szCs w:val="16"/>
        </w:rPr>
        <w:t>April 2022</w:t>
      </w:r>
      <w:r>
        <w:rPr>
          <w:rFonts w:ascii="Verdana" w:hAnsi="Verdana"/>
          <w:sz w:val="16"/>
          <w:szCs w:val="16"/>
        </w:rPr>
        <w:tab/>
      </w:r>
    </w:p>
    <w:p w14:paraId="7401C3C8" w14:textId="2909ADCF" w:rsidR="00F94CE8" w:rsidRPr="007256D5" w:rsidRDefault="007256D5" w:rsidP="007256D5">
      <w:pPr>
        <w:pStyle w:val="NoSpacing"/>
        <w:tabs>
          <w:tab w:val="left" w:pos="1620"/>
        </w:tabs>
        <w:contextualSpacing/>
        <w:mirrorIndents/>
        <w:rPr>
          <w:rFonts w:ascii="Verdana" w:hAnsi="Verdana"/>
          <w:sz w:val="16"/>
          <w:szCs w:val="16"/>
        </w:rPr>
      </w:pPr>
      <w:r>
        <w:rPr>
          <w:rFonts w:ascii="Verdana" w:hAnsi="Verdana"/>
          <w:sz w:val="16"/>
          <w:szCs w:val="16"/>
        </w:rPr>
        <w:tab/>
      </w:r>
      <w:r w:rsidRPr="007256D5">
        <w:rPr>
          <w:rFonts w:ascii="Verdana" w:hAnsi="Verdana"/>
          <w:sz w:val="16"/>
          <w:szCs w:val="16"/>
        </w:rPr>
        <w:t xml:space="preserve">*annual sales $50 million or more </w:t>
      </w:r>
      <w:r w:rsidRPr="007256D5">
        <w:rPr>
          <w:rFonts w:ascii="Verdana" w:eastAsia="Times New Roman" w:hAnsi="Verdana"/>
          <w:sz w:val="16"/>
          <w:szCs w:val="16"/>
        </w:rPr>
        <w:t>†</w:t>
      </w:r>
      <w:r>
        <w:rPr>
          <w:rFonts w:ascii="Verdana" w:eastAsia="Times New Roman" w:hAnsi="Verdana"/>
          <w:sz w:val="16"/>
          <w:szCs w:val="16"/>
        </w:rPr>
        <w:t>annual sales less than $50 million</w:t>
      </w:r>
    </w:p>
    <w:p w14:paraId="05B35E5D" w14:textId="3AFAA724" w:rsidR="00F94CE8" w:rsidRPr="00B75062" w:rsidRDefault="00FB418C" w:rsidP="00F94CE8">
      <w:pPr>
        <w:pStyle w:val="NoSpacing"/>
        <w:contextualSpacing/>
        <w:jc w:val="center"/>
        <w:rPr>
          <w:b/>
          <w:color w:val="0070C0"/>
          <w:sz w:val="20"/>
          <w:szCs w:val="20"/>
        </w:rPr>
      </w:pPr>
      <w:r>
        <w:rPr>
          <w:b/>
          <w:color w:val="0070C0"/>
          <w:sz w:val="20"/>
          <w:szCs w:val="20"/>
        </w:rPr>
        <w:lastRenderedPageBreak/>
        <w:t>More Valuable Insights</w:t>
      </w:r>
    </w:p>
    <w:p w14:paraId="4D37D21A" w14:textId="77777777" w:rsidR="00F94CE8" w:rsidRPr="00C66D00" w:rsidRDefault="00F94CE8" w:rsidP="00F94CE8">
      <w:pPr>
        <w:pStyle w:val="NoSpacing"/>
        <w:contextualSpacing/>
        <w:rPr>
          <w:sz w:val="20"/>
          <w:szCs w:val="20"/>
        </w:rPr>
      </w:pPr>
    </w:p>
    <w:p w14:paraId="718411C0" w14:textId="57EA5A37" w:rsidR="00F94CE8" w:rsidRDefault="0074186F" w:rsidP="00F94CE8">
      <w:pPr>
        <w:pStyle w:val="NoSpacing"/>
        <w:contextualSpacing/>
        <w:rPr>
          <w:sz w:val="20"/>
          <w:szCs w:val="20"/>
        </w:rPr>
      </w:pPr>
      <w:r>
        <w:rPr>
          <w:sz w:val="20"/>
          <w:szCs w:val="20"/>
        </w:rPr>
        <w:t>The J.D. Power 2022 U.S. Consumer Lending Satisfaction Study reported an increase in personal loans as rates are more competitive and lenders are offering more options to consumers. Nonetheless, more consumers with lower credit ratings and spending/savings ratio</w:t>
      </w:r>
      <w:r w:rsidR="007F7456">
        <w:rPr>
          <w:sz w:val="20"/>
          <w:szCs w:val="20"/>
        </w:rPr>
        <w:t>s</w:t>
      </w:r>
      <w:r>
        <w:rPr>
          <w:sz w:val="20"/>
          <w:szCs w:val="20"/>
        </w:rPr>
        <w:t xml:space="preserve"> as measured by J.D. Power are requesting these loans, primarily because of inflationary pressures and the end of relief funding from the government. </w:t>
      </w:r>
    </w:p>
    <w:p w14:paraId="72A9D893" w14:textId="77777777" w:rsidR="00F94CE8" w:rsidRDefault="00F94CE8" w:rsidP="00F94CE8">
      <w:pPr>
        <w:pStyle w:val="NoSpacing"/>
        <w:contextualSpacing/>
        <w:rPr>
          <w:sz w:val="20"/>
          <w:szCs w:val="20"/>
        </w:rPr>
      </w:pPr>
    </w:p>
    <w:p w14:paraId="38B51453" w14:textId="5246B4B8" w:rsidR="00926BD3" w:rsidRPr="00CC1ECE" w:rsidRDefault="00926BD3" w:rsidP="00926BD3">
      <w:pPr>
        <w:pStyle w:val="Header"/>
        <w:contextualSpacing/>
        <w:jc w:val="center"/>
        <w:rPr>
          <w:rFonts w:ascii="Verdana" w:hAnsi="Verdana"/>
          <w:b/>
          <w:sz w:val="20"/>
          <w:szCs w:val="20"/>
        </w:rPr>
      </w:pPr>
      <w:r>
        <w:rPr>
          <w:rFonts w:ascii="Verdana" w:hAnsi="Verdana"/>
          <w:b/>
          <w:sz w:val="20"/>
          <w:szCs w:val="20"/>
        </w:rPr>
        <w:t>C</w:t>
      </w:r>
      <w:r>
        <w:rPr>
          <w:rFonts w:ascii="Verdana" w:hAnsi="Verdana"/>
          <w:b/>
          <w:sz w:val="20"/>
          <w:szCs w:val="20"/>
        </w:rPr>
        <w:t>ustomer Personal Loan Lending Satisfaction Index Ranking, January–March 2022</w:t>
      </w:r>
    </w:p>
    <w:tbl>
      <w:tblPr>
        <w:tblW w:w="10112"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3791"/>
        <w:gridCol w:w="1267"/>
        <w:gridCol w:w="3787"/>
        <w:gridCol w:w="1267"/>
      </w:tblGrid>
      <w:tr w:rsidR="00926BD3" w:rsidRPr="00DB5378" w14:paraId="7BFFEAF2" w14:textId="77777777" w:rsidTr="0050185A">
        <w:trPr>
          <w:jc w:val="center"/>
        </w:trPr>
        <w:tc>
          <w:tcPr>
            <w:tcW w:w="3791" w:type="dxa"/>
            <w:tcBorders>
              <w:top w:val="single" w:sz="12" w:space="0" w:color="000000"/>
              <w:left w:val="single" w:sz="12" w:space="0" w:color="000000"/>
              <w:bottom w:val="single" w:sz="18" w:space="0" w:color="C0504D" w:themeColor="accent2"/>
              <w:right w:val="single" w:sz="2" w:space="0" w:color="0070C0"/>
            </w:tcBorders>
            <w:vAlign w:val="center"/>
          </w:tcPr>
          <w:p w14:paraId="15D98C59" w14:textId="75EE8251" w:rsidR="00926BD3" w:rsidRPr="00DB5378" w:rsidRDefault="00926BD3" w:rsidP="00A32846">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Lender</w:t>
            </w:r>
          </w:p>
        </w:tc>
        <w:tc>
          <w:tcPr>
            <w:tcW w:w="1267" w:type="dxa"/>
            <w:tcBorders>
              <w:top w:val="single" w:sz="12" w:space="0" w:color="000000"/>
              <w:left w:val="single" w:sz="2" w:space="0" w:color="0070C0"/>
              <w:bottom w:val="single" w:sz="18" w:space="0" w:color="C0504D" w:themeColor="accent2"/>
              <w:right w:val="single" w:sz="18" w:space="0" w:color="0070C0"/>
            </w:tcBorders>
            <w:vAlign w:val="center"/>
          </w:tcPr>
          <w:p w14:paraId="55E9DDCA" w14:textId="60BA9CF7" w:rsidR="00926BD3" w:rsidRPr="00DB5378" w:rsidRDefault="00926BD3" w:rsidP="00A32846">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Score*</w:t>
            </w:r>
          </w:p>
        </w:tc>
        <w:tc>
          <w:tcPr>
            <w:tcW w:w="3787" w:type="dxa"/>
            <w:tcBorders>
              <w:top w:val="single" w:sz="12" w:space="0" w:color="000000"/>
              <w:left w:val="single" w:sz="18" w:space="0" w:color="0070C0"/>
              <w:bottom w:val="single" w:sz="18" w:space="0" w:color="C0504D" w:themeColor="accent2"/>
              <w:right w:val="single" w:sz="2" w:space="0" w:color="0070C0"/>
            </w:tcBorders>
            <w:vAlign w:val="center"/>
          </w:tcPr>
          <w:p w14:paraId="07EE75B6" w14:textId="3E0B30F1" w:rsidR="00926BD3" w:rsidRDefault="00926BD3" w:rsidP="00A32846">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Lender</w:t>
            </w:r>
          </w:p>
        </w:tc>
        <w:tc>
          <w:tcPr>
            <w:tcW w:w="1267" w:type="dxa"/>
            <w:tcBorders>
              <w:top w:val="single" w:sz="12" w:space="0" w:color="000000"/>
              <w:left w:val="single" w:sz="2" w:space="0" w:color="0070C0"/>
              <w:bottom w:val="single" w:sz="18" w:space="0" w:color="C0504D" w:themeColor="accent2"/>
              <w:right w:val="single" w:sz="12" w:space="0" w:color="000000"/>
            </w:tcBorders>
            <w:vAlign w:val="center"/>
          </w:tcPr>
          <w:p w14:paraId="62268D19" w14:textId="298EB192" w:rsidR="00926BD3" w:rsidRDefault="00926BD3" w:rsidP="00A32846">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Score*</w:t>
            </w:r>
          </w:p>
        </w:tc>
      </w:tr>
      <w:tr w:rsidR="00926BD3" w:rsidRPr="00DB5378" w14:paraId="172DE73F" w14:textId="77777777" w:rsidTr="003478C3">
        <w:tblPrEx>
          <w:tblBorders>
            <w:top w:val="none" w:sz="0" w:space="0" w:color="auto"/>
          </w:tblBorders>
        </w:tblPrEx>
        <w:trPr>
          <w:jc w:val="center"/>
        </w:trPr>
        <w:tc>
          <w:tcPr>
            <w:tcW w:w="3791" w:type="dxa"/>
            <w:tcBorders>
              <w:top w:val="single" w:sz="18" w:space="0" w:color="C0504D" w:themeColor="accent2"/>
              <w:left w:val="single" w:sz="12" w:space="0" w:color="000000"/>
              <w:bottom w:val="single" w:sz="4" w:space="0" w:color="000000"/>
              <w:right w:val="single" w:sz="2" w:space="0" w:color="0070C0"/>
            </w:tcBorders>
            <w:vAlign w:val="center"/>
          </w:tcPr>
          <w:p w14:paraId="23E53137" w14:textId="1D561B5C" w:rsidR="00926BD3" w:rsidRPr="00DB5378" w:rsidRDefault="00926BD3" w:rsidP="00A32846">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#1: Marcus by Goldman Sachs</w:t>
            </w:r>
          </w:p>
        </w:tc>
        <w:tc>
          <w:tcPr>
            <w:tcW w:w="1267" w:type="dxa"/>
            <w:tcBorders>
              <w:top w:val="single" w:sz="18" w:space="0" w:color="C0504D" w:themeColor="accent2"/>
              <w:left w:val="single" w:sz="2" w:space="0" w:color="0070C0"/>
              <w:bottom w:val="single" w:sz="4" w:space="0" w:color="auto"/>
              <w:right w:val="single" w:sz="18" w:space="0" w:color="0070C0"/>
            </w:tcBorders>
            <w:shd w:val="clear" w:color="auto" w:fill="00B050"/>
            <w:vAlign w:val="center"/>
          </w:tcPr>
          <w:p w14:paraId="2A9DC2A7" w14:textId="6818EC9B" w:rsidR="00926BD3" w:rsidRPr="00DB5378" w:rsidRDefault="00926BD3"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776</w:t>
            </w:r>
          </w:p>
        </w:tc>
        <w:tc>
          <w:tcPr>
            <w:tcW w:w="3787" w:type="dxa"/>
            <w:tcBorders>
              <w:top w:val="single" w:sz="18" w:space="0" w:color="C0504D" w:themeColor="accent2"/>
              <w:left w:val="single" w:sz="18" w:space="0" w:color="0070C0"/>
              <w:bottom w:val="single" w:sz="4" w:space="0" w:color="auto"/>
              <w:right w:val="single" w:sz="2" w:space="0" w:color="0070C0"/>
            </w:tcBorders>
            <w:shd w:val="clear" w:color="auto" w:fill="auto"/>
            <w:vAlign w:val="center"/>
          </w:tcPr>
          <w:p w14:paraId="014158F0" w14:textId="7FCF2836" w:rsidR="00926BD3" w:rsidRDefault="00926BD3"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#12:</w:t>
            </w:r>
            <w:r w:rsidR="0050185A">
              <w:rPr>
                <w:rFonts w:ascii="Verdana" w:eastAsia="Times New Roman" w:hAnsi="Verdana"/>
                <w:sz w:val="20"/>
                <w:szCs w:val="20"/>
              </w:rPr>
              <w:t xml:space="preserve"> Lightstream</w:t>
            </w:r>
          </w:p>
        </w:tc>
        <w:tc>
          <w:tcPr>
            <w:tcW w:w="1267" w:type="dxa"/>
            <w:tcBorders>
              <w:top w:val="single" w:sz="18" w:space="0" w:color="C0504D" w:themeColor="accent2"/>
              <w:left w:val="single" w:sz="2" w:space="0" w:color="0070C0"/>
              <w:bottom w:val="single" w:sz="4" w:space="0" w:color="auto"/>
              <w:right w:val="single" w:sz="12" w:space="0" w:color="000000"/>
            </w:tcBorders>
            <w:shd w:val="clear" w:color="auto" w:fill="D6E3BC" w:themeFill="accent3" w:themeFillTint="66"/>
            <w:vAlign w:val="center"/>
          </w:tcPr>
          <w:p w14:paraId="42FDA19D" w14:textId="22C42F21" w:rsidR="00926BD3" w:rsidRDefault="0050185A"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719</w:t>
            </w:r>
          </w:p>
        </w:tc>
      </w:tr>
      <w:tr w:rsidR="00926BD3" w:rsidRPr="00DB5378" w14:paraId="00124025" w14:textId="77777777" w:rsidTr="003478C3">
        <w:tblPrEx>
          <w:tblBorders>
            <w:top w:val="none" w:sz="0" w:space="0" w:color="auto"/>
          </w:tblBorders>
        </w:tblPrEx>
        <w:trPr>
          <w:jc w:val="center"/>
        </w:trPr>
        <w:tc>
          <w:tcPr>
            <w:tcW w:w="3791" w:type="dxa"/>
            <w:tcBorders>
              <w:top w:val="single" w:sz="4" w:space="0" w:color="000000"/>
              <w:left w:val="single" w:sz="12" w:space="0" w:color="000000"/>
              <w:bottom w:val="single" w:sz="4" w:space="0" w:color="000000"/>
              <w:right w:val="single" w:sz="2" w:space="0" w:color="0070C0"/>
            </w:tcBorders>
            <w:vAlign w:val="center"/>
          </w:tcPr>
          <w:p w14:paraId="570D0758" w14:textId="0A785A80" w:rsidR="00926BD3" w:rsidRDefault="00926BD3" w:rsidP="00A32846">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#2: U.S. Bank</w:t>
            </w:r>
          </w:p>
        </w:tc>
        <w:tc>
          <w:tcPr>
            <w:tcW w:w="1267" w:type="dxa"/>
            <w:tcBorders>
              <w:top w:val="single" w:sz="4" w:space="0" w:color="auto"/>
              <w:left w:val="single" w:sz="2" w:space="0" w:color="0070C0"/>
              <w:bottom w:val="single" w:sz="4" w:space="0" w:color="000000"/>
              <w:right w:val="single" w:sz="18" w:space="0" w:color="0070C0"/>
            </w:tcBorders>
            <w:shd w:val="clear" w:color="auto" w:fill="C2D69B" w:themeFill="accent3" w:themeFillTint="99"/>
            <w:vAlign w:val="center"/>
          </w:tcPr>
          <w:p w14:paraId="29DFA24C" w14:textId="36E5084C" w:rsidR="00926BD3" w:rsidRDefault="00926BD3"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757</w:t>
            </w:r>
          </w:p>
        </w:tc>
        <w:tc>
          <w:tcPr>
            <w:tcW w:w="3787" w:type="dxa"/>
            <w:tcBorders>
              <w:top w:val="single" w:sz="4" w:space="0" w:color="auto"/>
              <w:left w:val="single" w:sz="18" w:space="0" w:color="0070C0"/>
              <w:bottom w:val="single" w:sz="4" w:space="0" w:color="000000"/>
              <w:right w:val="single" w:sz="2" w:space="0" w:color="0070C0"/>
            </w:tcBorders>
            <w:shd w:val="clear" w:color="auto" w:fill="auto"/>
            <w:vAlign w:val="center"/>
          </w:tcPr>
          <w:p w14:paraId="03620399" w14:textId="7490F5C8" w:rsidR="00926BD3" w:rsidRDefault="0050185A"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#13: Prosper</w:t>
            </w:r>
          </w:p>
        </w:tc>
        <w:tc>
          <w:tcPr>
            <w:tcW w:w="1267" w:type="dxa"/>
            <w:tcBorders>
              <w:top w:val="single" w:sz="4" w:space="0" w:color="auto"/>
              <w:left w:val="single" w:sz="2" w:space="0" w:color="0070C0"/>
              <w:bottom w:val="single" w:sz="4" w:space="0" w:color="000000"/>
              <w:right w:val="single" w:sz="12" w:space="0" w:color="000000"/>
            </w:tcBorders>
            <w:shd w:val="clear" w:color="auto" w:fill="D6E3BC" w:themeFill="accent3" w:themeFillTint="66"/>
            <w:vAlign w:val="center"/>
          </w:tcPr>
          <w:p w14:paraId="6230AAB8" w14:textId="30A032D4" w:rsidR="00926BD3" w:rsidRDefault="0050185A"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705</w:t>
            </w:r>
          </w:p>
        </w:tc>
      </w:tr>
      <w:tr w:rsidR="00926BD3" w:rsidRPr="00DB5378" w14:paraId="3D90BE30" w14:textId="77777777" w:rsidTr="003478C3">
        <w:tblPrEx>
          <w:tblBorders>
            <w:top w:val="none" w:sz="0" w:space="0" w:color="auto"/>
          </w:tblBorders>
        </w:tblPrEx>
        <w:trPr>
          <w:jc w:val="center"/>
        </w:trPr>
        <w:tc>
          <w:tcPr>
            <w:tcW w:w="3791" w:type="dxa"/>
            <w:tcBorders>
              <w:top w:val="single" w:sz="4" w:space="0" w:color="000000"/>
              <w:left w:val="single" w:sz="12" w:space="0" w:color="000000"/>
              <w:bottom w:val="single" w:sz="4" w:space="0" w:color="000000"/>
              <w:right w:val="single" w:sz="2" w:space="0" w:color="0070C0"/>
            </w:tcBorders>
            <w:vAlign w:val="center"/>
          </w:tcPr>
          <w:p w14:paraId="5733831D" w14:textId="56A27ED5" w:rsidR="00926BD3" w:rsidRDefault="00926BD3" w:rsidP="00A32846">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#3: American Express</w:t>
            </w:r>
          </w:p>
        </w:tc>
        <w:tc>
          <w:tcPr>
            <w:tcW w:w="1267" w:type="dxa"/>
            <w:tcBorders>
              <w:top w:val="single" w:sz="4" w:space="0" w:color="auto"/>
              <w:left w:val="single" w:sz="2" w:space="0" w:color="0070C0"/>
              <w:bottom w:val="single" w:sz="4" w:space="0" w:color="000000"/>
              <w:right w:val="single" w:sz="18" w:space="0" w:color="0070C0"/>
            </w:tcBorders>
            <w:shd w:val="clear" w:color="auto" w:fill="C2D69B" w:themeFill="accent3" w:themeFillTint="99"/>
            <w:vAlign w:val="center"/>
          </w:tcPr>
          <w:p w14:paraId="6E39C7CD" w14:textId="64469EE7" w:rsidR="00926BD3" w:rsidRDefault="00926BD3"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754</w:t>
            </w:r>
          </w:p>
        </w:tc>
        <w:tc>
          <w:tcPr>
            <w:tcW w:w="3787" w:type="dxa"/>
            <w:tcBorders>
              <w:top w:val="single" w:sz="4" w:space="0" w:color="auto"/>
              <w:left w:val="single" w:sz="18" w:space="0" w:color="0070C0"/>
              <w:bottom w:val="single" w:sz="4" w:space="0" w:color="000000"/>
              <w:right w:val="single" w:sz="2" w:space="0" w:color="0070C0"/>
            </w:tcBorders>
            <w:shd w:val="clear" w:color="auto" w:fill="auto"/>
            <w:vAlign w:val="center"/>
          </w:tcPr>
          <w:p w14:paraId="39B2E9E6" w14:textId="01C000AA" w:rsidR="00926BD3" w:rsidRDefault="0050185A"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#14: Security Finance</w:t>
            </w:r>
          </w:p>
        </w:tc>
        <w:tc>
          <w:tcPr>
            <w:tcW w:w="1267" w:type="dxa"/>
            <w:tcBorders>
              <w:top w:val="single" w:sz="4" w:space="0" w:color="auto"/>
              <w:left w:val="single" w:sz="2" w:space="0" w:color="0070C0"/>
              <w:bottom w:val="single" w:sz="4" w:space="0" w:color="000000"/>
              <w:right w:val="single" w:sz="12" w:space="0" w:color="000000"/>
            </w:tcBorders>
            <w:shd w:val="clear" w:color="auto" w:fill="D6E3BC" w:themeFill="accent3" w:themeFillTint="66"/>
            <w:vAlign w:val="center"/>
          </w:tcPr>
          <w:p w14:paraId="1FC40216" w14:textId="11DC06A4" w:rsidR="00926BD3" w:rsidRDefault="0050185A"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697</w:t>
            </w:r>
          </w:p>
        </w:tc>
      </w:tr>
      <w:tr w:rsidR="00926BD3" w:rsidRPr="00DB5378" w14:paraId="63E19643" w14:textId="77777777" w:rsidTr="003478C3">
        <w:tblPrEx>
          <w:tblBorders>
            <w:top w:val="none" w:sz="0" w:space="0" w:color="auto"/>
          </w:tblBorders>
        </w:tblPrEx>
        <w:trPr>
          <w:jc w:val="center"/>
        </w:trPr>
        <w:tc>
          <w:tcPr>
            <w:tcW w:w="3791" w:type="dxa"/>
            <w:tcBorders>
              <w:top w:val="single" w:sz="4" w:space="0" w:color="000000"/>
              <w:left w:val="single" w:sz="12" w:space="0" w:color="000000"/>
              <w:bottom w:val="single" w:sz="4" w:space="0" w:color="000000"/>
              <w:right w:val="single" w:sz="2" w:space="0" w:color="0070C0"/>
            </w:tcBorders>
            <w:vAlign w:val="center"/>
          </w:tcPr>
          <w:p w14:paraId="6C2DC876" w14:textId="5A449DF6" w:rsidR="00926BD3" w:rsidRDefault="00926BD3" w:rsidP="00A32846">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#4: Lafayette Federal Credit Union</w:t>
            </w:r>
          </w:p>
        </w:tc>
        <w:tc>
          <w:tcPr>
            <w:tcW w:w="1267" w:type="dxa"/>
            <w:tcBorders>
              <w:top w:val="single" w:sz="4" w:space="0" w:color="auto"/>
              <w:left w:val="single" w:sz="2" w:space="0" w:color="0070C0"/>
              <w:bottom w:val="single" w:sz="4" w:space="0" w:color="000000"/>
              <w:right w:val="single" w:sz="18" w:space="0" w:color="0070C0"/>
            </w:tcBorders>
            <w:shd w:val="clear" w:color="auto" w:fill="C2D69B" w:themeFill="accent3" w:themeFillTint="99"/>
            <w:vAlign w:val="center"/>
          </w:tcPr>
          <w:p w14:paraId="33703880" w14:textId="54FC03B8" w:rsidR="00926BD3" w:rsidRDefault="00926BD3"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753</w:t>
            </w:r>
          </w:p>
        </w:tc>
        <w:tc>
          <w:tcPr>
            <w:tcW w:w="3787" w:type="dxa"/>
            <w:tcBorders>
              <w:top w:val="single" w:sz="4" w:space="0" w:color="auto"/>
              <w:left w:val="single" w:sz="18" w:space="0" w:color="0070C0"/>
              <w:bottom w:val="single" w:sz="4" w:space="0" w:color="000000"/>
              <w:right w:val="single" w:sz="2" w:space="0" w:color="0070C0"/>
            </w:tcBorders>
            <w:shd w:val="clear" w:color="auto" w:fill="auto"/>
            <w:vAlign w:val="center"/>
          </w:tcPr>
          <w:p w14:paraId="7334540C" w14:textId="253914EC" w:rsidR="00926BD3" w:rsidRDefault="0050185A"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#15: Upgrade</w:t>
            </w:r>
          </w:p>
        </w:tc>
        <w:tc>
          <w:tcPr>
            <w:tcW w:w="1267" w:type="dxa"/>
            <w:tcBorders>
              <w:top w:val="single" w:sz="4" w:space="0" w:color="auto"/>
              <w:left w:val="single" w:sz="2" w:space="0" w:color="0070C0"/>
              <w:bottom w:val="single" w:sz="4" w:space="0" w:color="000000"/>
              <w:right w:val="single" w:sz="12" w:space="0" w:color="000000"/>
            </w:tcBorders>
            <w:shd w:val="clear" w:color="auto" w:fill="D6E3BC" w:themeFill="accent3" w:themeFillTint="66"/>
            <w:vAlign w:val="center"/>
          </w:tcPr>
          <w:p w14:paraId="3989507D" w14:textId="21098B43" w:rsidR="00926BD3" w:rsidRDefault="0050185A"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693</w:t>
            </w:r>
          </w:p>
        </w:tc>
      </w:tr>
      <w:tr w:rsidR="00926BD3" w:rsidRPr="00DB5378" w14:paraId="337245D8" w14:textId="77777777" w:rsidTr="003478C3">
        <w:tblPrEx>
          <w:tblBorders>
            <w:top w:val="none" w:sz="0" w:space="0" w:color="auto"/>
          </w:tblBorders>
        </w:tblPrEx>
        <w:trPr>
          <w:jc w:val="center"/>
        </w:trPr>
        <w:tc>
          <w:tcPr>
            <w:tcW w:w="3791" w:type="dxa"/>
            <w:tcBorders>
              <w:top w:val="single" w:sz="4" w:space="0" w:color="000000"/>
              <w:left w:val="single" w:sz="12" w:space="0" w:color="000000"/>
              <w:bottom w:val="single" w:sz="4" w:space="0" w:color="000000"/>
              <w:right w:val="single" w:sz="2" w:space="0" w:color="0070C0"/>
            </w:tcBorders>
            <w:vAlign w:val="center"/>
          </w:tcPr>
          <w:p w14:paraId="0C38ABF8" w14:textId="4E63FD7D" w:rsidR="00926BD3" w:rsidRDefault="00926BD3" w:rsidP="00A32846">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#5: Discover</w:t>
            </w:r>
          </w:p>
        </w:tc>
        <w:tc>
          <w:tcPr>
            <w:tcW w:w="1267" w:type="dxa"/>
            <w:tcBorders>
              <w:top w:val="single" w:sz="4" w:space="0" w:color="auto"/>
              <w:left w:val="single" w:sz="2" w:space="0" w:color="0070C0"/>
              <w:bottom w:val="single" w:sz="4" w:space="0" w:color="000000"/>
              <w:right w:val="single" w:sz="18" w:space="0" w:color="0070C0"/>
            </w:tcBorders>
            <w:shd w:val="clear" w:color="auto" w:fill="C2D69B" w:themeFill="accent3" w:themeFillTint="99"/>
            <w:vAlign w:val="center"/>
          </w:tcPr>
          <w:p w14:paraId="752A0C9A" w14:textId="7AC307E8" w:rsidR="00926BD3" w:rsidRDefault="00926BD3"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745</w:t>
            </w:r>
          </w:p>
        </w:tc>
        <w:tc>
          <w:tcPr>
            <w:tcW w:w="3787" w:type="dxa"/>
            <w:tcBorders>
              <w:top w:val="single" w:sz="4" w:space="0" w:color="auto"/>
              <w:left w:val="single" w:sz="18" w:space="0" w:color="0070C0"/>
              <w:bottom w:val="single" w:sz="4" w:space="0" w:color="000000"/>
              <w:right w:val="single" w:sz="2" w:space="0" w:color="0070C0"/>
            </w:tcBorders>
            <w:shd w:val="clear" w:color="auto" w:fill="auto"/>
            <w:vAlign w:val="center"/>
          </w:tcPr>
          <w:p w14:paraId="69326308" w14:textId="3C4A8FE8" w:rsidR="00926BD3" w:rsidRDefault="0050185A"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#16: Avant</w:t>
            </w:r>
          </w:p>
        </w:tc>
        <w:tc>
          <w:tcPr>
            <w:tcW w:w="1267" w:type="dxa"/>
            <w:tcBorders>
              <w:top w:val="single" w:sz="4" w:space="0" w:color="auto"/>
              <w:left w:val="single" w:sz="2" w:space="0" w:color="0070C0"/>
              <w:bottom w:val="single" w:sz="4" w:space="0" w:color="000000"/>
              <w:right w:val="single" w:sz="12" w:space="0" w:color="000000"/>
            </w:tcBorders>
            <w:shd w:val="clear" w:color="auto" w:fill="D6E3BC" w:themeFill="accent3" w:themeFillTint="66"/>
            <w:vAlign w:val="center"/>
          </w:tcPr>
          <w:p w14:paraId="4D0E2A1C" w14:textId="41D0D7E0" w:rsidR="00926BD3" w:rsidRDefault="0050185A"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683</w:t>
            </w:r>
          </w:p>
        </w:tc>
      </w:tr>
      <w:tr w:rsidR="00926BD3" w:rsidRPr="00DB5378" w14:paraId="3671673A" w14:textId="77777777" w:rsidTr="003478C3">
        <w:tblPrEx>
          <w:tblBorders>
            <w:top w:val="none" w:sz="0" w:space="0" w:color="auto"/>
          </w:tblBorders>
        </w:tblPrEx>
        <w:trPr>
          <w:jc w:val="center"/>
        </w:trPr>
        <w:tc>
          <w:tcPr>
            <w:tcW w:w="3791" w:type="dxa"/>
            <w:tcBorders>
              <w:top w:val="single" w:sz="4" w:space="0" w:color="000000"/>
              <w:left w:val="single" w:sz="12" w:space="0" w:color="000000"/>
              <w:bottom w:val="single" w:sz="4" w:space="0" w:color="000000"/>
              <w:right w:val="single" w:sz="2" w:space="0" w:color="0070C0"/>
            </w:tcBorders>
            <w:vAlign w:val="center"/>
          </w:tcPr>
          <w:p w14:paraId="64FAC4D9" w14:textId="52EA9475" w:rsidR="00926BD3" w:rsidRDefault="00926BD3" w:rsidP="00A32846">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#6: PenFed Credit Union</w:t>
            </w:r>
          </w:p>
        </w:tc>
        <w:tc>
          <w:tcPr>
            <w:tcW w:w="1267" w:type="dxa"/>
            <w:tcBorders>
              <w:top w:val="single" w:sz="4" w:space="0" w:color="auto"/>
              <w:left w:val="single" w:sz="2" w:space="0" w:color="0070C0"/>
              <w:bottom w:val="single" w:sz="4" w:space="0" w:color="000000"/>
              <w:right w:val="single" w:sz="18" w:space="0" w:color="0070C0"/>
            </w:tcBorders>
            <w:shd w:val="clear" w:color="auto" w:fill="C2D69B" w:themeFill="accent3" w:themeFillTint="99"/>
            <w:vAlign w:val="center"/>
          </w:tcPr>
          <w:p w14:paraId="035EAF99" w14:textId="06B12CB7" w:rsidR="00926BD3" w:rsidRDefault="00926BD3"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743</w:t>
            </w:r>
          </w:p>
        </w:tc>
        <w:tc>
          <w:tcPr>
            <w:tcW w:w="3787" w:type="dxa"/>
            <w:tcBorders>
              <w:top w:val="single" w:sz="4" w:space="0" w:color="auto"/>
              <w:left w:val="single" w:sz="18" w:space="0" w:color="0070C0"/>
              <w:bottom w:val="single" w:sz="4" w:space="0" w:color="000000"/>
              <w:right w:val="single" w:sz="2" w:space="0" w:color="0070C0"/>
            </w:tcBorders>
            <w:shd w:val="clear" w:color="auto" w:fill="auto"/>
            <w:vAlign w:val="center"/>
          </w:tcPr>
          <w:p w14:paraId="6283303C" w14:textId="28983193" w:rsidR="00926BD3" w:rsidRDefault="0050185A"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#17: Best Egg</w:t>
            </w:r>
          </w:p>
        </w:tc>
        <w:tc>
          <w:tcPr>
            <w:tcW w:w="1267" w:type="dxa"/>
            <w:tcBorders>
              <w:top w:val="single" w:sz="4" w:space="0" w:color="auto"/>
              <w:left w:val="single" w:sz="2" w:space="0" w:color="0070C0"/>
              <w:bottom w:val="single" w:sz="4" w:space="0" w:color="000000"/>
              <w:right w:val="single" w:sz="12" w:space="0" w:color="000000"/>
            </w:tcBorders>
            <w:shd w:val="clear" w:color="auto" w:fill="D6E3BC" w:themeFill="accent3" w:themeFillTint="66"/>
            <w:vAlign w:val="center"/>
          </w:tcPr>
          <w:p w14:paraId="5DDE5BB7" w14:textId="46807EE1" w:rsidR="00926BD3" w:rsidRDefault="0050185A"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681</w:t>
            </w:r>
          </w:p>
        </w:tc>
      </w:tr>
      <w:tr w:rsidR="00926BD3" w:rsidRPr="00DB5378" w14:paraId="3ABDD63F" w14:textId="77777777" w:rsidTr="003478C3">
        <w:tblPrEx>
          <w:tblBorders>
            <w:top w:val="none" w:sz="0" w:space="0" w:color="auto"/>
          </w:tblBorders>
        </w:tblPrEx>
        <w:trPr>
          <w:jc w:val="center"/>
        </w:trPr>
        <w:tc>
          <w:tcPr>
            <w:tcW w:w="3791" w:type="dxa"/>
            <w:tcBorders>
              <w:top w:val="single" w:sz="4" w:space="0" w:color="000000"/>
              <w:left w:val="single" w:sz="12" w:space="0" w:color="000000"/>
              <w:bottom w:val="single" w:sz="4" w:space="0" w:color="000000"/>
              <w:right w:val="single" w:sz="2" w:space="0" w:color="0070C0"/>
            </w:tcBorders>
            <w:vAlign w:val="center"/>
          </w:tcPr>
          <w:p w14:paraId="6627806D" w14:textId="6153EB75" w:rsidR="00926BD3" w:rsidRDefault="00926BD3" w:rsidP="00A32846">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#7: Upstart</w:t>
            </w:r>
          </w:p>
        </w:tc>
        <w:tc>
          <w:tcPr>
            <w:tcW w:w="1267" w:type="dxa"/>
            <w:tcBorders>
              <w:top w:val="single" w:sz="4" w:space="0" w:color="auto"/>
              <w:left w:val="single" w:sz="2" w:space="0" w:color="0070C0"/>
              <w:bottom w:val="single" w:sz="4" w:space="0" w:color="000000"/>
              <w:right w:val="single" w:sz="18" w:space="0" w:color="0070C0"/>
            </w:tcBorders>
            <w:shd w:val="clear" w:color="auto" w:fill="C2D69B" w:themeFill="accent3" w:themeFillTint="99"/>
            <w:vAlign w:val="center"/>
          </w:tcPr>
          <w:p w14:paraId="1476CC10" w14:textId="7B04D678" w:rsidR="00926BD3" w:rsidRDefault="00926BD3"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741</w:t>
            </w:r>
          </w:p>
        </w:tc>
        <w:tc>
          <w:tcPr>
            <w:tcW w:w="3787" w:type="dxa"/>
            <w:tcBorders>
              <w:top w:val="single" w:sz="4" w:space="0" w:color="auto"/>
              <w:left w:val="single" w:sz="18" w:space="0" w:color="0070C0"/>
              <w:bottom w:val="single" w:sz="4" w:space="0" w:color="000000"/>
              <w:right w:val="single" w:sz="2" w:space="0" w:color="0070C0"/>
            </w:tcBorders>
            <w:shd w:val="clear" w:color="auto" w:fill="auto"/>
            <w:vAlign w:val="center"/>
          </w:tcPr>
          <w:p w14:paraId="2C7F3BF5" w14:textId="337D8425" w:rsidR="00926BD3" w:rsidRDefault="0050185A"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#18: OneMain Financial</w:t>
            </w:r>
          </w:p>
        </w:tc>
        <w:tc>
          <w:tcPr>
            <w:tcW w:w="1267" w:type="dxa"/>
            <w:tcBorders>
              <w:top w:val="single" w:sz="4" w:space="0" w:color="auto"/>
              <w:left w:val="single" w:sz="2" w:space="0" w:color="0070C0"/>
              <w:bottom w:val="single" w:sz="4" w:space="0" w:color="000000"/>
              <w:right w:val="single" w:sz="12" w:space="0" w:color="000000"/>
            </w:tcBorders>
            <w:shd w:val="clear" w:color="auto" w:fill="D6E3BC" w:themeFill="accent3" w:themeFillTint="66"/>
            <w:vAlign w:val="center"/>
          </w:tcPr>
          <w:p w14:paraId="282BFE0C" w14:textId="7D6AE93E" w:rsidR="00926BD3" w:rsidRDefault="0050185A"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679</w:t>
            </w:r>
          </w:p>
        </w:tc>
      </w:tr>
      <w:tr w:rsidR="00926BD3" w:rsidRPr="00DB5378" w14:paraId="3DF8EA49" w14:textId="77777777" w:rsidTr="003478C3">
        <w:tblPrEx>
          <w:tblBorders>
            <w:top w:val="none" w:sz="0" w:space="0" w:color="auto"/>
          </w:tblBorders>
        </w:tblPrEx>
        <w:trPr>
          <w:jc w:val="center"/>
        </w:trPr>
        <w:tc>
          <w:tcPr>
            <w:tcW w:w="3791" w:type="dxa"/>
            <w:tcBorders>
              <w:top w:val="single" w:sz="4" w:space="0" w:color="000000"/>
              <w:left w:val="single" w:sz="12" w:space="0" w:color="000000"/>
              <w:bottom w:val="single" w:sz="4" w:space="0" w:color="000000"/>
              <w:right w:val="single" w:sz="2" w:space="0" w:color="0070C0"/>
            </w:tcBorders>
            <w:vAlign w:val="center"/>
          </w:tcPr>
          <w:p w14:paraId="594480A2" w14:textId="52451C2F" w:rsidR="00926BD3" w:rsidRDefault="00926BD3" w:rsidP="00A32846">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#8: SoFi</w:t>
            </w:r>
          </w:p>
        </w:tc>
        <w:tc>
          <w:tcPr>
            <w:tcW w:w="1267" w:type="dxa"/>
            <w:tcBorders>
              <w:top w:val="single" w:sz="4" w:space="0" w:color="auto"/>
              <w:left w:val="single" w:sz="2" w:space="0" w:color="0070C0"/>
              <w:bottom w:val="single" w:sz="4" w:space="0" w:color="000000"/>
              <w:right w:val="single" w:sz="18" w:space="0" w:color="0070C0"/>
            </w:tcBorders>
            <w:shd w:val="clear" w:color="auto" w:fill="C2D69B" w:themeFill="accent3" w:themeFillTint="99"/>
            <w:vAlign w:val="center"/>
          </w:tcPr>
          <w:p w14:paraId="34079BF9" w14:textId="56A9E41A" w:rsidR="00926BD3" w:rsidRDefault="00926BD3"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738</w:t>
            </w:r>
          </w:p>
        </w:tc>
        <w:tc>
          <w:tcPr>
            <w:tcW w:w="3787" w:type="dxa"/>
            <w:tcBorders>
              <w:top w:val="single" w:sz="4" w:space="0" w:color="auto"/>
              <w:left w:val="single" w:sz="18" w:space="0" w:color="0070C0"/>
              <w:bottom w:val="single" w:sz="4" w:space="0" w:color="000000"/>
              <w:right w:val="single" w:sz="2" w:space="0" w:color="0070C0"/>
            </w:tcBorders>
            <w:shd w:val="clear" w:color="auto" w:fill="auto"/>
            <w:vAlign w:val="center"/>
          </w:tcPr>
          <w:p w14:paraId="22F7601F" w14:textId="012CCA08" w:rsidR="00926BD3" w:rsidRDefault="0050185A"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#19: Oportun</w:t>
            </w:r>
          </w:p>
        </w:tc>
        <w:tc>
          <w:tcPr>
            <w:tcW w:w="1267" w:type="dxa"/>
            <w:tcBorders>
              <w:top w:val="single" w:sz="4" w:space="0" w:color="auto"/>
              <w:left w:val="single" w:sz="2" w:space="0" w:color="0070C0"/>
              <w:bottom w:val="single" w:sz="4" w:space="0" w:color="000000"/>
              <w:right w:val="single" w:sz="12" w:space="0" w:color="000000"/>
            </w:tcBorders>
            <w:shd w:val="clear" w:color="auto" w:fill="D6E3BC" w:themeFill="accent3" w:themeFillTint="66"/>
            <w:vAlign w:val="center"/>
          </w:tcPr>
          <w:p w14:paraId="072F55BD" w14:textId="1AEDB021" w:rsidR="00926BD3" w:rsidRDefault="0050185A"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678</w:t>
            </w:r>
          </w:p>
        </w:tc>
      </w:tr>
      <w:tr w:rsidR="00926BD3" w:rsidRPr="00DB5378" w14:paraId="7D464033" w14:textId="77777777" w:rsidTr="003478C3">
        <w:tblPrEx>
          <w:tblBorders>
            <w:top w:val="none" w:sz="0" w:space="0" w:color="auto"/>
          </w:tblBorders>
        </w:tblPrEx>
        <w:trPr>
          <w:jc w:val="center"/>
        </w:trPr>
        <w:tc>
          <w:tcPr>
            <w:tcW w:w="3791" w:type="dxa"/>
            <w:tcBorders>
              <w:top w:val="single" w:sz="4" w:space="0" w:color="000000"/>
              <w:left w:val="single" w:sz="12" w:space="0" w:color="000000"/>
              <w:bottom w:val="single" w:sz="4" w:space="0" w:color="000000"/>
              <w:right w:val="single" w:sz="2" w:space="0" w:color="0070C0"/>
            </w:tcBorders>
            <w:vAlign w:val="center"/>
          </w:tcPr>
          <w:p w14:paraId="74DD1A1D" w14:textId="4BFCEA2B" w:rsidR="00926BD3" w:rsidRDefault="00926BD3" w:rsidP="00A32846">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#9: Wells Fargo</w:t>
            </w:r>
          </w:p>
        </w:tc>
        <w:tc>
          <w:tcPr>
            <w:tcW w:w="1267" w:type="dxa"/>
            <w:tcBorders>
              <w:top w:val="single" w:sz="4" w:space="0" w:color="auto"/>
              <w:left w:val="single" w:sz="2" w:space="0" w:color="0070C0"/>
              <w:bottom w:val="single" w:sz="4" w:space="0" w:color="000000"/>
              <w:right w:val="single" w:sz="18" w:space="0" w:color="0070C0"/>
            </w:tcBorders>
            <w:shd w:val="clear" w:color="auto" w:fill="C2D69B" w:themeFill="accent3" w:themeFillTint="99"/>
            <w:vAlign w:val="center"/>
          </w:tcPr>
          <w:p w14:paraId="613FD334" w14:textId="236EEE8E" w:rsidR="00926BD3" w:rsidRDefault="00926BD3"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731</w:t>
            </w:r>
          </w:p>
        </w:tc>
        <w:tc>
          <w:tcPr>
            <w:tcW w:w="3787" w:type="dxa"/>
            <w:tcBorders>
              <w:top w:val="single" w:sz="4" w:space="0" w:color="auto"/>
              <w:left w:val="single" w:sz="18" w:space="0" w:color="0070C0"/>
              <w:bottom w:val="single" w:sz="4" w:space="0" w:color="000000"/>
              <w:right w:val="single" w:sz="2" w:space="0" w:color="0070C0"/>
            </w:tcBorders>
            <w:shd w:val="clear" w:color="auto" w:fill="auto"/>
            <w:vAlign w:val="center"/>
          </w:tcPr>
          <w:p w14:paraId="689657B7" w14:textId="0AE6CDF8" w:rsidR="00926BD3" w:rsidRDefault="0050185A"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#20: LendingPoint</w:t>
            </w:r>
          </w:p>
        </w:tc>
        <w:tc>
          <w:tcPr>
            <w:tcW w:w="1267" w:type="dxa"/>
            <w:tcBorders>
              <w:top w:val="single" w:sz="4" w:space="0" w:color="auto"/>
              <w:left w:val="single" w:sz="2" w:space="0" w:color="0070C0"/>
              <w:bottom w:val="single" w:sz="4" w:space="0" w:color="000000"/>
              <w:right w:val="single" w:sz="12" w:space="0" w:color="000000"/>
            </w:tcBorders>
            <w:shd w:val="clear" w:color="auto" w:fill="EAF1DD" w:themeFill="accent3" w:themeFillTint="33"/>
            <w:vAlign w:val="center"/>
          </w:tcPr>
          <w:p w14:paraId="6AB001E9" w14:textId="64D184FB" w:rsidR="00926BD3" w:rsidRDefault="0050185A"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668</w:t>
            </w:r>
          </w:p>
        </w:tc>
      </w:tr>
      <w:tr w:rsidR="00926BD3" w:rsidRPr="00DB5378" w14:paraId="09F4EC30" w14:textId="77777777" w:rsidTr="003478C3">
        <w:tblPrEx>
          <w:tblBorders>
            <w:top w:val="none" w:sz="0" w:space="0" w:color="auto"/>
          </w:tblBorders>
        </w:tblPrEx>
        <w:trPr>
          <w:jc w:val="center"/>
        </w:trPr>
        <w:tc>
          <w:tcPr>
            <w:tcW w:w="3791" w:type="dxa"/>
            <w:tcBorders>
              <w:top w:val="single" w:sz="4" w:space="0" w:color="000000"/>
              <w:left w:val="single" w:sz="12" w:space="0" w:color="000000"/>
              <w:bottom w:val="single" w:sz="4" w:space="0" w:color="000000"/>
              <w:right w:val="single" w:sz="2" w:space="0" w:color="0070C0"/>
            </w:tcBorders>
            <w:shd w:val="clear" w:color="auto" w:fill="C6D9F1" w:themeFill="text2" w:themeFillTint="33"/>
            <w:vAlign w:val="center"/>
          </w:tcPr>
          <w:p w14:paraId="0B19EEB3" w14:textId="41DB2756" w:rsidR="00926BD3" w:rsidRPr="00DB5378" w:rsidRDefault="00926BD3" w:rsidP="00A32846">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Segment average</w:t>
            </w:r>
          </w:p>
        </w:tc>
        <w:tc>
          <w:tcPr>
            <w:tcW w:w="1267" w:type="dxa"/>
            <w:tcBorders>
              <w:top w:val="single" w:sz="4" w:space="0" w:color="auto"/>
              <w:left w:val="single" w:sz="2" w:space="0" w:color="0070C0"/>
              <w:bottom w:val="single" w:sz="4" w:space="0" w:color="000000"/>
              <w:right w:val="single" w:sz="18" w:space="0" w:color="0070C0"/>
            </w:tcBorders>
            <w:shd w:val="clear" w:color="auto" w:fill="C6D9F1" w:themeFill="text2" w:themeFillTint="33"/>
            <w:vAlign w:val="center"/>
          </w:tcPr>
          <w:p w14:paraId="7CE6FA67" w14:textId="57434F9E" w:rsidR="00926BD3" w:rsidRPr="00DB5378" w:rsidRDefault="00926BD3"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730</w:t>
            </w:r>
          </w:p>
        </w:tc>
        <w:tc>
          <w:tcPr>
            <w:tcW w:w="3787" w:type="dxa"/>
            <w:tcBorders>
              <w:top w:val="single" w:sz="4" w:space="0" w:color="auto"/>
              <w:left w:val="single" w:sz="18" w:space="0" w:color="0070C0"/>
              <w:bottom w:val="single" w:sz="4" w:space="0" w:color="000000"/>
              <w:right w:val="single" w:sz="2" w:space="0" w:color="0070C0"/>
            </w:tcBorders>
            <w:shd w:val="clear" w:color="auto" w:fill="auto"/>
            <w:vAlign w:val="center"/>
          </w:tcPr>
          <w:p w14:paraId="44213628" w14:textId="56509D57" w:rsidR="00926BD3" w:rsidRDefault="0050185A"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#21: PayOff</w:t>
            </w:r>
          </w:p>
        </w:tc>
        <w:tc>
          <w:tcPr>
            <w:tcW w:w="1267" w:type="dxa"/>
            <w:tcBorders>
              <w:top w:val="single" w:sz="4" w:space="0" w:color="auto"/>
              <w:left w:val="single" w:sz="2" w:space="0" w:color="0070C0"/>
              <w:bottom w:val="single" w:sz="4" w:space="0" w:color="000000"/>
              <w:right w:val="single" w:sz="12" w:space="0" w:color="000000"/>
            </w:tcBorders>
            <w:shd w:val="clear" w:color="auto" w:fill="EAF1DD" w:themeFill="accent3" w:themeFillTint="33"/>
            <w:vAlign w:val="center"/>
          </w:tcPr>
          <w:p w14:paraId="4927765F" w14:textId="689C3979" w:rsidR="00926BD3" w:rsidRDefault="0050185A"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667</w:t>
            </w:r>
          </w:p>
        </w:tc>
      </w:tr>
      <w:tr w:rsidR="00926BD3" w:rsidRPr="00DB5378" w14:paraId="4EF3DA7F" w14:textId="77777777" w:rsidTr="003478C3">
        <w:tblPrEx>
          <w:tblBorders>
            <w:top w:val="none" w:sz="0" w:space="0" w:color="auto"/>
          </w:tblBorders>
        </w:tblPrEx>
        <w:trPr>
          <w:jc w:val="center"/>
        </w:trPr>
        <w:tc>
          <w:tcPr>
            <w:tcW w:w="3791" w:type="dxa"/>
            <w:tcBorders>
              <w:top w:val="single" w:sz="4" w:space="0" w:color="000000"/>
              <w:left w:val="single" w:sz="12" w:space="0" w:color="000000"/>
              <w:bottom w:val="single" w:sz="4" w:space="0" w:color="000000"/>
              <w:right w:val="single" w:sz="2" w:space="0" w:color="0070C0"/>
            </w:tcBorders>
            <w:vAlign w:val="center"/>
          </w:tcPr>
          <w:p w14:paraId="7FC4E3F4" w14:textId="758E1AC3" w:rsidR="00926BD3" w:rsidRDefault="00926BD3" w:rsidP="00A32846">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#10: Lending Club</w:t>
            </w:r>
          </w:p>
        </w:tc>
        <w:tc>
          <w:tcPr>
            <w:tcW w:w="1267" w:type="dxa"/>
            <w:tcBorders>
              <w:top w:val="single" w:sz="4" w:space="0" w:color="auto"/>
              <w:left w:val="single" w:sz="2" w:space="0" w:color="0070C0"/>
              <w:bottom w:val="single" w:sz="4" w:space="0" w:color="000000"/>
              <w:right w:val="single" w:sz="18" w:space="0" w:color="0070C0"/>
            </w:tcBorders>
            <w:shd w:val="clear" w:color="auto" w:fill="D6E3BC" w:themeFill="accent3" w:themeFillTint="66"/>
            <w:vAlign w:val="center"/>
          </w:tcPr>
          <w:p w14:paraId="3F6A0CF0" w14:textId="2DD16E09" w:rsidR="00926BD3" w:rsidRPr="00DB5378" w:rsidRDefault="00926BD3"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723</w:t>
            </w:r>
          </w:p>
        </w:tc>
        <w:tc>
          <w:tcPr>
            <w:tcW w:w="3787" w:type="dxa"/>
            <w:tcBorders>
              <w:top w:val="single" w:sz="4" w:space="0" w:color="auto"/>
              <w:left w:val="single" w:sz="18" w:space="0" w:color="0070C0"/>
              <w:bottom w:val="single" w:sz="4" w:space="0" w:color="000000"/>
              <w:right w:val="single" w:sz="2" w:space="0" w:color="0070C0"/>
            </w:tcBorders>
            <w:shd w:val="clear" w:color="auto" w:fill="auto"/>
            <w:vAlign w:val="center"/>
          </w:tcPr>
          <w:p w14:paraId="627F326B" w14:textId="1DBAA05D" w:rsidR="00926BD3" w:rsidRDefault="0050185A"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#22: OppLoans</w:t>
            </w:r>
          </w:p>
        </w:tc>
        <w:tc>
          <w:tcPr>
            <w:tcW w:w="1267" w:type="dxa"/>
            <w:tcBorders>
              <w:top w:val="single" w:sz="4" w:space="0" w:color="auto"/>
              <w:left w:val="single" w:sz="2" w:space="0" w:color="0070C0"/>
              <w:bottom w:val="single" w:sz="4" w:space="0" w:color="000000"/>
              <w:right w:val="single" w:sz="12" w:space="0" w:color="000000"/>
            </w:tcBorders>
            <w:shd w:val="clear" w:color="auto" w:fill="EAF1DD" w:themeFill="accent3" w:themeFillTint="33"/>
            <w:vAlign w:val="center"/>
          </w:tcPr>
          <w:p w14:paraId="44BE2DE7" w14:textId="6AC3A993" w:rsidR="00926BD3" w:rsidRDefault="0050185A"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657</w:t>
            </w:r>
          </w:p>
        </w:tc>
      </w:tr>
      <w:tr w:rsidR="00926BD3" w:rsidRPr="00DB5378" w14:paraId="1435C787" w14:textId="77777777" w:rsidTr="003478C3">
        <w:tblPrEx>
          <w:tblBorders>
            <w:top w:val="none" w:sz="0" w:space="0" w:color="auto"/>
          </w:tblBorders>
        </w:tblPrEx>
        <w:trPr>
          <w:jc w:val="center"/>
        </w:trPr>
        <w:tc>
          <w:tcPr>
            <w:tcW w:w="3791" w:type="dxa"/>
            <w:tcBorders>
              <w:top w:val="single" w:sz="4" w:space="0" w:color="000000"/>
              <w:left w:val="single" w:sz="12" w:space="0" w:color="000000"/>
              <w:bottom w:val="single" w:sz="12" w:space="0" w:color="auto"/>
              <w:right w:val="single" w:sz="2" w:space="0" w:color="0070C0"/>
            </w:tcBorders>
            <w:vAlign w:val="center"/>
          </w:tcPr>
          <w:p w14:paraId="1415A077" w14:textId="3AA5A39D" w:rsidR="00926BD3" w:rsidRPr="00DB5378" w:rsidRDefault="00926BD3" w:rsidP="00A32846">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#11: Citi</w:t>
            </w:r>
          </w:p>
        </w:tc>
        <w:tc>
          <w:tcPr>
            <w:tcW w:w="1267" w:type="dxa"/>
            <w:tcBorders>
              <w:top w:val="single" w:sz="4" w:space="0" w:color="000000"/>
              <w:left w:val="single" w:sz="2" w:space="0" w:color="0070C0"/>
              <w:bottom w:val="single" w:sz="12" w:space="0" w:color="auto"/>
              <w:right w:val="single" w:sz="18" w:space="0" w:color="0070C0"/>
            </w:tcBorders>
            <w:shd w:val="clear" w:color="auto" w:fill="D6E3BC" w:themeFill="accent3" w:themeFillTint="66"/>
            <w:vAlign w:val="center"/>
          </w:tcPr>
          <w:p w14:paraId="1CB9C375" w14:textId="62AE8C74" w:rsidR="00926BD3" w:rsidRPr="00DB5378" w:rsidRDefault="00926BD3"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721</w:t>
            </w:r>
          </w:p>
        </w:tc>
        <w:tc>
          <w:tcPr>
            <w:tcW w:w="3787" w:type="dxa"/>
            <w:tcBorders>
              <w:top w:val="single" w:sz="4" w:space="0" w:color="000000"/>
              <w:left w:val="single" w:sz="18" w:space="0" w:color="0070C0"/>
              <w:bottom w:val="single" w:sz="12" w:space="0" w:color="auto"/>
              <w:right w:val="single" w:sz="2" w:space="0" w:color="0070C0"/>
            </w:tcBorders>
            <w:shd w:val="clear" w:color="auto" w:fill="F2F2F2" w:themeFill="background1" w:themeFillShade="F2"/>
            <w:vAlign w:val="center"/>
          </w:tcPr>
          <w:p w14:paraId="1D8C2B42" w14:textId="77777777" w:rsidR="00926BD3" w:rsidRPr="00DB5378" w:rsidRDefault="00926BD3"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p>
        </w:tc>
        <w:tc>
          <w:tcPr>
            <w:tcW w:w="1267" w:type="dxa"/>
            <w:tcBorders>
              <w:top w:val="single" w:sz="4" w:space="0" w:color="000000"/>
              <w:left w:val="single" w:sz="2" w:space="0" w:color="0070C0"/>
              <w:bottom w:val="single" w:sz="12" w:space="0" w:color="auto"/>
              <w:right w:val="single" w:sz="12" w:space="0" w:color="000000"/>
            </w:tcBorders>
            <w:shd w:val="clear" w:color="auto" w:fill="F2F2F2" w:themeFill="background1" w:themeFillShade="F2"/>
            <w:vAlign w:val="center"/>
          </w:tcPr>
          <w:p w14:paraId="25644EF5" w14:textId="77777777" w:rsidR="00926BD3" w:rsidRPr="00DB5378" w:rsidRDefault="00926BD3" w:rsidP="00A3284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p>
        </w:tc>
      </w:tr>
    </w:tbl>
    <w:p w14:paraId="6E343432" w14:textId="015255AA" w:rsidR="00926BD3" w:rsidRDefault="0050185A" w:rsidP="0050185A">
      <w:pPr>
        <w:spacing w:after="0" w:line="240" w:lineRule="auto"/>
        <w:ind w:hanging="360"/>
        <w:contextualSpacing/>
        <w:mirrorIndents/>
        <w:rPr>
          <w:rFonts w:ascii="Verdana" w:hAnsi="Verdana"/>
          <w:sz w:val="16"/>
          <w:szCs w:val="16"/>
        </w:rPr>
      </w:pPr>
      <w:r>
        <w:rPr>
          <w:rFonts w:ascii="Verdana" w:hAnsi="Verdana"/>
          <w:iCs/>
          <w:sz w:val="16"/>
          <w:szCs w:val="16"/>
        </w:rPr>
        <w:t>J.D. Power</w:t>
      </w:r>
      <w:r w:rsidR="00926BD3">
        <w:rPr>
          <w:rFonts w:ascii="Verdana" w:hAnsi="Verdana"/>
          <w:iCs/>
          <w:sz w:val="16"/>
          <w:szCs w:val="16"/>
        </w:rPr>
        <w:t>, May 2022</w:t>
      </w:r>
    </w:p>
    <w:p w14:paraId="78E679E8" w14:textId="77777777" w:rsidR="00F94CE8" w:rsidRDefault="00F94CE8" w:rsidP="00F94CE8">
      <w:pPr>
        <w:pStyle w:val="NoSpacing"/>
        <w:contextualSpacing/>
        <w:rPr>
          <w:sz w:val="20"/>
          <w:szCs w:val="20"/>
        </w:rPr>
      </w:pPr>
    </w:p>
    <w:p w14:paraId="3CDFB8E2" w14:textId="77777777" w:rsidR="00F94CE8" w:rsidRDefault="00F94CE8" w:rsidP="00F94CE8">
      <w:pPr>
        <w:pStyle w:val="NoSpacing"/>
        <w:contextualSpacing/>
        <w:rPr>
          <w:sz w:val="20"/>
          <w:szCs w:val="20"/>
        </w:rPr>
      </w:pPr>
    </w:p>
    <w:p w14:paraId="14500FC4" w14:textId="3AB94F97" w:rsidR="00F94CE8" w:rsidRDefault="00F94CE8" w:rsidP="00F94CE8">
      <w:pPr>
        <w:pStyle w:val="NoSpacing"/>
        <w:contextualSpacing/>
        <w:rPr>
          <w:sz w:val="20"/>
          <w:szCs w:val="20"/>
        </w:rPr>
      </w:pPr>
    </w:p>
    <w:p w14:paraId="722F2620" w14:textId="15D68467" w:rsidR="00EA02C9" w:rsidRDefault="00EA02C9" w:rsidP="00F94CE8">
      <w:pPr>
        <w:pStyle w:val="NoSpacing"/>
        <w:contextualSpacing/>
        <w:rPr>
          <w:sz w:val="20"/>
          <w:szCs w:val="20"/>
        </w:rPr>
      </w:pPr>
    </w:p>
    <w:p w14:paraId="61A210BF" w14:textId="21696B78" w:rsidR="00EA02C9" w:rsidRDefault="00EA02C9" w:rsidP="00F94CE8">
      <w:pPr>
        <w:pStyle w:val="NoSpacing"/>
        <w:contextualSpacing/>
        <w:rPr>
          <w:sz w:val="20"/>
          <w:szCs w:val="20"/>
        </w:rPr>
      </w:pPr>
    </w:p>
    <w:p w14:paraId="644CACA3" w14:textId="6C87E572" w:rsidR="00EA02C9" w:rsidRDefault="00EA02C9" w:rsidP="00F94CE8">
      <w:pPr>
        <w:pStyle w:val="NoSpacing"/>
        <w:contextualSpacing/>
        <w:rPr>
          <w:sz w:val="20"/>
          <w:szCs w:val="20"/>
        </w:rPr>
      </w:pPr>
    </w:p>
    <w:p w14:paraId="347A2666" w14:textId="4D1FE4C1" w:rsidR="00EA02C9" w:rsidRDefault="00EA02C9" w:rsidP="00F94CE8">
      <w:pPr>
        <w:pStyle w:val="NoSpacing"/>
        <w:contextualSpacing/>
        <w:rPr>
          <w:sz w:val="20"/>
          <w:szCs w:val="20"/>
        </w:rPr>
      </w:pPr>
    </w:p>
    <w:p w14:paraId="5B97A7D0" w14:textId="640DBF63" w:rsidR="00EA02C9" w:rsidRDefault="00EA02C9" w:rsidP="00F94CE8">
      <w:pPr>
        <w:pStyle w:val="NoSpacing"/>
        <w:contextualSpacing/>
        <w:rPr>
          <w:sz w:val="20"/>
          <w:szCs w:val="20"/>
        </w:rPr>
      </w:pPr>
    </w:p>
    <w:p w14:paraId="7E741739" w14:textId="46ABD2E1" w:rsidR="00EA02C9" w:rsidRDefault="00EA02C9" w:rsidP="00F94CE8">
      <w:pPr>
        <w:pStyle w:val="NoSpacing"/>
        <w:contextualSpacing/>
        <w:rPr>
          <w:sz w:val="20"/>
          <w:szCs w:val="20"/>
        </w:rPr>
      </w:pPr>
    </w:p>
    <w:p w14:paraId="48C5CE3D" w14:textId="6785E575" w:rsidR="00EA02C9" w:rsidRDefault="00EA02C9" w:rsidP="00F94CE8">
      <w:pPr>
        <w:pStyle w:val="NoSpacing"/>
        <w:contextualSpacing/>
        <w:rPr>
          <w:sz w:val="20"/>
          <w:szCs w:val="20"/>
        </w:rPr>
      </w:pPr>
    </w:p>
    <w:p w14:paraId="78E744C3" w14:textId="26795ED0" w:rsidR="00EA02C9" w:rsidRDefault="00EA02C9" w:rsidP="00F94CE8">
      <w:pPr>
        <w:pStyle w:val="NoSpacing"/>
        <w:contextualSpacing/>
        <w:rPr>
          <w:sz w:val="20"/>
          <w:szCs w:val="20"/>
        </w:rPr>
      </w:pPr>
    </w:p>
    <w:p w14:paraId="4859E979" w14:textId="77777777" w:rsidR="00EA02C9" w:rsidRDefault="00EA02C9" w:rsidP="00F94CE8">
      <w:pPr>
        <w:pStyle w:val="NoSpacing"/>
        <w:contextualSpacing/>
        <w:rPr>
          <w:sz w:val="20"/>
          <w:szCs w:val="20"/>
        </w:rPr>
      </w:pPr>
    </w:p>
    <w:p w14:paraId="5E798886" w14:textId="77777777" w:rsidR="00F94CE8" w:rsidRDefault="00F94CE8" w:rsidP="00F94CE8">
      <w:pPr>
        <w:pStyle w:val="NoSpacing"/>
        <w:contextualSpacing/>
        <w:rPr>
          <w:sz w:val="20"/>
          <w:szCs w:val="20"/>
        </w:rPr>
      </w:pPr>
    </w:p>
    <w:p w14:paraId="777770F7" w14:textId="77777777" w:rsidR="00F94CE8" w:rsidRDefault="00F94CE8" w:rsidP="00F94CE8">
      <w:pPr>
        <w:pStyle w:val="NoSpacing"/>
        <w:contextualSpacing/>
        <w:rPr>
          <w:sz w:val="20"/>
          <w:szCs w:val="20"/>
        </w:rPr>
      </w:pPr>
    </w:p>
    <w:p w14:paraId="3C35B056" w14:textId="77777777" w:rsidR="00F94CE8" w:rsidRDefault="00F94CE8" w:rsidP="00F94CE8">
      <w:pPr>
        <w:pStyle w:val="NoSpacing"/>
        <w:contextualSpacing/>
        <w:rPr>
          <w:sz w:val="20"/>
          <w:szCs w:val="20"/>
        </w:rPr>
      </w:pPr>
    </w:p>
    <w:p w14:paraId="72BAAFC7" w14:textId="61CD927B" w:rsidR="00F94CE8" w:rsidRPr="00EA02C9" w:rsidRDefault="00F94CE8" w:rsidP="00F94CE8">
      <w:pPr>
        <w:spacing w:after="0" w:line="240" w:lineRule="auto"/>
        <w:rPr>
          <w:rFonts w:ascii="Verdana" w:hAnsi="Verdana"/>
          <w:sz w:val="16"/>
          <w:szCs w:val="16"/>
        </w:rPr>
      </w:pPr>
      <w:r w:rsidRPr="00EA02C9">
        <w:rPr>
          <w:rFonts w:ascii="Verdana" w:hAnsi="Verdana"/>
          <w:i/>
          <w:sz w:val="16"/>
          <w:szCs w:val="16"/>
        </w:rPr>
        <w:t>Sources:</w:t>
      </w:r>
      <w:r w:rsidRPr="00EA02C9">
        <w:rPr>
          <w:rFonts w:ascii="Verdana" w:hAnsi="Verdana"/>
          <w:sz w:val="16"/>
          <w:szCs w:val="16"/>
        </w:rPr>
        <w:t xml:space="preserve"> </w:t>
      </w:r>
      <w:r w:rsidR="00EA02C9" w:rsidRPr="00EA02C9">
        <w:rPr>
          <w:sz w:val="16"/>
          <w:szCs w:val="16"/>
        </w:rPr>
        <w:t xml:space="preserve">U.S. Federal Reserve </w:t>
      </w:r>
      <w:r w:rsidRPr="00EA02C9">
        <w:rPr>
          <w:rFonts w:ascii="Verdana" w:hAnsi="Verdana"/>
          <w:sz w:val="16"/>
          <w:szCs w:val="16"/>
        </w:rPr>
        <w:t xml:space="preserve">Website, </w:t>
      </w:r>
      <w:r w:rsidR="005610BD" w:rsidRPr="00EA02C9">
        <w:rPr>
          <w:rFonts w:ascii="Verdana" w:hAnsi="Verdana"/>
          <w:sz w:val="16"/>
          <w:szCs w:val="16"/>
        </w:rPr>
        <w:t>5</w:t>
      </w:r>
      <w:r w:rsidR="00306D88" w:rsidRPr="00EA02C9">
        <w:rPr>
          <w:rFonts w:ascii="Verdana" w:hAnsi="Verdana"/>
          <w:sz w:val="16"/>
          <w:szCs w:val="16"/>
        </w:rPr>
        <w:t>/</w:t>
      </w:r>
      <w:r w:rsidR="00AE6B2A" w:rsidRPr="00EA02C9">
        <w:rPr>
          <w:rFonts w:ascii="Verdana" w:hAnsi="Verdana"/>
          <w:sz w:val="16"/>
          <w:szCs w:val="16"/>
        </w:rPr>
        <w:t>2</w:t>
      </w:r>
      <w:r w:rsidR="00C8473A" w:rsidRPr="00EA02C9">
        <w:rPr>
          <w:rFonts w:ascii="Verdana" w:hAnsi="Verdana"/>
          <w:sz w:val="16"/>
          <w:szCs w:val="16"/>
        </w:rPr>
        <w:t>2</w:t>
      </w:r>
      <w:r w:rsidRPr="00EA02C9">
        <w:rPr>
          <w:rFonts w:ascii="Verdana" w:hAnsi="Verdana"/>
          <w:sz w:val="16"/>
          <w:szCs w:val="16"/>
        </w:rPr>
        <w:t xml:space="preserve">; </w:t>
      </w:r>
      <w:r w:rsidR="00EA02C9" w:rsidRPr="00EA02C9">
        <w:rPr>
          <w:sz w:val="16"/>
          <w:szCs w:val="16"/>
        </w:rPr>
        <w:t xml:space="preserve">Federal Reserve Bank of New York </w:t>
      </w:r>
      <w:r w:rsidRPr="00EA02C9">
        <w:rPr>
          <w:rFonts w:ascii="Verdana" w:hAnsi="Verdana"/>
          <w:sz w:val="16"/>
          <w:szCs w:val="16"/>
        </w:rPr>
        <w:t xml:space="preserve">Website, </w:t>
      </w:r>
      <w:r w:rsidR="005610BD" w:rsidRPr="00EA02C9">
        <w:rPr>
          <w:rFonts w:ascii="Verdana" w:hAnsi="Verdana"/>
          <w:sz w:val="16"/>
          <w:szCs w:val="16"/>
        </w:rPr>
        <w:t>5</w:t>
      </w:r>
      <w:r w:rsidR="004E421A" w:rsidRPr="00EA02C9">
        <w:rPr>
          <w:rFonts w:ascii="Verdana" w:hAnsi="Verdana"/>
          <w:sz w:val="16"/>
          <w:szCs w:val="16"/>
        </w:rPr>
        <w:t>/</w:t>
      </w:r>
      <w:r w:rsidR="00AE6B2A" w:rsidRPr="00EA02C9">
        <w:rPr>
          <w:rFonts w:ascii="Verdana" w:hAnsi="Verdana"/>
          <w:sz w:val="16"/>
          <w:szCs w:val="16"/>
        </w:rPr>
        <w:t>2</w:t>
      </w:r>
      <w:r w:rsidR="00C8473A" w:rsidRPr="00EA02C9">
        <w:rPr>
          <w:rFonts w:ascii="Verdana" w:hAnsi="Verdana"/>
          <w:sz w:val="16"/>
          <w:szCs w:val="16"/>
        </w:rPr>
        <w:t>2</w:t>
      </w:r>
      <w:r w:rsidRPr="00EA02C9">
        <w:rPr>
          <w:rFonts w:ascii="Verdana" w:hAnsi="Verdana"/>
          <w:sz w:val="16"/>
          <w:szCs w:val="16"/>
        </w:rPr>
        <w:t xml:space="preserve">; </w:t>
      </w:r>
      <w:r w:rsidR="00EA02C9" w:rsidRPr="00EA02C9">
        <w:rPr>
          <w:sz w:val="16"/>
          <w:szCs w:val="16"/>
        </w:rPr>
        <w:t>Redfin</w:t>
      </w:r>
      <w:r w:rsidR="00EA02C9" w:rsidRPr="00EA02C9">
        <w:rPr>
          <w:rFonts w:ascii="Verdana" w:hAnsi="Verdana"/>
          <w:sz w:val="16"/>
          <w:szCs w:val="16"/>
        </w:rPr>
        <w:t xml:space="preserve"> </w:t>
      </w:r>
      <w:r w:rsidRPr="00EA02C9">
        <w:rPr>
          <w:rFonts w:ascii="Verdana" w:hAnsi="Verdana"/>
          <w:sz w:val="16"/>
          <w:szCs w:val="16"/>
        </w:rPr>
        <w:t>Website</w:t>
      </w:r>
      <w:r w:rsidR="00A00453" w:rsidRPr="00EA02C9">
        <w:rPr>
          <w:rFonts w:ascii="Verdana" w:hAnsi="Verdana"/>
          <w:sz w:val="16"/>
          <w:szCs w:val="16"/>
        </w:rPr>
        <w:t xml:space="preserve">, </w:t>
      </w:r>
      <w:r w:rsidR="005610BD" w:rsidRPr="00EA02C9">
        <w:rPr>
          <w:rFonts w:ascii="Verdana" w:hAnsi="Verdana"/>
          <w:sz w:val="16"/>
          <w:szCs w:val="16"/>
        </w:rPr>
        <w:t>5</w:t>
      </w:r>
      <w:r w:rsidR="00306D88" w:rsidRPr="00EA02C9">
        <w:rPr>
          <w:rFonts w:ascii="Verdana" w:hAnsi="Verdana"/>
          <w:sz w:val="16"/>
          <w:szCs w:val="16"/>
        </w:rPr>
        <w:t>/</w:t>
      </w:r>
      <w:r w:rsidR="00AE6B2A" w:rsidRPr="00EA02C9">
        <w:rPr>
          <w:rFonts w:ascii="Verdana" w:hAnsi="Verdana"/>
          <w:sz w:val="16"/>
          <w:szCs w:val="16"/>
        </w:rPr>
        <w:t>2</w:t>
      </w:r>
      <w:r w:rsidR="00C8473A" w:rsidRPr="00EA02C9">
        <w:rPr>
          <w:rFonts w:ascii="Verdana" w:hAnsi="Verdana"/>
          <w:sz w:val="16"/>
          <w:szCs w:val="16"/>
        </w:rPr>
        <w:t>2</w:t>
      </w:r>
      <w:r w:rsidR="00EA02C9">
        <w:rPr>
          <w:rFonts w:ascii="Verdana" w:hAnsi="Verdana"/>
          <w:sz w:val="16"/>
          <w:szCs w:val="16"/>
        </w:rPr>
        <w:t xml:space="preserve">; </w:t>
      </w:r>
      <w:r w:rsidR="00EA02C9" w:rsidRPr="00EA02C9">
        <w:rPr>
          <w:sz w:val="16"/>
          <w:szCs w:val="16"/>
        </w:rPr>
        <w:t>US Census Bureau Website</w:t>
      </w:r>
      <w:r w:rsidR="00EA02C9" w:rsidRPr="00EA02C9">
        <w:rPr>
          <w:rFonts w:ascii="Verdana" w:hAnsi="Verdana"/>
          <w:sz w:val="16"/>
          <w:szCs w:val="16"/>
        </w:rPr>
        <w:t>, 5/22;</w:t>
      </w:r>
      <w:r w:rsidR="00EA02C9" w:rsidRPr="00EA02C9">
        <w:rPr>
          <w:sz w:val="16"/>
          <w:szCs w:val="16"/>
        </w:rPr>
        <w:t xml:space="preserve"> </w:t>
      </w:r>
      <w:r w:rsidR="00EA02C9" w:rsidRPr="00EA02C9">
        <w:rPr>
          <w:sz w:val="16"/>
          <w:szCs w:val="16"/>
        </w:rPr>
        <w:t>Bankrate Website</w:t>
      </w:r>
      <w:r w:rsidR="00EA02C9" w:rsidRPr="00EA02C9">
        <w:rPr>
          <w:rFonts w:ascii="Verdana" w:hAnsi="Verdana"/>
          <w:sz w:val="16"/>
          <w:szCs w:val="16"/>
        </w:rPr>
        <w:t>, 5/22;</w:t>
      </w:r>
      <w:r w:rsidR="00EA02C9" w:rsidRPr="00EA02C9">
        <w:rPr>
          <w:sz w:val="16"/>
          <w:szCs w:val="16"/>
        </w:rPr>
        <w:t xml:space="preserve"> </w:t>
      </w:r>
      <w:r w:rsidR="00EA02C9" w:rsidRPr="00EA02C9">
        <w:rPr>
          <w:sz w:val="16"/>
          <w:szCs w:val="16"/>
        </w:rPr>
        <w:t>Mortgage Bankers Association Website</w:t>
      </w:r>
      <w:r w:rsidR="00EA02C9" w:rsidRPr="00EA02C9">
        <w:rPr>
          <w:rFonts w:ascii="Verdana" w:hAnsi="Verdana"/>
          <w:sz w:val="16"/>
          <w:szCs w:val="16"/>
        </w:rPr>
        <w:t>, 5/22;</w:t>
      </w:r>
      <w:r w:rsidR="00EA02C9" w:rsidRPr="00EA02C9">
        <w:rPr>
          <w:sz w:val="16"/>
          <w:szCs w:val="16"/>
        </w:rPr>
        <w:t xml:space="preserve"> </w:t>
      </w:r>
      <w:r w:rsidR="00EA02C9" w:rsidRPr="00EA02C9">
        <w:rPr>
          <w:i/>
          <w:iCs/>
          <w:sz w:val="16"/>
          <w:szCs w:val="16"/>
        </w:rPr>
        <w:t>Automotive News</w:t>
      </w:r>
      <w:r w:rsidR="00EA02C9" w:rsidRPr="00EA02C9">
        <w:rPr>
          <w:sz w:val="16"/>
          <w:szCs w:val="16"/>
        </w:rPr>
        <w:t xml:space="preserve"> Website</w:t>
      </w:r>
      <w:r w:rsidR="00EA02C9" w:rsidRPr="00EA02C9">
        <w:rPr>
          <w:rFonts w:ascii="Verdana" w:hAnsi="Verdana"/>
          <w:sz w:val="16"/>
          <w:szCs w:val="16"/>
        </w:rPr>
        <w:t>, 5/22;</w:t>
      </w:r>
      <w:r w:rsidR="00EA02C9" w:rsidRPr="00EA02C9">
        <w:rPr>
          <w:sz w:val="16"/>
          <w:szCs w:val="16"/>
        </w:rPr>
        <w:t xml:space="preserve"> </w:t>
      </w:r>
      <w:r w:rsidR="00EA02C9" w:rsidRPr="00EA02C9">
        <w:rPr>
          <w:i/>
          <w:iCs/>
          <w:sz w:val="16"/>
          <w:szCs w:val="16"/>
        </w:rPr>
        <w:t>U.S. News &amp; World Report</w:t>
      </w:r>
      <w:r w:rsidR="00EA02C9" w:rsidRPr="00EA02C9">
        <w:rPr>
          <w:sz w:val="16"/>
          <w:szCs w:val="16"/>
        </w:rPr>
        <w:t xml:space="preserve"> Website</w:t>
      </w:r>
      <w:r w:rsidR="00EA02C9" w:rsidRPr="00EA02C9">
        <w:rPr>
          <w:rFonts w:ascii="Verdana" w:hAnsi="Verdana"/>
          <w:sz w:val="16"/>
          <w:szCs w:val="16"/>
        </w:rPr>
        <w:t>, 5/22;</w:t>
      </w:r>
      <w:r w:rsidR="00EA02C9" w:rsidRPr="00EA02C9">
        <w:rPr>
          <w:sz w:val="16"/>
          <w:szCs w:val="16"/>
        </w:rPr>
        <w:t xml:space="preserve"> </w:t>
      </w:r>
      <w:r w:rsidR="00EA02C9" w:rsidRPr="00EA02C9">
        <w:rPr>
          <w:sz w:val="16"/>
          <w:szCs w:val="16"/>
        </w:rPr>
        <w:t>CNBC Website</w:t>
      </w:r>
      <w:r w:rsidR="00EA02C9" w:rsidRPr="00EA02C9">
        <w:rPr>
          <w:rFonts w:ascii="Verdana" w:hAnsi="Verdana"/>
          <w:sz w:val="16"/>
          <w:szCs w:val="16"/>
        </w:rPr>
        <w:t>, 5/22;</w:t>
      </w:r>
      <w:r w:rsidR="00EA02C9" w:rsidRPr="00EA02C9">
        <w:rPr>
          <w:sz w:val="16"/>
          <w:szCs w:val="16"/>
        </w:rPr>
        <w:t xml:space="preserve"> </w:t>
      </w:r>
      <w:r w:rsidR="00EA02C9" w:rsidRPr="00EA02C9">
        <w:rPr>
          <w:sz w:val="16"/>
          <w:szCs w:val="16"/>
        </w:rPr>
        <w:t>Morning Consult Website</w:t>
      </w:r>
      <w:r w:rsidR="00EA02C9" w:rsidRPr="00EA02C9">
        <w:rPr>
          <w:rFonts w:ascii="Verdana" w:hAnsi="Verdana"/>
          <w:sz w:val="16"/>
          <w:szCs w:val="16"/>
        </w:rPr>
        <w:t>, 5/22;</w:t>
      </w:r>
      <w:r w:rsidR="00EA02C9" w:rsidRPr="00EA02C9">
        <w:rPr>
          <w:sz w:val="16"/>
          <w:szCs w:val="16"/>
        </w:rPr>
        <w:t xml:space="preserve"> </w:t>
      </w:r>
      <w:r w:rsidR="00EA02C9" w:rsidRPr="00EA02C9">
        <w:rPr>
          <w:sz w:val="16"/>
          <w:szCs w:val="16"/>
        </w:rPr>
        <w:t>The Media Audit Website</w:t>
      </w:r>
      <w:r w:rsidR="00EA02C9" w:rsidRPr="00EA02C9">
        <w:rPr>
          <w:rFonts w:ascii="Verdana" w:hAnsi="Verdana"/>
          <w:sz w:val="16"/>
          <w:szCs w:val="16"/>
        </w:rPr>
        <w:t>, 5/22;</w:t>
      </w:r>
      <w:r w:rsidR="00EA02C9" w:rsidRPr="00EA02C9">
        <w:rPr>
          <w:sz w:val="16"/>
          <w:szCs w:val="16"/>
        </w:rPr>
        <w:t xml:space="preserve"> </w:t>
      </w:r>
      <w:r w:rsidR="00EA02C9" w:rsidRPr="00EA02C9">
        <w:rPr>
          <w:sz w:val="16"/>
          <w:szCs w:val="16"/>
        </w:rPr>
        <w:t>CBS News Website</w:t>
      </w:r>
      <w:r w:rsidR="00EA02C9" w:rsidRPr="00EA02C9">
        <w:rPr>
          <w:rFonts w:ascii="Verdana" w:hAnsi="Verdana"/>
          <w:sz w:val="16"/>
          <w:szCs w:val="16"/>
        </w:rPr>
        <w:t>, 5/22;</w:t>
      </w:r>
      <w:r w:rsidR="00EA02C9" w:rsidRPr="00EA02C9">
        <w:rPr>
          <w:sz w:val="16"/>
          <w:szCs w:val="16"/>
        </w:rPr>
        <w:t xml:space="preserve"> </w:t>
      </w:r>
      <w:r w:rsidR="00EA02C9" w:rsidRPr="00EA02C9">
        <w:rPr>
          <w:sz w:val="16"/>
          <w:szCs w:val="16"/>
        </w:rPr>
        <w:t>US Department of Education Website</w:t>
      </w:r>
      <w:r w:rsidR="00EA02C9" w:rsidRPr="00EA02C9">
        <w:rPr>
          <w:rFonts w:ascii="Verdana" w:hAnsi="Verdana"/>
          <w:sz w:val="16"/>
          <w:szCs w:val="16"/>
        </w:rPr>
        <w:t>, 5/22;</w:t>
      </w:r>
      <w:r w:rsidR="00EA02C9" w:rsidRPr="00EA02C9">
        <w:rPr>
          <w:sz w:val="16"/>
          <w:szCs w:val="16"/>
        </w:rPr>
        <w:t xml:space="preserve"> </w:t>
      </w:r>
      <w:r w:rsidR="00EA02C9" w:rsidRPr="00EA02C9">
        <w:rPr>
          <w:sz w:val="16"/>
          <w:szCs w:val="16"/>
        </w:rPr>
        <w:t>Education Data Initiative Website</w:t>
      </w:r>
      <w:r w:rsidR="00EA02C9" w:rsidRPr="00EA02C9">
        <w:rPr>
          <w:rFonts w:ascii="Verdana" w:hAnsi="Verdana"/>
          <w:sz w:val="16"/>
          <w:szCs w:val="16"/>
        </w:rPr>
        <w:t>, 5/22;</w:t>
      </w:r>
      <w:r w:rsidR="00EA02C9" w:rsidRPr="00EA02C9">
        <w:rPr>
          <w:sz w:val="16"/>
          <w:szCs w:val="16"/>
        </w:rPr>
        <w:t xml:space="preserve"> </w:t>
      </w:r>
      <w:r w:rsidR="00EA02C9" w:rsidRPr="00EA02C9">
        <w:rPr>
          <w:sz w:val="16"/>
          <w:szCs w:val="16"/>
        </w:rPr>
        <w:t>American Bankers Association Banking Journal Website</w:t>
      </w:r>
      <w:r w:rsidR="00EA02C9" w:rsidRPr="00EA02C9">
        <w:rPr>
          <w:rFonts w:ascii="Verdana" w:hAnsi="Verdana"/>
          <w:sz w:val="16"/>
          <w:szCs w:val="16"/>
        </w:rPr>
        <w:t>, 5/22;</w:t>
      </w:r>
      <w:r w:rsidR="00EA02C9" w:rsidRPr="00EA02C9">
        <w:rPr>
          <w:sz w:val="16"/>
          <w:szCs w:val="16"/>
        </w:rPr>
        <w:t xml:space="preserve"> </w:t>
      </w:r>
      <w:r w:rsidR="00EA02C9" w:rsidRPr="00EA02C9">
        <w:rPr>
          <w:sz w:val="16"/>
          <w:szCs w:val="16"/>
        </w:rPr>
        <w:t>J.D. Power Website</w:t>
      </w:r>
      <w:r w:rsidR="00EA02C9" w:rsidRPr="00EA02C9">
        <w:rPr>
          <w:rFonts w:ascii="Verdana" w:hAnsi="Verdana"/>
          <w:sz w:val="16"/>
          <w:szCs w:val="16"/>
        </w:rPr>
        <w:t>, 5/22</w:t>
      </w:r>
      <w:r w:rsidR="00EA02C9">
        <w:rPr>
          <w:rFonts w:ascii="Verdana" w:hAnsi="Verdana"/>
          <w:sz w:val="16"/>
          <w:szCs w:val="16"/>
        </w:rPr>
        <w:t>.</w:t>
      </w:r>
    </w:p>
    <w:p w14:paraId="7EF64BA4" w14:textId="77777777" w:rsidR="00F94CE8" w:rsidRPr="00690E6A" w:rsidRDefault="00F94CE8" w:rsidP="00F94CE8">
      <w:pPr>
        <w:spacing w:after="0" w:line="240" w:lineRule="auto"/>
        <w:rPr>
          <w:rFonts w:ascii="Verdana" w:hAnsi="Verdana"/>
          <w:sz w:val="16"/>
        </w:rPr>
      </w:pPr>
    </w:p>
    <w:p w14:paraId="49C0D793" w14:textId="46F3EC19" w:rsidR="00F94CE8" w:rsidRPr="00690E6A" w:rsidRDefault="00F94CE8" w:rsidP="00F94CE8">
      <w:pPr>
        <w:spacing w:after="0" w:line="240" w:lineRule="auto"/>
        <w:rPr>
          <w:rFonts w:ascii="Verdana" w:hAnsi="Verdana"/>
          <w:strike/>
          <w:sz w:val="16"/>
        </w:rPr>
      </w:pPr>
      <w:r w:rsidRPr="00690E6A">
        <w:rPr>
          <w:rFonts w:ascii="Verdana" w:hAnsi="Verdana"/>
          <w:i/>
          <w:sz w:val="16"/>
        </w:rPr>
        <w:t>Updated</w:t>
      </w:r>
      <w:r w:rsidR="003F0FE1">
        <w:rPr>
          <w:rFonts w:ascii="Verdana" w:hAnsi="Verdana"/>
          <w:sz w:val="16"/>
        </w:rPr>
        <w:t xml:space="preserve">: </w:t>
      </w:r>
      <w:r w:rsidR="005610BD">
        <w:rPr>
          <w:rFonts w:ascii="Verdana" w:hAnsi="Verdana"/>
          <w:sz w:val="16"/>
        </w:rPr>
        <w:t>May</w:t>
      </w:r>
      <w:r w:rsidR="00C8473A">
        <w:rPr>
          <w:rFonts w:ascii="Verdana" w:hAnsi="Verdana"/>
          <w:sz w:val="16"/>
        </w:rPr>
        <w:t xml:space="preserve"> 2022</w:t>
      </w:r>
    </w:p>
    <w:p w14:paraId="061B0C21" w14:textId="77777777" w:rsidR="00F94CE8" w:rsidRDefault="00F94CE8" w:rsidP="00F94CE8">
      <w:pPr>
        <w:pStyle w:val="NoSpacing"/>
        <w:contextualSpacing/>
        <w:rPr>
          <w:sz w:val="20"/>
          <w:szCs w:val="20"/>
        </w:rPr>
      </w:pPr>
    </w:p>
    <w:p w14:paraId="56AD0CC7" w14:textId="00868E95" w:rsidR="00F94CE8" w:rsidRPr="00FF1EBA" w:rsidRDefault="00F94CE8" w:rsidP="00F94CE8">
      <w:pPr>
        <w:pStyle w:val="NoSpacing"/>
        <w:contextualSpacing/>
        <w:rPr>
          <w:sz w:val="16"/>
          <w:szCs w:val="16"/>
        </w:rPr>
      </w:pPr>
      <w:r w:rsidRPr="00FF1EBA">
        <w:rPr>
          <w:rFonts w:ascii="Verdana" w:hAnsi="Verdana"/>
          <w:sz w:val="16"/>
          <w:szCs w:val="16"/>
        </w:rPr>
        <w:t>©</w:t>
      </w:r>
      <w:r w:rsidR="00306D88">
        <w:rPr>
          <w:sz w:val="16"/>
          <w:szCs w:val="16"/>
        </w:rPr>
        <w:t xml:space="preserve"> 20</w:t>
      </w:r>
      <w:r w:rsidR="00AE6B2A">
        <w:rPr>
          <w:sz w:val="16"/>
          <w:szCs w:val="16"/>
        </w:rPr>
        <w:t>2</w:t>
      </w:r>
      <w:r w:rsidR="00C8473A">
        <w:rPr>
          <w:sz w:val="16"/>
          <w:szCs w:val="16"/>
        </w:rPr>
        <w:t>2</w:t>
      </w:r>
      <w:r>
        <w:rPr>
          <w:sz w:val="16"/>
          <w:szCs w:val="16"/>
        </w:rPr>
        <w:t xml:space="preserve"> Media Group Online, Inc</w:t>
      </w:r>
      <w:r w:rsidRPr="00FF1EBA">
        <w:rPr>
          <w:sz w:val="16"/>
          <w:szCs w:val="16"/>
        </w:rPr>
        <w:t>. All rights reserved.</w:t>
      </w:r>
    </w:p>
    <w:p w14:paraId="47D01060" w14:textId="64A6C5D5" w:rsidR="00F94CE8" w:rsidRDefault="00F94CE8" w:rsidP="00260DE9">
      <w:pPr>
        <w:pStyle w:val="NoSpacing"/>
        <w:rPr>
          <w:sz w:val="20"/>
          <w:szCs w:val="20"/>
        </w:rPr>
      </w:pPr>
    </w:p>
    <w:p w14:paraId="6D0066ED" w14:textId="4379772D" w:rsidR="00AE1F72" w:rsidRDefault="00AE1F72" w:rsidP="00260DE9">
      <w:pPr>
        <w:pStyle w:val="NoSpacing"/>
        <w:rPr>
          <w:sz w:val="20"/>
          <w:szCs w:val="20"/>
        </w:rPr>
      </w:pPr>
    </w:p>
    <w:p w14:paraId="25DDD48A" w14:textId="4A2F67C8" w:rsidR="00AE1F72" w:rsidRDefault="00AE1F72">
      <w:pPr>
        <w:rPr>
          <w:sz w:val="20"/>
          <w:szCs w:val="20"/>
        </w:rPr>
      </w:pPr>
      <w:r>
        <w:rPr>
          <w:sz w:val="20"/>
          <w:szCs w:val="20"/>
        </w:rPr>
        <w:br w:type="page"/>
      </w:r>
    </w:p>
    <w:p w14:paraId="392FDD45" w14:textId="1FFC3855" w:rsidR="00AE1F72" w:rsidRPr="00720E0B" w:rsidRDefault="00AE1F72" w:rsidP="00AE1F72">
      <w:pPr>
        <w:pStyle w:val="NoSpacing"/>
        <w:jc w:val="center"/>
        <w:rPr>
          <w:b/>
          <w:color w:val="0070C0"/>
          <w:sz w:val="20"/>
          <w:szCs w:val="20"/>
        </w:rPr>
      </w:pPr>
      <w:r w:rsidRPr="00720E0B">
        <w:rPr>
          <w:b/>
          <w:color w:val="0070C0"/>
          <w:sz w:val="20"/>
          <w:szCs w:val="20"/>
        </w:rPr>
        <w:lastRenderedPageBreak/>
        <w:t xml:space="preserve">Local </w:t>
      </w:r>
      <w:r w:rsidR="0050254D">
        <w:rPr>
          <w:b/>
          <w:color w:val="0070C0"/>
          <w:sz w:val="20"/>
          <w:szCs w:val="20"/>
        </w:rPr>
        <w:t xml:space="preserve">Market </w:t>
      </w:r>
      <w:r w:rsidRPr="00720E0B">
        <w:rPr>
          <w:b/>
          <w:color w:val="0070C0"/>
          <w:sz w:val="20"/>
          <w:szCs w:val="20"/>
        </w:rPr>
        <w:t>and Station Information</w:t>
      </w:r>
    </w:p>
    <w:p w14:paraId="17AD3F99" w14:textId="77777777" w:rsidR="00AE1F72" w:rsidRPr="00260DE9" w:rsidRDefault="00AE1F72" w:rsidP="00260DE9">
      <w:pPr>
        <w:pStyle w:val="NoSpacing"/>
        <w:rPr>
          <w:sz w:val="20"/>
          <w:szCs w:val="20"/>
        </w:rPr>
      </w:pPr>
    </w:p>
    <w:sectPr w:rsidR="00AE1F72" w:rsidRPr="00260DE9" w:rsidSect="00260DE9">
      <w:headerReference w:type="default" r:id="rId8"/>
      <w:footerReference w:type="default" r:id="rId9"/>
      <w:pgSz w:w="12240" w:h="15840" w:code="1"/>
      <w:pgMar w:top="2160" w:right="1440" w:bottom="144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4761" w14:textId="77777777" w:rsidR="00041EB9" w:rsidRDefault="00041EB9" w:rsidP="00260DE9">
      <w:pPr>
        <w:spacing w:after="0" w:line="240" w:lineRule="auto"/>
      </w:pPr>
      <w:r>
        <w:separator/>
      </w:r>
    </w:p>
  </w:endnote>
  <w:endnote w:type="continuationSeparator" w:id="0">
    <w:p w14:paraId="5DC5130A" w14:textId="77777777" w:rsidR="00041EB9" w:rsidRDefault="00041EB9" w:rsidP="0026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63B7" w14:textId="77777777" w:rsidR="003E2E9B" w:rsidRDefault="003E2E9B" w:rsidP="003E2E9B">
    <w:pPr>
      <w:pStyle w:val="Footer"/>
      <w:jc w:val="center"/>
      <w:rPr>
        <w:rFonts w:ascii="Arial" w:hAnsi="Arial" w:cs="Arial"/>
        <w:sz w:val="16"/>
        <w:szCs w:val="16"/>
      </w:rPr>
    </w:pPr>
    <w:r>
      <w:rPr>
        <w:rFonts w:ascii="Arial" w:hAnsi="Arial" w:cs="Arial"/>
        <w:noProof/>
        <w:sz w:val="16"/>
        <w:szCs w:val="16"/>
      </w:rPr>
      <w:drawing>
        <wp:inline distT="0" distB="0" distL="0" distR="0" wp14:anchorId="4724D9F8" wp14:editId="6BCACCF1">
          <wp:extent cx="300990" cy="300990"/>
          <wp:effectExtent l="19050" t="0" r="3810" b="0"/>
          <wp:docPr id="4" name="Picture 3" descr="MGOlogoBlac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OlogoBlackC.png"/>
                  <pic:cNvPicPr/>
                </pic:nvPicPr>
                <pic:blipFill>
                  <a:blip r:embed="rId1"/>
                  <a:stretch>
                    <a:fillRect/>
                  </a:stretch>
                </pic:blipFill>
                <pic:spPr>
                  <a:xfrm>
                    <a:off x="0" y="0"/>
                    <a:ext cx="300942" cy="300942"/>
                  </a:xfrm>
                  <a:prstGeom prst="rect">
                    <a:avLst/>
                  </a:prstGeom>
                </pic:spPr>
              </pic:pic>
            </a:graphicData>
          </a:graphic>
        </wp:inline>
      </w:drawing>
    </w:r>
  </w:p>
  <w:p w14:paraId="688D5080" w14:textId="77777777" w:rsidR="00260DE9" w:rsidRPr="0097480E" w:rsidRDefault="00EF6AB9" w:rsidP="00EF6AB9">
    <w:pPr>
      <w:pStyle w:val="Footer"/>
      <w:jc w:val="center"/>
      <w:rPr>
        <w:rFonts w:ascii="Arial" w:hAnsi="Arial" w:cs="Arial"/>
        <w:sz w:val="16"/>
        <w:szCs w:val="16"/>
      </w:rPr>
    </w:pPr>
    <w:r w:rsidRPr="0097480E">
      <w:rPr>
        <w:rFonts w:ascii="Arial" w:hAnsi="Arial" w:cs="Arial"/>
        <w:sz w:val="16"/>
        <w:szCs w:val="16"/>
        <w:shd w:val="clear" w:color="auto" w:fill="FFFFFF"/>
      </w:rPr>
      <w:t>Media Group Online, Inc.</w:t>
    </w:r>
    <w:r w:rsidRPr="0097480E">
      <w:rPr>
        <w:rFonts w:ascii="Arial" w:hAnsi="Arial" w:cs="Arial"/>
        <w:sz w:val="16"/>
        <w:szCs w:val="16"/>
      </w:rPr>
      <w:t xml:space="preserve">• </w:t>
    </w:r>
    <w:r w:rsidRPr="0097480E">
      <w:rPr>
        <w:rFonts w:ascii="Arial" w:hAnsi="Arial" w:cs="Arial"/>
        <w:sz w:val="16"/>
        <w:szCs w:val="16"/>
        <w:shd w:val="clear" w:color="auto" w:fill="FFFFFF"/>
      </w:rPr>
      <w:t>103 Sterling Mine Rd.</w:t>
    </w:r>
    <w:r w:rsidRPr="0097480E">
      <w:rPr>
        <w:rFonts w:ascii="Arial" w:hAnsi="Arial" w:cs="Arial"/>
        <w:sz w:val="16"/>
        <w:szCs w:val="16"/>
      </w:rPr>
      <w:t xml:space="preserve">• </w:t>
    </w:r>
    <w:r w:rsidRPr="0097480E">
      <w:rPr>
        <w:rFonts w:ascii="Arial" w:hAnsi="Arial" w:cs="Arial"/>
        <w:sz w:val="16"/>
        <w:szCs w:val="16"/>
        <w:shd w:val="clear" w:color="auto" w:fill="FFFFFF"/>
      </w:rPr>
      <w:t xml:space="preserve">Sloatsburg, NY </w:t>
    </w:r>
    <w:r w:rsidR="0097480E" w:rsidRPr="0097480E">
      <w:rPr>
        <w:rFonts w:ascii="Arial" w:hAnsi="Arial" w:cs="Arial"/>
        <w:sz w:val="16"/>
        <w:szCs w:val="16"/>
        <w:shd w:val="clear" w:color="auto" w:fill="FFFFFF"/>
      </w:rPr>
      <w:t>10974</w:t>
    </w:r>
    <w:r w:rsidRPr="0097480E">
      <w:rPr>
        <w:rFonts w:ascii="Arial" w:hAnsi="Arial" w:cs="Arial"/>
        <w:sz w:val="16"/>
        <w:szCs w:val="16"/>
        <w:shd w:val="clear" w:color="auto" w:fill="FFFFFF"/>
      </w:rPr>
      <w:t xml:space="preserve"> </w:t>
    </w:r>
    <w:r w:rsidRPr="0097480E">
      <w:rPr>
        <w:rFonts w:ascii="Arial" w:hAnsi="Arial" w:cs="Arial"/>
        <w:sz w:val="16"/>
        <w:szCs w:val="16"/>
      </w:rPr>
      <w:t>• Tel 866-921-1026 • Fax 845-712-5168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FDB38" w14:textId="77777777" w:rsidR="00041EB9" w:rsidRDefault="00041EB9" w:rsidP="00260DE9">
      <w:pPr>
        <w:spacing w:after="0" w:line="240" w:lineRule="auto"/>
      </w:pPr>
      <w:r>
        <w:separator/>
      </w:r>
    </w:p>
  </w:footnote>
  <w:footnote w:type="continuationSeparator" w:id="0">
    <w:p w14:paraId="29F16026" w14:textId="77777777" w:rsidR="00041EB9" w:rsidRDefault="00041EB9" w:rsidP="0026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DC73" w14:textId="77777777" w:rsidR="00260DE9" w:rsidRDefault="00635FF3">
    <w:pPr>
      <w:pStyle w:val="Header"/>
    </w:pPr>
    <w:r>
      <w:rPr>
        <w:noProof/>
      </w:rPr>
      <w:drawing>
        <wp:anchor distT="0" distB="0" distL="114300" distR="114300" simplePos="0" relativeHeight="251658240" behindDoc="1" locked="0" layoutInCell="1" allowOverlap="1" wp14:anchorId="67BDB21C" wp14:editId="7366BB1A">
          <wp:simplePos x="0" y="0"/>
          <wp:positionH relativeFrom="column">
            <wp:posOffset>-638175</wp:posOffset>
          </wp:positionH>
          <wp:positionV relativeFrom="paragraph">
            <wp:posOffset>-771525</wp:posOffset>
          </wp:positionV>
          <wp:extent cx="5943600" cy="1192530"/>
          <wp:effectExtent l="0" t="0" r="0" b="0"/>
          <wp:wrapTight wrapText="bothSides">
            <wp:wrapPolygon edited="0">
              <wp:start x="1454" y="0"/>
              <wp:lineTo x="1038" y="690"/>
              <wp:lineTo x="69" y="4486"/>
              <wp:lineTo x="0" y="7936"/>
              <wp:lineTo x="0" y="13802"/>
              <wp:lineTo x="138" y="17252"/>
              <wp:lineTo x="1177" y="21393"/>
              <wp:lineTo x="1385" y="21393"/>
              <wp:lineTo x="2838" y="21393"/>
              <wp:lineTo x="8931" y="16907"/>
              <wp:lineTo x="21531" y="15872"/>
              <wp:lineTo x="21531" y="6901"/>
              <wp:lineTo x="19938" y="4831"/>
              <wp:lineTo x="2838" y="0"/>
              <wp:lineTo x="14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OProfilerHeaderSmal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61946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E9"/>
    <w:rsid w:val="00004575"/>
    <w:rsid w:val="000052A8"/>
    <w:rsid w:val="00006EB7"/>
    <w:rsid w:val="00030B4A"/>
    <w:rsid w:val="0003466E"/>
    <w:rsid w:val="00041EB9"/>
    <w:rsid w:val="00052024"/>
    <w:rsid w:val="0005633E"/>
    <w:rsid w:val="000577D6"/>
    <w:rsid w:val="0007198D"/>
    <w:rsid w:val="000830D7"/>
    <w:rsid w:val="000B0E22"/>
    <w:rsid w:val="000C4B96"/>
    <w:rsid w:val="000C7821"/>
    <w:rsid w:val="000D2F3A"/>
    <w:rsid w:val="000D7C07"/>
    <w:rsid w:val="000F1C6D"/>
    <w:rsid w:val="00112A85"/>
    <w:rsid w:val="0012010F"/>
    <w:rsid w:val="00142DEE"/>
    <w:rsid w:val="001531C2"/>
    <w:rsid w:val="00154344"/>
    <w:rsid w:val="00160474"/>
    <w:rsid w:val="00161442"/>
    <w:rsid w:val="0016492E"/>
    <w:rsid w:val="00177D0F"/>
    <w:rsid w:val="0018202D"/>
    <w:rsid w:val="001A05E7"/>
    <w:rsid w:val="001B64B0"/>
    <w:rsid w:val="001C2831"/>
    <w:rsid w:val="001D53A3"/>
    <w:rsid w:val="001F5DFA"/>
    <w:rsid w:val="002241F3"/>
    <w:rsid w:val="0022668D"/>
    <w:rsid w:val="00237D41"/>
    <w:rsid w:val="00257EF6"/>
    <w:rsid w:val="00260DE9"/>
    <w:rsid w:val="00275744"/>
    <w:rsid w:val="00294474"/>
    <w:rsid w:val="002A4A73"/>
    <w:rsid w:val="002A6286"/>
    <w:rsid w:val="002B0BCF"/>
    <w:rsid w:val="002B3E1A"/>
    <w:rsid w:val="002B428E"/>
    <w:rsid w:val="002E1F38"/>
    <w:rsid w:val="00306D88"/>
    <w:rsid w:val="003075BE"/>
    <w:rsid w:val="00327C87"/>
    <w:rsid w:val="00347340"/>
    <w:rsid w:val="003478C3"/>
    <w:rsid w:val="003630CD"/>
    <w:rsid w:val="0038459A"/>
    <w:rsid w:val="00386821"/>
    <w:rsid w:val="003B417B"/>
    <w:rsid w:val="003C15ED"/>
    <w:rsid w:val="003D6958"/>
    <w:rsid w:val="003E2E9B"/>
    <w:rsid w:val="003F0FE1"/>
    <w:rsid w:val="00400606"/>
    <w:rsid w:val="00412473"/>
    <w:rsid w:val="00414DA6"/>
    <w:rsid w:val="00422A36"/>
    <w:rsid w:val="00424E79"/>
    <w:rsid w:val="00432903"/>
    <w:rsid w:val="0045212B"/>
    <w:rsid w:val="0045797F"/>
    <w:rsid w:val="0046193A"/>
    <w:rsid w:val="00464E27"/>
    <w:rsid w:val="0048482F"/>
    <w:rsid w:val="00493426"/>
    <w:rsid w:val="00494CA5"/>
    <w:rsid w:val="004D4671"/>
    <w:rsid w:val="004E421A"/>
    <w:rsid w:val="004F0119"/>
    <w:rsid w:val="004F7F58"/>
    <w:rsid w:val="0050185A"/>
    <w:rsid w:val="0050254D"/>
    <w:rsid w:val="00520014"/>
    <w:rsid w:val="00530F25"/>
    <w:rsid w:val="005476FC"/>
    <w:rsid w:val="00550FF2"/>
    <w:rsid w:val="005610BD"/>
    <w:rsid w:val="0056258A"/>
    <w:rsid w:val="005634A6"/>
    <w:rsid w:val="005675FE"/>
    <w:rsid w:val="0057012D"/>
    <w:rsid w:val="00571D6A"/>
    <w:rsid w:val="00573C40"/>
    <w:rsid w:val="00592462"/>
    <w:rsid w:val="00595195"/>
    <w:rsid w:val="00596832"/>
    <w:rsid w:val="005C03F2"/>
    <w:rsid w:val="005C3BA5"/>
    <w:rsid w:val="005F19E9"/>
    <w:rsid w:val="00600CFD"/>
    <w:rsid w:val="00601F2D"/>
    <w:rsid w:val="0061708C"/>
    <w:rsid w:val="006269D3"/>
    <w:rsid w:val="00635FF3"/>
    <w:rsid w:val="00637CB9"/>
    <w:rsid w:val="006557DC"/>
    <w:rsid w:val="00657B52"/>
    <w:rsid w:val="0067102D"/>
    <w:rsid w:val="0068770F"/>
    <w:rsid w:val="0069436D"/>
    <w:rsid w:val="006B3A10"/>
    <w:rsid w:val="006D1053"/>
    <w:rsid w:val="006E6275"/>
    <w:rsid w:val="00707104"/>
    <w:rsid w:val="007139CE"/>
    <w:rsid w:val="007256D5"/>
    <w:rsid w:val="007257B5"/>
    <w:rsid w:val="00731522"/>
    <w:rsid w:val="0074186F"/>
    <w:rsid w:val="007651A4"/>
    <w:rsid w:val="007862CF"/>
    <w:rsid w:val="00793BD0"/>
    <w:rsid w:val="007B6E29"/>
    <w:rsid w:val="007D3185"/>
    <w:rsid w:val="007F7456"/>
    <w:rsid w:val="008058FD"/>
    <w:rsid w:val="00811F60"/>
    <w:rsid w:val="0082749D"/>
    <w:rsid w:val="00875007"/>
    <w:rsid w:val="0088350D"/>
    <w:rsid w:val="0088505B"/>
    <w:rsid w:val="0089324F"/>
    <w:rsid w:val="008D149E"/>
    <w:rsid w:val="009229BB"/>
    <w:rsid w:val="00923C8D"/>
    <w:rsid w:val="00926BD3"/>
    <w:rsid w:val="00931A86"/>
    <w:rsid w:val="009419F0"/>
    <w:rsid w:val="0097289D"/>
    <w:rsid w:val="0097480E"/>
    <w:rsid w:val="00984DF0"/>
    <w:rsid w:val="0099377F"/>
    <w:rsid w:val="009A3522"/>
    <w:rsid w:val="009A3728"/>
    <w:rsid w:val="009A3EBE"/>
    <w:rsid w:val="009A4526"/>
    <w:rsid w:val="009A6479"/>
    <w:rsid w:val="009C6A17"/>
    <w:rsid w:val="009F3C8C"/>
    <w:rsid w:val="00A00453"/>
    <w:rsid w:val="00A031C1"/>
    <w:rsid w:val="00A12BB9"/>
    <w:rsid w:val="00A135A1"/>
    <w:rsid w:val="00A30B01"/>
    <w:rsid w:val="00A55AAE"/>
    <w:rsid w:val="00A55AB4"/>
    <w:rsid w:val="00A61F9B"/>
    <w:rsid w:val="00A71026"/>
    <w:rsid w:val="00A820F9"/>
    <w:rsid w:val="00A96F43"/>
    <w:rsid w:val="00AB01D8"/>
    <w:rsid w:val="00AB7EE7"/>
    <w:rsid w:val="00AE087E"/>
    <w:rsid w:val="00AE1F72"/>
    <w:rsid w:val="00AE6B2A"/>
    <w:rsid w:val="00AE71B7"/>
    <w:rsid w:val="00B12A59"/>
    <w:rsid w:val="00B14875"/>
    <w:rsid w:val="00B33B46"/>
    <w:rsid w:val="00B36421"/>
    <w:rsid w:val="00B4203D"/>
    <w:rsid w:val="00B6421F"/>
    <w:rsid w:val="00B93F15"/>
    <w:rsid w:val="00BC0DB8"/>
    <w:rsid w:val="00BC2144"/>
    <w:rsid w:val="00BE4BEC"/>
    <w:rsid w:val="00BE6652"/>
    <w:rsid w:val="00C11931"/>
    <w:rsid w:val="00C147E3"/>
    <w:rsid w:val="00C20878"/>
    <w:rsid w:val="00C21D13"/>
    <w:rsid w:val="00C412D4"/>
    <w:rsid w:val="00C54007"/>
    <w:rsid w:val="00C65128"/>
    <w:rsid w:val="00C77B54"/>
    <w:rsid w:val="00C8473A"/>
    <w:rsid w:val="00CE3B31"/>
    <w:rsid w:val="00CE7889"/>
    <w:rsid w:val="00CF3369"/>
    <w:rsid w:val="00D11CED"/>
    <w:rsid w:val="00D16971"/>
    <w:rsid w:val="00D16F60"/>
    <w:rsid w:val="00D17DB0"/>
    <w:rsid w:val="00D22E81"/>
    <w:rsid w:val="00D26223"/>
    <w:rsid w:val="00D37649"/>
    <w:rsid w:val="00D8342E"/>
    <w:rsid w:val="00D93E11"/>
    <w:rsid w:val="00DA1474"/>
    <w:rsid w:val="00DB7117"/>
    <w:rsid w:val="00DC4F7C"/>
    <w:rsid w:val="00DD5A41"/>
    <w:rsid w:val="00DE0FDD"/>
    <w:rsid w:val="00E0732B"/>
    <w:rsid w:val="00E13B28"/>
    <w:rsid w:val="00E20F93"/>
    <w:rsid w:val="00E21202"/>
    <w:rsid w:val="00E26A8A"/>
    <w:rsid w:val="00E31C88"/>
    <w:rsid w:val="00E45F8D"/>
    <w:rsid w:val="00E604BD"/>
    <w:rsid w:val="00E643DB"/>
    <w:rsid w:val="00E76A50"/>
    <w:rsid w:val="00E80C14"/>
    <w:rsid w:val="00E926A9"/>
    <w:rsid w:val="00EA02C9"/>
    <w:rsid w:val="00ED42A4"/>
    <w:rsid w:val="00EF6801"/>
    <w:rsid w:val="00EF6AB9"/>
    <w:rsid w:val="00F05263"/>
    <w:rsid w:val="00F056FA"/>
    <w:rsid w:val="00F2704A"/>
    <w:rsid w:val="00F66EA8"/>
    <w:rsid w:val="00F70E29"/>
    <w:rsid w:val="00F94CE8"/>
    <w:rsid w:val="00FA495C"/>
    <w:rsid w:val="00FA520C"/>
    <w:rsid w:val="00FB418C"/>
    <w:rsid w:val="00FC3756"/>
    <w:rsid w:val="00FC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0252B"/>
  <w15:docId w15:val="{00033884-83A0-4105-8CD5-C8A1383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E9"/>
  </w:style>
  <w:style w:type="paragraph" w:styleId="Footer">
    <w:name w:val="footer"/>
    <w:basedOn w:val="Normal"/>
    <w:link w:val="FooterChar"/>
    <w:uiPriority w:val="99"/>
    <w:unhideWhenUsed/>
    <w:rsid w:val="0026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E9"/>
  </w:style>
  <w:style w:type="paragraph" w:styleId="NoSpacing">
    <w:name w:val="No Spacing"/>
    <w:uiPriority w:val="1"/>
    <w:qFormat/>
    <w:rsid w:val="00260DE9"/>
    <w:pPr>
      <w:spacing w:after="0" w:line="240" w:lineRule="auto"/>
    </w:pPr>
  </w:style>
  <w:style w:type="paragraph" w:styleId="BalloonText">
    <w:name w:val="Balloon Text"/>
    <w:basedOn w:val="Normal"/>
    <w:link w:val="BalloonTextChar"/>
    <w:uiPriority w:val="99"/>
    <w:semiHidden/>
    <w:unhideWhenUsed/>
    <w:rsid w:val="003E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BECD-D5BF-8A47-B41B-5E66C68C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Whelan</dc:creator>
  <cp:lastModifiedBy>Bob Sillick</cp:lastModifiedBy>
  <cp:revision>2</cp:revision>
  <dcterms:created xsi:type="dcterms:W3CDTF">2022-06-09T17:40:00Z</dcterms:created>
  <dcterms:modified xsi:type="dcterms:W3CDTF">2022-06-09T17:40:00Z</dcterms:modified>
</cp:coreProperties>
</file>