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425A" w14:textId="177828BD" w:rsidR="00F94CE8" w:rsidRPr="005F19E9" w:rsidRDefault="005535DE" w:rsidP="00C11931">
      <w:pPr>
        <w:pStyle w:val="NoSpacing"/>
        <w:contextualSpacing/>
        <w:mirrorIndents/>
        <w:rPr>
          <w:rFonts w:ascii="Verdana" w:hAnsi="Verdana"/>
          <w:b/>
          <w:bCs/>
          <w:color w:val="FF0000"/>
          <w:sz w:val="20"/>
          <w:szCs w:val="20"/>
        </w:rPr>
      </w:pPr>
      <w:r>
        <w:rPr>
          <w:rFonts w:ascii="Verdana" w:hAnsi="Verdana"/>
          <w:b/>
          <w:bCs/>
          <w:color w:val="FF0000"/>
          <w:sz w:val="20"/>
          <w:szCs w:val="20"/>
        </w:rPr>
        <w:t>Toy</w:t>
      </w:r>
      <w:r w:rsidR="005F19E9" w:rsidRPr="005F19E9">
        <w:rPr>
          <w:rFonts w:ascii="Verdana" w:hAnsi="Verdana"/>
          <w:b/>
          <w:bCs/>
          <w:color w:val="FF0000"/>
          <w:sz w:val="20"/>
          <w:szCs w:val="20"/>
        </w:rPr>
        <w:t xml:space="preserve"> Market 2022</w:t>
      </w:r>
    </w:p>
    <w:p w14:paraId="11DB62D2" w14:textId="77777777" w:rsidR="00F94CE8" w:rsidRPr="00F36F72" w:rsidRDefault="00F94CE8" w:rsidP="00C11931">
      <w:pPr>
        <w:pStyle w:val="NoSpacing"/>
        <w:contextualSpacing/>
        <w:mirrorIndents/>
        <w:rPr>
          <w:rFonts w:ascii="Verdana" w:hAnsi="Verdana"/>
          <w:sz w:val="20"/>
          <w:szCs w:val="20"/>
        </w:rPr>
      </w:pPr>
    </w:p>
    <w:p w14:paraId="64570791" w14:textId="77777777" w:rsidR="00F36F72" w:rsidRPr="00FB2F03" w:rsidRDefault="00F36F72" w:rsidP="00FB2F03">
      <w:pPr>
        <w:jc w:val="center"/>
        <w:rPr>
          <w:rFonts w:ascii="Verdana" w:hAnsi="Verdana"/>
          <w:b/>
          <w:bCs/>
          <w:color w:val="0070C0"/>
          <w:sz w:val="20"/>
          <w:szCs w:val="20"/>
        </w:rPr>
      </w:pPr>
      <w:r w:rsidRPr="00FB2F03">
        <w:rPr>
          <w:rFonts w:ascii="Verdana" w:hAnsi="Verdana"/>
          <w:b/>
          <w:bCs/>
          <w:color w:val="0070C0"/>
          <w:sz w:val="20"/>
          <w:szCs w:val="20"/>
        </w:rPr>
        <w:t>Toys R Selling</w:t>
      </w:r>
    </w:p>
    <w:p w14:paraId="79CA2D39" w14:textId="77777777" w:rsidR="00F36F72" w:rsidRPr="00F36F72" w:rsidRDefault="00F36F72" w:rsidP="00F36F72">
      <w:pPr>
        <w:rPr>
          <w:rFonts w:ascii="Verdana" w:hAnsi="Verdana"/>
          <w:sz w:val="20"/>
          <w:szCs w:val="20"/>
        </w:rPr>
      </w:pPr>
    </w:p>
    <w:p w14:paraId="0A9B952A" w14:textId="18D4970C" w:rsidR="00FB2F03" w:rsidRDefault="00FB2F03" w:rsidP="00F36F72">
      <w:pPr>
        <w:rPr>
          <w:rFonts w:ascii="Verdana" w:hAnsi="Verdana"/>
          <w:sz w:val="20"/>
          <w:szCs w:val="20"/>
        </w:rPr>
      </w:pPr>
      <w:r>
        <w:rPr>
          <w:rFonts w:ascii="Verdana" w:hAnsi="Verdana"/>
          <w:sz w:val="20"/>
          <w:szCs w:val="20"/>
        </w:rPr>
        <w:t>After a spectacular 20.6% sales increase from 2019 to 2020, the US Toy Association reports total 2021 sales of $38.19 billion, a 14.2% increase from 2020. S</w:t>
      </w:r>
      <w:r w:rsidR="000E761D">
        <w:rPr>
          <w:rFonts w:ascii="Verdana" w:hAnsi="Verdana"/>
          <w:sz w:val="20"/>
          <w:szCs w:val="20"/>
        </w:rPr>
        <w:t>ix</w:t>
      </w:r>
      <w:r>
        <w:rPr>
          <w:rFonts w:ascii="Verdana" w:hAnsi="Verdana"/>
          <w:sz w:val="20"/>
          <w:szCs w:val="20"/>
        </w:rPr>
        <w:t xml:space="preserve"> of the 1</w:t>
      </w:r>
      <w:r w:rsidR="000E761D">
        <w:rPr>
          <w:rFonts w:ascii="Verdana" w:hAnsi="Verdana"/>
          <w:sz w:val="20"/>
          <w:szCs w:val="20"/>
        </w:rPr>
        <w:t>1</w:t>
      </w:r>
      <w:r>
        <w:rPr>
          <w:rFonts w:ascii="Verdana" w:hAnsi="Verdana"/>
          <w:sz w:val="20"/>
          <w:szCs w:val="20"/>
        </w:rPr>
        <w:t xml:space="preserve"> toy categories </w:t>
      </w:r>
      <w:r w:rsidR="000E761D">
        <w:rPr>
          <w:rFonts w:ascii="Verdana" w:hAnsi="Verdana"/>
          <w:sz w:val="20"/>
          <w:szCs w:val="20"/>
        </w:rPr>
        <w:t>generated double-digit sales increases, led by explorative and other toys at 35.0%.</w:t>
      </w:r>
    </w:p>
    <w:p w14:paraId="1D7F3165" w14:textId="77777777" w:rsidR="00FB2F03" w:rsidRDefault="00FB2F03" w:rsidP="00F36F72">
      <w:pPr>
        <w:rPr>
          <w:rFonts w:ascii="Verdana" w:hAnsi="Verdana"/>
          <w:sz w:val="20"/>
          <w:szCs w:val="20"/>
        </w:rPr>
      </w:pPr>
    </w:p>
    <w:p w14:paraId="389EF085" w14:textId="71B723CE" w:rsidR="00FB2F03" w:rsidRDefault="000E761D" w:rsidP="00F36F72">
      <w:pPr>
        <w:rPr>
          <w:rFonts w:ascii="Verdana" w:hAnsi="Verdana"/>
          <w:sz w:val="20"/>
          <w:szCs w:val="20"/>
        </w:rPr>
      </w:pPr>
      <w:r>
        <w:rPr>
          <w:rFonts w:ascii="Verdana" w:hAnsi="Verdana"/>
          <w:sz w:val="20"/>
          <w:szCs w:val="20"/>
        </w:rPr>
        <w:t xml:space="preserve">For toys sold in the retail environment, The NPD Group cited a 13% increase from 2020 ($25.4 billion) to 2021 ($28.6 billion). According to its analysis, Americans still had much of the government stimulus money and six child tax credits were deemed also responsible. </w:t>
      </w:r>
    </w:p>
    <w:p w14:paraId="19E5870E" w14:textId="157AE93F" w:rsidR="000E761D" w:rsidRDefault="000E761D" w:rsidP="00F36F72">
      <w:pPr>
        <w:rPr>
          <w:rFonts w:ascii="Verdana" w:hAnsi="Verdana"/>
          <w:sz w:val="20"/>
          <w:szCs w:val="20"/>
        </w:rPr>
      </w:pPr>
    </w:p>
    <w:p w14:paraId="2752E277" w14:textId="49174053" w:rsidR="000E761D" w:rsidRDefault="00B40F03" w:rsidP="00F36F72">
      <w:pPr>
        <w:rPr>
          <w:rFonts w:ascii="Verdana" w:hAnsi="Verdana"/>
          <w:sz w:val="20"/>
          <w:szCs w:val="20"/>
        </w:rPr>
      </w:pPr>
      <w:r>
        <w:rPr>
          <w:rFonts w:ascii="Verdana" w:hAnsi="Verdana"/>
          <w:sz w:val="20"/>
          <w:szCs w:val="20"/>
        </w:rPr>
        <w:t xml:space="preserve">The US Census Bureau reported </w:t>
      </w:r>
      <w:r w:rsidR="0028606D">
        <w:rPr>
          <w:rFonts w:ascii="Verdana" w:hAnsi="Verdana"/>
          <w:sz w:val="20"/>
          <w:szCs w:val="20"/>
        </w:rPr>
        <w:t>$23.64 billion in total 2021 retail sales at “hobby, toy and game stores” (NAICS 45112), a 38.8% YOY increase, and a 43.8% increase from 2019.</w:t>
      </w:r>
    </w:p>
    <w:p w14:paraId="315234EF" w14:textId="77777777" w:rsidR="00FB2F03" w:rsidRDefault="00FB2F03" w:rsidP="00F36F72">
      <w:pPr>
        <w:rPr>
          <w:rFonts w:ascii="Verdana" w:hAnsi="Verdana"/>
          <w:sz w:val="20"/>
          <w:szCs w:val="20"/>
        </w:rPr>
      </w:pPr>
    </w:p>
    <w:p w14:paraId="75062D83" w14:textId="0653DFD7" w:rsidR="0028606D" w:rsidRPr="00502F18" w:rsidRDefault="0028606D" w:rsidP="0028606D">
      <w:pPr>
        <w:pStyle w:val="Header"/>
        <w:contextualSpacing/>
        <w:jc w:val="center"/>
        <w:rPr>
          <w:rFonts w:ascii="Verdana" w:hAnsi="Verdana"/>
          <w:b/>
          <w:sz w:val="20"/>
          <w:szCs w:val="20"/>
        </w:rPr>
      </w:pPr>
      <w:r>
        <w:rPr>
          <w:rFonts w:ascii="Verdana" w:hAnsi="Verdana"/>
          <w:b/>
          <w:sz w:val="20"/>
          <w:szCs w:val="20"/>
        </w:rPr>
        <w:t>Comparison of Hobby, Toy and Game Stores Sales, 2020–2022</w:t>
      </w:r>
    </w:p>
    <w:tbl>
      <w:tblPr>
        <w:tblW w:w="11232" w:type="dxa"/>
        <w:jc w:val="center"/>
        <w:tblBorders>
          <w:left w:val="single" w:sz="8" w:space="0" w:color="000000"/>
          <w:right w:val="single" w:sz="8" w:space="0" w:color="000000"/>
        </w:tblBorders>
        <w:tblLayout w:type="fixed"/>
        <w:tblLook w:val="0000" w:firstRow="0" w:lastRow="0" w:firstColumn="0" w:lastColumn="0" w:noHBand="0" w:noVBand="0"/>
      </w:tblPr>
      <w:tblGrid>
        <w:gridCol w:w="1728"/>
        <w:gridCol w:w="1296"/>
        <w:gridCol w:w="1296"/>
        <w:gridCol w:w="1296"/>
        <w:gridCol w:w="1728"/>
        <w:gridCol w:w="1296"/>
        <w:gridCol w:w="1296"/>
        <w:gridCol w:w="1296"/>
      </w:tblGrid>
      <w:tr w:rsidR="0028606D" w:rsidRPr="00502F18" w14:paraId="50B4F56E" w14:textId="77777777" w:rsidTr="00120BB0">
        <w:trPr>
          <w:jc w:val="center"/>
        </w:trPr>
        <w:tc>
          <w:tcPr>
            <w:tcW w:w="1728" w:type="dxa"/>
            <w:tcBorders>
              <w:top w:val="single" w:sz="12" w:space="0" w:color="000000"/>
              <w:left w:val="single" w:sz="12" w:space="0" w:color="000000"/>
              <w:bottom w:val="single" w:sz="18" w:space="0" w:color="C0504D" w:themeColor="accent2"/>
              <w:right w:val="single" w:sz="12" w:space="0" w:color="0070C0"/>
            </w:tcBorders>
            <w:shd w:val="clear" w:color="auto" w:fill="auto"/>
            <w:vAlign w:val="center"/>
          </w:tcPr>
          <w:p w14:paraId="090CF241" w14:textId="77777777" w:rsidR="0028606D" w:rsidRPr="00502F18" w:rsidRDefault="0028606D" w:rsidP="00120BB0">
            <w:pPr>
              <w:widowControl w:val="0"/>
              <w:tabs>
                <w:tab w:val="left" w:pos="220"/>
                <w:tab w:val="left" w:pos="720"/>
              </w:tabs>
              <w:autoSpaceDE w:val="0"/>
              <w:autoSpaceDN w:val="0"/>
              <w:adjustRightInd w:val="0"/>
              <w:contextualSpacing/>
              <w:jc w:val="center"/>
              <w:rPr>
                <w:rFonts w:ascii="Verdana" w:eastAsia="Times New Roman" w:hAnsi="Verdana"/>
                <w:sz w:val="20"/>
                <w:szCs w:val="20"/>
              </w:rPr>
            </w:pPr>
            <w:r>
              <w:rPr>
                <w:rFonts w:ascii="Verdana" w:eastAsia="Times New Roman" w:hAnsi="Verdana"/>
                <w:sz w:val="20"/>
                <w:szCs w:val="20"/>
              </w:rPr>
              <w:t>Period</w:t>
            </w:r>
          </w:p>
        </w:tc>
        <w:tc>
          <w:tcPr>
            <w:tcW w:w="1296" w:type="dxa"/>
            <w:tcBorders>
              <w:top w:val="single" w:sz="12" w:space="0" w:color="000000"/>
              <w:left w:val="single" w:sz="8" w:space="0" w:color="0070C0"/>
              <w:bottom w:val="single" w:sz="18" w:space="0" w:color="C0504D" w:themeColor="accent2"/>
              <w:right w:val="single" w:sz="8" w:space="0" w:color="0070C0"/>
            </w:tcBorders>
            <w:vAlign w:val="center"/>
          </w:tcPr>
          <w:p w14:paraId="50B65E3C" w14:textId="77777777" w:rsidR="0028606D" w:rsidRDefault="0028606D" w:rsidP="00120BB0">
            <w:pPr>
              <w:widowControl w:val="0"/>
              <w:tabs>
                <w:tab w:val="left" w:pos="220"/>
                <w:tab w:val="left" w:pos="720"/>
              </w:tabs>
              <w:autoSpaceDE w:val="0"/>
              <w:autoSpaceDN w:val="0"/>
              <w:adjustRightInd w:val="0"/>
              <w:contextualSpacing/>
              <w:jc w:val="center"/>
              <w:rPr>
                <w:rFonts w:ascii="Verdana" w:eastAsia="Times New Roman" w:hAnsi="Verdana"/>
                <w:sz w:val="20"/>
                <w:szCs w:val="20"/>
              </w:rPr>
            </w:pPr>
            <w:r>
              <w:rPr>
                <w:rFonts w:ascii="Verdana" w:eastAsia="Times New Roman" w:hAnsi="Verdana"/>
                <w:sz w:val="20"/>
                <w:szCs w:val="20"/>
              </w:rPr>
              <w:t>2022 Sales</w:t>
            </w:r>
          </w:p>
        </w:tc>
        <w:tc>
          <w:tcPr>
            <w:tcW w:w="1296"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7F4A0D98" w14:textId="77777777" w:rsidR="0028606D" w:rsidRDefault="0028606D" w:rsidP="00120BB0">
            <w:pPr>
              <w:widowControl w:val="0"/>
              <w:tabs>
                <w:tab w:val="left" w:pos="220"/>
                <w:tab w:val="left" w:pos="720"/>
              </w:tabs>
              <w:autoSpaceDE w:val="0"/>
              <w:autoSpaceDN w:val="0"/>
              <w:adjustRightInd w:val="0"/>
              <w:contextualSpacing/>
              <w:jc w:val="center"/>
              <w:rPr>
                <w:rFonts w:ascii="Verdana" w:eastAsia="Times New Roman" w:hAnsi="Verdana"/>
                <w:sz w:val="20"/>
                <w:szCs w:val="20"/>
              </w:rPr>
            </w:pPr>
            <w:r>
              <w:rPr>
                <w:rFonts w:ascii="Verdana" w:eastAsia="Times New Roman" w:hAnsi="Verdana"/>
                <w:sz w:val="20"/>
                <w:szCs w:val="20"/>
              </w:rPr>
              <w:t>Change from 2021</w:t>
            </w:r>
          </w:p>
        </w:tc>
        <w:tc>
          <w:tcPr>
            <w:tcW w:w="1296" w:type="dxa"/>
            <w:tcBorders>
              <w:top w:val="single" w:sz="12" w:space="0" w:color="000000"/>
              <w:left w:val="single" w:sz="8" w:space="0" w:color="0070C0"/>
              <w:bottom w:val="single" w:sz="18" w:space="0" w:color="C0504D" w:themeColor="accent2"/>
              <w:right w:val="single" w:sz="18" w:space="0" w:color="0070C0"/>
            </w:tcBorders>
            <w:shd w:val="clear" w:color="auto" w:fill="auto"/>
            <w:vAlign w:val="center"/>
          </w:tcPr>
          <w:p w14:paraId="56F86C57" w14:textId="77777777" w:rsidR="0028606D" w:rsidRPr="00502F18" w:rsidRDefault="0028606D" w:rsidP="00120BB0">
            <w:pPr>
              <w:widowControl w:val="0"/>
              <w:tabs>
                <w:tab w:val="left" w:pos="220"/>
                <w:tab w:val="left" w:pos="720"/>
              </w:tabs>
              <w:autoSpaceDE w:val="0"/>
              <w:autoSpaceDN w:val="0"/>
              <w:adjustRightInd w:val="0"/>
              <w:contextualSpacing/>
              <w:jc w:val="center"/>
              <w:rPr>
                <w:rFonts w:ascii="Verdana" w:eastAsia="Times New Roman" w:hAnsi="Verdana"/>
                <w:sz w:val="20"/>
                <w:szCs w:val="20"/>
              </w:rPr>
            </w:pPr>
            <w:r>
              <w:rPr>
                <w:rFonts w:ascii="Verdana" w:eastAsia="Times New Roman" w:hAnsi="Verdana"/>
                <w:sz w:val="20"/>
                <w:szCs w:val="20"/>
              </w:rPr>
              <w:t>Change from 2020</w:t>
            </w:r>
          </w:p>
        </w:tc>
        <w:tc>
          <w:tcPr>
            <w:tcW w:w="1728" w:type="dxa"/>
            <w:tcBorders>
              <w:top w:val="single" w:sz="12" w:space="0" w:color="000000"/>
              <w:left w:val="single" w:sz="18" w:space="0" w:color="0070C0"/>
              <w:bottom w:val="single" w:sz="18" w:space="0" w:color="C0504D" w:themeColor="accent2"/>
              <w:right w:val="single" w:sz="12" w:space="0" w:color="0070C0"/>
            </w:tcBorders>
            <w:shd w:val="clear" w:color="auto" w:fill="auto"/>
            <w:vAlign w:val="center"/>
          </w:tcPr>
          <w:p w14:paraId="136123A5" w14:textId="77777777" w:rsidR="0028606D" w:rsidRPr="00502F18" w:rsidRDefault="0028606D" w:rsidP="00120BB0">
            <w:pPr>
              <w:widowControl w:val="0"/>
              <w:tabs>
                <w:tab w:val="left" w:pos="220"/>
                <w:tab w:val="left" w:pos="720"/>
              </w:tabs>
              <w:autoSpaceDE w:val="0"/>
              <w:autoSpaceDN w:val="0"/>
              <w:adjustRightInd w:val="0"/>
              <w:contextualSpacing/>
              <w:jc w:val="center"/>
              <w:rPr>
                <w:rFonts w:ascii="Verdana" w:eastAsia="Times New Roman" w:hAnsi="Verdana"/>
                <w:sz w:val="20"/>
                <w:szCs w:val="20"/>
              </w:rPr>
            </w:pPr>
            <w:r>
              <w:rPr>
                <w:rFonts w:ascii="Verdana" w:eastAsia="Times New Roman" w:hAnsi="Verdana"/>
                <w:sz w:val="20"/>
                <w:szCs w:val="20"/>
              </w:rPr>
              <w:t>Period</w:t>
            </w:r>
          </w:p>
        </w:tc>
        <w:tc>
          <w:tcPr>
            <w:tcW w:w="1296" w:type="dxa"/>
            <w:tcBorders>
              <w:top w:val="single" w:sz="12" w:space="0" w:color="000000"/>
              <w:left w:val="single" w:sz="8" w:space="0" w:color="0070C0"/>
              <w:bottom w:val="single" w:sz="18" w:space="0" w:color="C0504D" w:themeColor="accent2"/>
              <w:right w:val="single" w:sz="8" w:space="0" w:color="0070C0"/>
            </w:tcBorders>
            <w:vAlign w:val="center"/>
          </w:tcPr>
          <w:p w14:paraId="10A122D9" w14:textId="77777777" w:rsidR="0028606D" w:rsidRDefault="0028606D" w:rsidP="00120BB0">
            <w:pPr>
              <w:widowControl w:val="0"/>
              <w:tabs>
                <w:tab w:val="left" w:pos="220"/>
                <w:tab w:val="left" w:pos="720"/>
              </w:tabs>
              <w:autoSpaceDE w:val="0"/>
              <w:autoSpaceDN w:val="0"/>
              <w:adjustRightInd w:val="0"/>
              <w:contextualSpacing/>
              <w:jc w:val="center"/>
              <w:rPr>
                <w:rFonts w:ascii="Verdana" w:eastAsia="Times New Roman" w:hAnsi="Verdana"/>
                <w:sz w:val="20"/>
                <w:szCs w:val="20"/>
              </w:rPr>
            </w:pPr>
            <w:r>
              <w:rPr>
                <w:rFonts w:ascii="Verdana" w:eastAsia="Times New Roman" w:hAnsi="Verdana"/>
                <w:sz w:val="20"/>
                <w:szCs w:val="20"/>
              </w:rPr>
              <w:t>2021 Sales</w:t>
            </w:r>
          </w:p>
        </w:tc>
        <w:tc>
          <w:tcPr>
            <w:tcW w:w="1296"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10C29143" w14:textId="77777777" w:rsidR="0028606D" w:rsidRDefault="0028606D" w:rsidP="00120BB0">
            <w:pPr>
              <w:widowControl w:val="0"/>
              <w:tabs>
                <w:tab w:val="left" w:pos="220"/>
                <w:tab w:val="left" w:pos="720"/>
              </w:tabs>
              <w:autoSpaceDE w:val="0"/>
              <w:autoSpaceDN w:val="0"/>
              <w:adjustRightInd w:val="0"/>
              <w:contextualSpacing/>
              <w:jc w:val="center"/>
              <w:rPr>
                <w:rFonts w:ascii="Verdana" w:eastAsia="Times New Roman" w:hAnsi="Verdana"/>
                <w:sz w:val="20"/>
                <w:szCs w:val="20"/>
              </w:rPr>
            </w:pPr>
            <w:r>
              <w:rPr>
                <w:rFonts w:ascii="Verdana" w:eastAsia="Times New Roman" w:hAnsi="Verdana"/>
                <w:sz w:val="20"/>
                <w:szCs w:val="20"/>
              </w:rPr>
              <w:t>Change from 2020</w:t>
            </w:r>
          </w:p>
        </w:tc>
        <w:tc>
          <w:tcPr>
            <w:tcW w:w="1296"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134B742F" w14:textId="77777777" w:rsidR="0028606D" w:rsidRPr="00502F18" w:rsidRDefault="0028606D" w:rsidP="00120BB0">
            <w:pPr>
              <w:widowControl w:val="0"/>
              <w:tabs>
                <w:tab w:val="left" w:pos="220"/>
                <w:tab w:val="left" w:pos="720"/>
              </w:tabs>
              <w:autoSpaceDE w:val="0"/>
              <w:autoSpaceDN w:val="0"/>
              <w:adjustRightInd w:val="0"/>
              <w:contextualSpacing/>
              <w:jc w:val="center"/>
              <w:rPr>
                <w:rFonts w:ascii="Verdana" w:eastAsia="Times New Roman" w:hAnsi="Verdana"/>
                <w:sz w:val="20"/>
                <w:szCs w:val="20"/>
              </w:rPr>
            </w:pPr>
            <w:r>
              <w:rPr>
                <w:rFonts w:ascii="Verdana" w:eastAsia="Times New Roman" w:hAnsi="Verdana"/>
                <w:sz w:val="20"/>
                <w:szCs w:val="20"/>
              </w:rPr>
              <w:t>Change from 2019</w:t>
            </w:r>
          </w:p>
        </w:tc>
      </w:tr>
      <w:tr w:rsidR="0028606D" w:rsidRPr="00502F18" w14:paraId="42675D38" w14:textId="77777777" w:rsidTr="007235AE">
        <w:trPr>
          <w:trHeight w:val="243"/>
          <w:jc w:val="center"/>
        </w:trPr>
        <w:tc>
          <w:tcPr>
            <w:tcW w:w="1728" w:type="dxa"/>
            <w:tcBorders>
              <w:top w:val="single" w:sz="18" w:space="0" w:color="C0504D" w:themeColor="accent2"/>
              <w:left w:val="single" w:sz="12" w:space="0" w:color="000000"/>
              <w:bottom w:val="single" w:sz="4" w:space="0" w:color="auto"/>
              <w:right w:val="single" w:sz="12" w:space="0" w:color="0070C0"/>
            </w:tcBorders>
            <w:shd w:val="clear" w:color="auto" w:fill="auto"/>
            <w:vAlign w:val="center"/>
          </w:tcPr>
          <w:p w14:paraId="49386C4E" w14:textId="33CAA0E2" w:rsidR="0028606D" w:rsidRPr="00502F18" w:rsidRDefault="0028606D"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Q1 2022</w:t>
            </w:r>
          </w:p>
        </w:tc>
        <w:tc>
          <w:tcPr>
            <w:tcW w:w="1296" w:type="dxa"/>
            <w:tcBorders>
              <w:top w:val="single" w:sz="18" w:space="0" w:color="C0504D" w:themeColor="accent2"/>
              <w:left w:val="single" w:sz="8" w:space="0" w:color="0070C0"/>
              <w:bottom w:val="single" w:sz="4" w:space="0" w:color="auto"/>
              <w:right w:val="single" w:sz="8" w:space="0" w:color="0070C0"/>
            </w:tcBorders>
            <w:shd w:val="clear" w:color="auto" w:fill="auto"/>
            <w:vAlign w:val="center"/>
          </w:tcPr>
          <w:p w14:paraId="149FC308" w14:textId="4356675A" w:rsidR="0028606D" w:rsidRDefault="00B7331E"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$5.17 B</w:t>
            </w:r>
          </w:p>
        </w:tc>
        <w:tc>
          <w:tcPr>
            <w:tcW w:w="1296" w:type="dxa"/>
            <w:tcBorders>
              <w:top w:val="single" w:sz="18" w:space="0" w:color="C0504D" w:themeColor="accent2"/>
              <w:left w:val="single" w:sz="8" w:space="0" w:color="0070C0"/>
              <w:bottom w:val="single" w:sz="4" w:space="0" w:color="auto"/>
              <w:right w:val="single" w:sz="8" w:space="0" w:color="0070C0"/>
            </w:tcBorders>
            <w:shd w:val="clear" w:color="auto" w:fill="EAF1DD" w:themeFill="accent3" w:themeFillTint="33"/>
            <w:vAlign w:val="center"/>
          </w:tcPr>
          <w:p w14:paraId="5009C373" w14:textId="3983AD04" w:rsidR="0028606D" w:rsidRDefault="0028606D"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w:t>
            </w:r>
            <w:r w:rsidR="00B7331E">
              <w:rPr>
                <w:rFonts w:ascii="Verdana" w:eastAsia="Times New Roman" w:hAnsi="Verdana"/>
                <w:sz w:val="20"/>
                <w:szCs w:val="20"/>
              </w:rPr>
              <w:t>4.0</w:t>
            </w:r>
            <w:r>
              <w:rPr>
                <w:rFonts w:ascii="Verdana" w:eastAsia="Times New Roman" w:hAnsi="Verdana"/>
                <w:sz w:val="20"/>
                <w:szCs w:val="20"/>
              </w:rPr>
              <w:t>%</w:t>
            </w:r>
          </w:p>
        </w:tc>
        <w:tc>
          <w:tcPr>
            <w:tcW w:w="1296" w:type="dxa"/>
            <w:tcBorders>
              <w:top w:val="single" w:sz="18" w:space="0" w:color="C0504D" w:themeColor="accent2"/>
              <w:left w:val="single" w:sz="8" w:space="0" w:color="0070C0"/>
              <w:bottom w:val="single" w:sz="4" w:space="0" w:color="auto"/>
              <w:right w:val="single" w:sz="18" w:space="0" w:color="0070C0"/>
            </w:tcBorders>
            <w:shd w:val="clear" w:color="auto" w:fill="00B050"/>
            <w:vAlign w:val="center"/>
          </w:tcPr>
          <w:p w14:paraId="219BFFCD" w14:textId="71C76D2C" w:rsidR="0028606D" w:rsidRPr="00502F18" w:rsidRDefault="0028606D"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w:t>
            </w:r>
            <w:r w:rsidR="00B7331E">
              <w:rPr>
                <w:rFonts w:ascii="Verdana" w:eastAsia="Times New Roman" w:hAnsi="Verdana"/>
                <w:sz w:val="20"/>
                <w:szCs w:val="20"/>
              </w:rPr>
              <w:t>61</w:t>
            </w:r>
            <w:r>
              <w:rPr>
                <w:rFonts w:ascii="Verdana" w:eastAsia="Times New Roman" w:hAnsi="Verdana"/>
                <w:sz w:val="20"/>
                <w:szCs w:val="20"/>
              </w:rPr>
              <w:t>.</w:t>
            </w:r>
            <w:r w:rsidR="00B7331E">
              <w:rPr>
                <w:rFonts w:ascii="Verdana" w:eastAsia="Times New Roman" w:hAnsi="Verdana"/>
                <w:sz w:val="20"/>
                <w:szCs w:val="20"/>
              </w:rPr>
              <w:t>8</w:t>
            </w:r>
            <w:r>
              <w:rPr>
                <w:rFonts w:ascii="Verdana" w:eastAsia="Times New Roman" w:hAnsi="Verdana"/>
                <w:sz w:val="20"/>
                <w:szCs w:val="20"/>
              </w:rPr>
              <w:t>%</w:t>
            </w:r>
          </w:p>
        </w:tc>
        <w:tc>
          <w:tcPr>
            <w:tcW w:w="1728" w:type="dxa"/>
            <w:tcBorders>
              <w:top w:val="single" w:sz="18" w:space="0" w:color="C0504D" w:themeColor="accent2"/>
              <w:left w:val="single" w:sz="18" w:space="0" w:color="0070C0"/>
              <w:bottom w:val="single" w:sz="4" w:space="0" w:color="000000"/>
              <w:right w:val="single" w:sz="12" w:space="0" w:color="0070C0"/>
            </w:tcBorders>
            <w:shd w:val="clear" w:color="auto" w:fill="auto"/>
            <w:vAlign w:val="center"/>
          </w:tcPr>
          <w:p w14:paraId="78B119F6" w14:textId="77777777" w:rsidR="0028606D" w:rsidRPr="00502F18" w:rsidRDefault="0028606D"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October</w:t>
            </w:r>
          </w:p>
        </w:tc>
        <w:tc>
          <w:tcPr>
            <w:tcW w:w="1296" w:type="dxa"/>
            <w:tcBorders>
              <w:top w:val="single" w:sz="18" w:space="0" w:color="C0504D" w:themeColor="accent2"/>
              <w:left w:val="single" w:sz="8" w:space="0" w:color="0070C0"/>
              <w:bottom w:val="single" w:sz="4" w:space="0" w:color="000000"/>
              <w:right w:val="single" w:sz="8" w:space="0" w:color="0070C0"/>
            </w:tcBorders>
            <w:shd w:val="clear" w:color="auto" w:fill="auto"/>
            <w:vAlign w:val="center"/>
          </w:tcPr>
          <w:p w14:paraId="3D3DDEF0" w14:textId="3F748BAF" w:rsidR="0028606D" w:rsidRPr="00502F18" w:rsidRDefault="0028606D"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w:t>
            </w:r>
            <w:r w:rsidR="00E309FE">
              <w:rPr>
                <w:rFonts w:ascii="Verdana" w:eastAsia="Times New Roman" w:hAnsi="Verdana"/>
                <w:sz w:val="20"/>
                <w:szCs w:val="20"/>
              </w:rPr>
              <w:t>2.03</w:t>
            </w:r>
            <w:r>
              <w:rPr>
                <w:rFonts w:ascii="Verdana" w:eastAsia="Times New Roman" w:hAnsi="Verdana"/>
                <w:sz w:val="20"/>
                <w:szCs w:val="20"/>
              </w:rPr>
              <w:t xml:space="preserve"> B</w:t>
            </w:r>
          </w:p>
        </w:tc>
        <w:tc>
          <w:tcPr>
            <w:tcW w:w="1296" w:type="dxa"/>
            <w:tcBorders>
              <w:top w:val="single" w:sz="18" w:space="0" w:color="C0504D" w:themeColor="accent2"/>
              <w:left w:val="single" w:sz="8" w:space="0" w:color="0070C0"/>
              <w:bottom w:val="single" w:sz="4" w:space="0" w:color="000000"/>
              <w:right w:val="single" w:sz="8" w:space="0" w:color="0070C0"/>
            </w:tcBorders>
            <w:shd w:val="clear" w:color="auto" w:fill="D6E3BC" w:themeFill="accent3" w:themeFillTint="66"/>
            <w:vAlign w:val="center"/>
          </w:tcPr>
          <w:p w14:paraId="099E7EAC" w14:textId="13E2E99E" w:rsidR="0028606D" w:rsidRPr="00502F18" w:rsidRDefault="0028606D"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w:t>
            </w:r>
            <w:r w:rsidR="00377B75">
              <w:rPr>
                <w:rFonts w:ascii="Verdana" w:eastAsia="Times New Roman" w:hAnsi="Verdana"/>
                <w:sz w:val="20"/>
                <w:szCs w:val="20"/>
              </w:rPr>
              <w:t>23.8</w:t>
            </w:r>
            <w:r>
              <w:rPr>
                <w:rFonts w:ascii="Verdana" w:eastAsia="Times New Roman" w:hAnsi="Verdana"/>
                <w:sz w:val="20"/>
                <w:szCs w:val="20"/>
              </w:rPr>
              <w:t>%</w:t>
            </w:r>
          </w:p>
        </w:tc>
        <w:tc>
          <w:tcPr>
            <w:tcW w:w="1296" w:type="dxa"/>
            <w:tcBorders>
              <w:top w:val="single" w:sz="18" w:space="0" w:color="C0504D" w:themeColor="accent2"/>
              <w:left w:val="single" w:sz="8" w:space="0" w:color="0070C0"/>
              <w:bottom w:val="single" w:sz="4" w:space="0" w:color="000000"/>
              <w:right w:val="single" w:sz="12" w:space="0" w:color="000000"/>
            </w:tcBorders>
            <w:shd w:val="clear" w:color="auto" w:fill="C2D69B" w:themeFill="accent3" w:themeFillTint="99"/>
            <w:vAlign w:val="center"/>
          </w:tcPr>
          <w:p w14:paraId="206E4C07" w14:textId="14D92C56" w:rsidR="0028606D" w:rsidRPr="00502F18" w:rsidRDefault="0028606D"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+4</w:t>
            </w:r>
            <w:r w:rsidR="007235AE">
              <w:rPr>
                <w:rFonts w:ascii="Verdana" w:eastAsia="Times New Roman" w:hAnsi="Verdana"/>
                <w:sz w:val="20"/>
                <w:szCs w:val="20"/>
              </w:rPr>
              <w:t>5</w:t>
            </w:r>
            <w:r>
              <w:rPr>
                <w:rFonts w:ascii="Verdana" w:eastAsia="Times New Roman" w:hAnsi="Verdana"/>
                <w:sz w:val="20"/>
                <w:szCs w:val="20"/>
              </w:rPr>
              <w:t>.</w:t>
            </w:r>
            <w:r w:rsidR="007235AE">
              <w:rPr>
                <w:rFonts w:ascii="Verdana" w:eastAsia="Times New Roman" w:hAnsi="Verdana"/>
                <w:sz w:val="20"/>
                <w:szCs w:val="20"/>
              </w:rPr>
              <w:t>0</w:t>
            </w:r>
            <w:r>
              <w:rPr>
                <w:rFonts w:ascii="Verdana" w:eastAsia="Times New Roman" w:hAnsi="Verdana"/>
                <w:sz w:val="20"/>
                <w:szCs w:val="20"/>
              </w:rPr>
              <w:t>%</w:t>
            </w:r>
          </w:p>
        </w:tc>
      </w:tr>
      <w:tr w:rsidR="0028606D" w:rsidRPr="00502F18" w14:paraId="4BED02B9" w14:textId="77777777" w:rsidTr="007235AE">
        <w:trPr>
          <w:trHeight w:val="243"/>
          <w:jc w:val="center"/>
        </w:trPr>
        <w:tc>
          <w:tcPr>
            <w:tcW w:w="1728" w:type="dxa"/>
            <w:tcBorders>
              <w:top w:val="single" w:sz="4" w:space="0" w:color="auto"/>
              <w:left w:val="single" w:sz="12" w:space="0" w:color="000000"/>
              <w:bottom w:val="single" w:sz="4" w:space="0" w:color="000000"/>
              <w:right w:val="single" w:sz="12" w:space="0" w:color="0070C0"/>
            </w:tcBorders>
            <w:shd w:val="clear" w:color="auto" w:fill="auto"/>
            <w:vAlign w:val="center"/>
          </w:tcPr>
          <w:p w14:paraId="126FFB6C" w14:textId="27A8BDDA" w:rsidR="0028606D" w:rsidRPr="00502F18" w:rsidRDefault="0028606D"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April</w:t>
            </w:r>
            <w:r w:rsidR="00B7331E">
              <w:rPr>
                <w:rFonts w:ascii="Verdana" w:eastAsia="Times New Roman" w:hAnsi="Verdana"/>
                <w:sz w:val="20"/>
                <w:szCs w:val="20"/>
              </w:rPr>
              <w:t xml:space="preserve"> 2022</w:t>
            </w:r>
          </w:p>
        </w:tc>
        <w:tc>
          <w:tcPr>
            <w:tcW w:w="1296" w:type="dxa"/>
            <w:tcBorders>
              <w:top w:val="single" w:sz="4" w:space="0" w:color="auto"/>
              <w:left w:val="single" w:sz="8" w:space="0" w:color="0070C0"/>
              <w:bottom w:val="single" w:sz="4" w:space="0" w:color="000000"/>
              <w:right w:val="single" w:sz="8" w:space="0" w:color="0070C0"/>
            </w:tcBorders>
            <w:shd w:val="clear" w:color="auto" w:fill="auto"/>
            <w:vAlign w:val="center"/>
          </w:tcPr>
          <w:p w14:paraId="6D0D1C0C" w14:textId="05D82E53" w:rsidR="0028606D" w:rsidRDefault="0028606D"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w:t>
            </w:r>
            <w:r w:rsidR="00B7331E">
              <w:rPr>
                <w:rFonts w:ascii="Verdana" w:eastAsia="Times New Roman" w:hAnsi="Verdana"/>
                <w:sz w:val="20"/>
                <w:szCs w:val="20"/>
              </w:rPr>
              <w:t>1.89</w:t>
            </w:r>
            <w:r>
              <w:rPr>
                <w:rFonts w:ascii="Verdana" w:eastAsia="Times New Roman" w:hAnsi="Verdana"/>
                <w:sz w:val="20"/>
                <w:szCs w:val="20"/>
              </w:rPr>
              <w:t xml:space="preserve"> B</w:t>
            </w:r>
          </w:p>
        </w:tc>
        <w:tc>
          <w:tcPr>
            <w:tcW w:w="1296"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2AF9F2F2" w14:textId="5C08E396" w:rsidR="0028606D" w:rsidRDefault="0028606D"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w:t>
            </w:r>
            <w:r w:rsidR="00B7331E">
              <w:rPr>
                <w:rFonts w:ascii="Verdana" w:eastAsia="Times New Roman" w:hAnsi="Verdana"/>
                <w:sz w:val="20"/>
                <w:szCs w:val="20"/>
              </w:rPr>
              <w:t>8.6</w:t>
            </w:r>
            <w:r>
              <w:rPr>
                <w:rFonts w:ascii="Verdana" w:eastAsia="Times New Roman" w:hAnsi="Verdana"/>
                <w:sz w:val="20"/>
                <w:szCs w:val="20"/>
              </w:rPr>
              <w:t>%</w:t>
            </w:r>
          </w:p>
        </w:tc>
        <w:tc>
          <w:tcPr>
            <w:tcW w:w="1296" w:type="dxa"/>
            <w:tcBorders>
              <w:top w:val="single" w:sz="4" w:space="0" w:color="auto"/>
              <w:left w:val="single" w:sz="8" w:space="0" w:color="0070C0"/>
              <w:bottom w:val="single" w:sz="4" w:space="0" w:color="000000"/>
              <w:right w:val="single" w:sz="18" w:space="0" w:color="0070C0"/>
            </w:tcBorders>
            <w:shd w:val="clear" w:color="auto" w:fill="00B050"/>
            <w:vAlign w:val="center"/>
          </w:tcPr>
          <w:p w14:paraId="51E9E7AF" w14:textId="4E64AA6D" w:rsidR="0028606D" w:rsidRPr="007235AE" w:rsidRDefault="0028606D" w:rsidP="00120BB0">
            <w:pPr>
              <w:widowControl w:val="0"/>
              <w:tabs>
                <w:tab w:val="left" w:pos="220"/>
                <w:tab w:val="left" w:pos="720"/>
              </w:tabs>
              <w:autoSpaceDE w:val="0"/>
              <w:autoSpaceDN w:val="0"/>
              <w:adjustRightInd w:val="0"/>
              <w:contextualSpacing/>
              <w:jc w:val="right"/>
              <w:rPr>
                <w:rFonts w:ascii="Verdana" w:eastAsia="Times New Roman" w:hAnsi="Verdana"/>
                <w:b/>
                <w:bCs/>
                <w:sz w:val="20"/>
                <w:szCs w:val="20"/>
              </w:rPr>
            </w:pPr>
            <w:r w:rsidRPr="007235AE">
              <w:rPr>
                <w:rFonts w:ascii="Verdana" w:eastAsia="Times New Roman" w:hAnsi="Verdana"/>
                <w:b/>
                <w:bCs/>
                <w:sz w:val="20"/>
                <w:szCs w:val="20"/>
              </w:rPr>
              <w:t>+</w:t>
            </w:r>
            <w:r w:rsidR="00E309FE" w:rsidRPr="007235AE">
              <w:rPr>
                <w:rFonts w:ascii="Verdana" w:eastAsia="Times New Roman" w:hAnsi="Verdana"/>
                <w:b/>
                <w:bCs/>
                <w:sz w:val="20"/>
                <w:szCs w:val="20"/>
              </w:rPr>
              <w:t>440.0</w:t>
            </w:r>
            <w:r w:rsidRPr="007235AE">
              <w:rPr>
                <w:rFonts w:ascii="Verdana" w:eastAsia="Times New Roman" w:hAnsi="Verdana"/>
                <w:b/>
                <w:bCs/>
                <w:sz w:val="20"/>
                <w:szCs w:val="20"/>
              </w:rPr>
              <w:t>%</w:t>
            </w:r>
          </w:p>
        </w:tc>
        <w:tc>
          <w:tcPr>
            <w:tcW w:w="1728"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156A0024" w14:textId="77777777" w:rsidR="0028606D" w:rsidRPr="00502F18" w:rsidRDefault="0028606D"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November</w:t>
            </w:r>
          </w:p>
        </w:tc>
        <w:tc>
          <w:tcPr>
            <w:tcW w:w="1296" w:type="dxa"/>
            <w:tcBorders>
              <w:top w:val="single" w:sz="4" w:space="0" w:color="000000"/>
              <w:left w:val="single" w:sz="8" w:space="0" w:color="0070C0"/>
              <w:bottom w:val="single" w:sz="4" w:space="0" w:color="000000"/>
              <w:right w:val="single" w:sz="8" w:space="0" w:color="0070C0"/>
            </w:tcBorders>
            <w:shd w:val="clear" w:color="auto" w:fill="auto"/>
            <w:vAlign w:val="center"/>
          </w:tcPr>
          <w:p w14:paraId="1E941735" w14:textId="59524267" w:rsidR="0028606D" w:rsidRPr="00502F18" w:rsidRDefault="0028606D"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w:t>
            </w:r>
            <w:r w:rsidR="00E309FE">
              <w:rPr>
                <w:rFonts w:ascii="Verdana" w:eastAsia="Times New Roman" w:hAnsi="Verdana"/>
                <w:sz w:val="20"/>
                <w:szCs w:val="20"/>
              </w:rPr>
              <w:t>2.85</w:t>
            </w:r>
            <w:r>
              <w:rPr>
                <w:rFonts w:ascii="Verdana" w:eastAsia="Times New Roman" w:hAnsi="Verdana"/>
                <w:sz w:val="20"/>
                <w:szCs w:val="20"/>
              </w:rPr>
              <w:t xml:space="preserve"> B</w:t>
            </w:r>
          </w:p>
        </w:tc>
        <w:tc>
          <w:tcPr>
            <w:tcW w:w="1296" w:type="dxa"/>
            <w:tcBorders>
              <w:top w:val="single" w:sz="4" w:space="0" w:color="000000"/>
              <w:left w:val="single" w:sz="8" w:space="0" w:color="0070C0"/>
              <w:bottom w:val="single" w:sz="4" w:space="0" w:color="000000"/>
              <w:right w:val="single" w:sz="8" w:space="0" w:color="0070C0"/>
            </w:tcBorders>
            <w:shd w:val="clear" w:color="auto" w:fill="D6E3BC" w:themeFill="accent3" w:themeFillTint="66"/>
            <w:vAlign w:val="center"/>
          </w:tcPr>
          <w:p w14:paraId="324B1396" w14:textId="4CE9FEC3" w:rsidR="0028606D" w:rsidRPr="00502F18" w:rsidRDefault="0028606D"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+2</w:t>
            </w:r>
            <w:r w:rsidR="00377B75">
              <w:rPr>
                <w:rFonts w:ascii="Verdana" w:eastAsia="Times New Roman" w:hAnsi="Verdana"/>
                <w:sz w:val="20"/>
                <w:szCs w:val="20"/>
              </w:rPr>
              <w:t>0.3</w:t>
            </w:r>
            <w:r>
              <w:rPr>
                <w:rFonts w:ascii="Verdana" w:eastAsia="Times New Roman" w:hAnsi="Verdana"/>
                <w:sz w:val="20"/>
                <w:szCs w:val="20"/>
              </w:rPr>
              <w:t>%</w:t>
            </w:r>
          </w:p>
        </w:tc>
        <w:tc>
          <w:tcPr>
            <w:tcW w:w="1296" w:type="dxa"/>
            <w:tcBorders>
              <w:top w:val="single" w:sz="4" w:space="0" w:color="000000"/>
              <w:left w:val="single" w:sz="8" w:space="0" w:color="0070C0"/>
              <w:bottom w:val="single" w:sz="4" w:space="0" w:color="000000"/>
              <w:right w:val="single" w:sz="12" w:space="0" w:color="000000"/>
            </w:tcBorders>
            <w:shd w:val="clear" w:color="auto" w:fill="C2D69B" w:themeFill="accent3" w:themeFillTint="99"/>
            <w:vAlign w:val="center"/>
          </w:tcPr>
          <w:p w14:paraId="053B3857" w14:textId="6FD8A7BB" w:rsidR="0028606D" w:rsidRPr="00502F18" w:rsidRDefault="0028606D"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w:t>
            </w:r>
            <w:r w:rsidR="007235AE">
              <w:rPr>
                <w:rFonts w:ascii="Verdana" w:eastAsia="Times New Roman" w:hAnsi="Verdana"/>
                <w:sz w:val="20"/>
                <w:szCs w:val="20"/>
              </w:rPr>
              <w:t>39.0</w:t>
            </w:r>
            <w:r>
              <w:rPr>
                <w:rFonts w:ascii="Verdana" w:eastAsia="Times New Roman" w:hAnsi="Verdana"/>
                <w:sz w:val="20"/>
                <w:szCs w:val="20"/>
              </w:rPr>
              <w:t>%</w:t>
            </w:r>
          </w:p>
        </w:tc>
      </w:tr>
      <w:tr w:rsidR="0028606D" w:rsidRPr="00502F18" w14:paraId="18B26775" w14:textId="77777777" w:rsidTr="007235AE">
        <w:trPr>
          <w:trHeight w:val="243"/>
          <w:jc w:val="center"/>
        </w:trPr>
        <w:tc>
          <w:tcPr>
            <w:tcW w:w="1728" w:type="dxa"/>
            <w:tcBorders>
              <w:top w:val="single" w:sz="4" w:space="0" w:color="auto"/>
              <w:left w:val="single" w:sz="12" w:space="0" w:color="000000"/>
              <w:bottom w:val="single" w:sz="4" w:space="0" w:color="000000"/>
              <w:right w:val="single" w:sz="12" w:space="0" w:color="0070C0"/>
            </w:tcBorders>
            <w:shd w:val="clear" w:color="auto" w:fill="auto"/>
            <w:vAlign w:val="center"/>
          </w:tcPr>
          <w:p w14:paraId="5E8E57FC" w14:textId="491691CC" w:rsidR="0028606D" w:rsidRDefault="0028606D"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May</w:t>
            </w:r>
            <w:r w:rsidR="00B7331E">
              <w:rPr>
                <w:rFonts w:ascii="Verdana" w:eastAsia="Times New Roman" w:hAnsi="Verdana"/>
                <w:sz w:val="20"/>
                <w:szCs w:val="20"/>
              </w:rPr>
              <w:t xml:space="preserve"> 2022</w:t>
            </w:r>
          </w:p>
        </w:tc>
        <w:tc>
          <w:tcPr>
            <w:tcW w:w="1296" w:type="dxa"/>
            <w:tcBorders>
              <w:top w:val="single" w:sz="4" w:space="0" w:color="auto"/>
              <w:left w:val="single" w:sz="8" w:space="0" w:color="0070C0"/>
              <w:bottom w:val="single" w:sz="4" w:space="0" w:color="000000"/>
              <w:right w:val="single" w:sz="8" w:space="0" w:color="0070C0"/>
            </w:tcBorders>
            <w:shd w:val="clear" w:color="auto" w:fill="auto"/>
            <w:vAlign w:val="center"/>
          </w:tcPr>
          <w:p w14:paraId="15D24427" w14:textId="58AC8B8A" w:rsidR="0028606D" w:rsidRDefault="0028606D" w:rsidP="0028606D">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w:t>
            </w:r>
            <w:r w:rsidR="00B7331E">
              <w:rPr>
                <w:rFonts w:ascii="Verdana" w:eastAsia="Times New Roman" w:hAnsi="Verdana"/>
                <w:sz w:val="20"/>
                <w:szCs w:val="20"/>
              </w:rPr>
              <w:t>1.85</w:t>
            </w:r>
            <w:r>
              <w:rPr>
                <w:rFonts w:ascii="Verdana" w:eastAsia="Times New Roman" w:hAnsi="Verdana"/>
                <w:sz w:val="20"/>
                <w:szCs w:val="20"/>
              </w:rPr>
              <w:t xml:space="preserve"> B</w:t>
            </w:r>
          </w:p>
        </w:tc>
        <w:tc>
          <w:tcPr>
            <w:tcW w:w="1296"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3E8D4B55" w14:textId="3EB43BF5" w:rsidR="0028606D" w:rsidRDefault="00E309FE"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+6.9</w:t>
            </w:r>
            <w:r w:rsidR="0028606D">
              <w:rPr>
                <w:rFonts w:ascii="Verdana" w:eastAsia="Times New Roman" w:hAnsi="Verdana"/>
                <w:sz w:val="20"/>
                <w:szCs w:val="20"/>
              </w:rPr>
              <w:t>%</w:t>
            </w:r>
          </w:p>
        </w:tc>
        <w:tc>
          <w:tcPr>
            <w:tcW w:w="1296" w:type="dxa"/>
            <w:tcBorders>
              <w:top w:val="single" w:sz="4" w:space="0" w:color="auto"/>
              <w:left w:val="single" w:sz="8" w:space="0" w:color="0070C0"/>
              <w:bottom w:val="single" w:sz="4" w:space="0" w:color="000000"/>
              <w:right w:val="single" w:sz="18" w:space="0" w:color="0070C0"/>
            </w:tcBorders>
            <w:shd w:val="clear" w:color="auto" w:fill="00B050"/>
            <w:vAlign w:val="center"/>
          </w:tcPr>
          <w:p w14:paraId="4D8FDA70" w14:textId="3F590CEA" w:rsidR="0028606D" w:rsidRDefault="0028606D"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+6</w:t>
            </w:r>
            <w:r w:rsidR="00E309FE">
              <w:rPr>
                <w:rFonts w:ascii="Verdana" w:eastAsia="Times New Roman" w:hAnsi="Verdana"/>
                <w:sz w:val="20"/>
                <w:szCs w:val="20"/>
              </w:rPr>
              <w:t>8</w:t>
            </w:r>
            <w:r>
              <w:rPr>
                <w:rFonts w:ascii="Verdana" w:eastAsia="Times New Roman" w:hAnsi="Verdana"/>
                <w:sz w:val="20"/>
                <w:szCs w:val="20"/>
              </w:rPr>
              <w:t>.</w:t>
            </w:r>
            <w:r w:rsidR="00E309FE">
              <w:rPr>
                <w:rFonts w:ascii="Verdana" w:eastAsia="Times New Roman" w:hAnsi="Verdana"/>
                <w:sz w:val="20"/>
                <w:szCs w:val="20"/>
              </w:rPr>
              <w:t>2</w:t>
            </w:r>
            <w:r>
              <w:rPr>
                <w:rFonts w:ascii="Verdana" w:eastAsia="Times New Roman" w:hAnsi="Verdana"/>
                <w:sz w:val="20"/>
                <w:szCs w:val="20"/>
              </w:rPr>
              <w:t>%</w:t>
            </w:r>
          </w:p>
        </w:tc>
        <w:tc>
          <w:tcPr>
            <w:tcW w:w="1728"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22BBDD5F" w14:textId="77777777" w:rsidR="0028606D" w:rsidRDefault="0028606D"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December</w:t>
            </w:r>
          </w:p>
        </w:tc>
        <w:tc>
          <w:tcPr>
            <w:tcW w:w="1296" w:type="dxa"/>
            <w:tcBorders>
              <w:top w:val="single" w:sz="4" w:space="0" w:color="000000"/>
              <w:left w:val="single" w:sz="8" w:space="0" w:color="0070C0"/>
              <w:bottom w:val="single" w:sz="4" w:space="0" w:color="000000"/>
              <w:right w:val="single" w:sz="8" w:space="0" w:color="0070C0"/>
            </w:tcBorders>
            <w:shd w:val="clear" w:color="auto" w:fill="auto"/>
            <w:vAlign w:val="center"/>
          </w:tcPr>
          <w:p w14:paraId="1C284175" w14:textId="6DE635FA" w:rsidR="0028606D" w:rsidRDefault="0028606D"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w:t>
            </w:r>
            <w:r w:rsidR="00E309FE">
              <w:rPr>
                <w:rFonts w:ascii="Verdana" w:eastAsia="Times New Roman" w:hAnsi="Verdana"/>
                <w:sz w:val="20"/>
                <w:szCs w:val="20"/>
              </w:rPr>
              <w:t>3.13</w:t>
            </w:r>
            <w:r>
              <w:rPr>
                <w:rFonts w:ascii="Verdana" w:eastAsia="Times New Roman" w:hAnsi="Verdana"/>
                <w:sz w:val="20"/>
                <w:szCs w:val="20"/>
              </w:rPr>
              <w:t xml:space="preserve"> B</w:t>
            </w:r>
          </w:p>
        </w:tc>
        <w:tc>
          <w:tcPr>
            <w:tcW w:w="1296" w:type="dxa"/>
            <w:tcBorders>
              <w:top w:val="single" w:sz="4" w:space="0" w:color="000000"/>
              <w:left w:val="single" w:sz="8" w:space="0" w:color="0070C0"/>
              <w:bottom w:val="single" w:sz="4" w:space="0" w:color="000000"/>
              <w:right w:val="single" w:sz="8" w:space="0" w:color="0070C0"/>
            </w:tcBorders>
            <w:shd w:val="clear" w:color="auto" w:fill="D6E3BC" w:themeFill="accent3" w:themeFillTint="66"/>
            <w:vAlign w:val="center"/>
          </w:tcPr>
          <w:p w14:paraId="4F63E4F8" w14:textId="1CBFB8D9" w:rsidR="0028606D" w:rsidRDefault="0028606D"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w:t>
            </w:r>
            <w:r w:rsidR="007235AE">
              <w:rPr>
                <w:rFonts w:ascii="Verdana" w:eastAsia="Times New Roman" w:hAnsi="Verdana"/>
                <w:sz w:val="20"/>
                <w:szCs w:val="20"/>
              </w:rPr>
              <w:t>22</w:t>
            </w:r>
            <w:r>
              <w:rPr>
                <w:rFonts w:ascii="Verdana" w:eastAsia="Times New Roman" w:hAnsi="Verdana"/>
                <w:sz w:val="20"/>
                <w:szCs w:val="20"/>
              </w:rPr>
              <w:t>.</w:t>
            </w:r>
            <w:r w:rsidR="007235AE">
              <w:rPr>
                <w:rFonts w:ascii="Verdana" w:eastAsia="Times New Roman" w:hAnsi="Verdana"/>
                <w:sz w:val="20"/>
                <w:szCs w:val="20"/>
              </w:rPr>
              <w:t>3</w:t>
            </w:r>
            <w:r>
              <w:rPr>
                <w:rFonts w:ascii="Verdana" w:eastAsia="Times New Roman" w:hAnsi="Verdana"/>
                <w:sz w:val="20"/>
                <w:szCs w:val="20"/>
              </w:rPr>
              <w:t>%</w:t>
            </w:r>
          </w:p>
        </w:tc>
        <w:tc>
          <w:tcPr>
            <w:tcW w:w="1296" w:type="dxa"/>
            <w:tcBorders>
              <w:top w:val="single" w:sz="4" w:space="0" w:color="000000"/>
              <w:left w:val="single" w:sz="8" w:space="0" w:color="0070C0"/>
              <w:bottom w:val="single" w:sz="4" w:space="0" w:color="000000"/>
              <w:right w:val="single" w:sz="12" w:space="0" w:color="000000"/>
            </w:tcBorders>
            <w:shd w:val="clear" w:color="auto" w:fill="C2D69B" w:themeFill="accent3" w:themeFillTint="99"/>
            <w:vAlign w:val="center"/>
          </w:tcPr>
          <w:p w14:paraId="4653D22A" w14:textId="36D89E7A" w:rsidR="0028606D" w:rsidRDefault="0028606D"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w:t>
            </w:r>
            <w:r w:rsidR="007235AE">
              <w:rPr>
                <w:rFonts w:ascii="Verdana" w:eastAsia="Times New Roman" w:hAnsi="Verdana"/>
                <w:sz w:val="20"/>
                <w:szCs w:val="20"/>
              </w:rPr>
              <w:t>36.7</w:t>
            </w:r>
            <w:r>
              <w:rPr>
                <w:rFonts w:ascii="Verdana" w:eastAsia="Times New Roman" w:hAnsi="Verdana"/>
                <w:sz w:val="20"/>
                <w:szCs w:val="20"/>
              </w:rPr>
              <w:t>%</w:t>
            </w:r>
          </w:p>
        </w:tc>
      </w:tr>
      <w:tr w:rsidR="0028606D" w:rsidRPr="00502F18" w14:paraId="0F74F365" w14:textId="77777777" w:rsidTr="007235AE">
        <w:trPr>
          <w:trHeight w:val="243"/>
          <w:jc w:val="center"/>
        </w:trPr>
        <w:tc>
          <w:tcPr>
            <w:tcW w:w="1728" w:type="dxa"/>
            <w:tcBorders>
              <w:top w:val="single" w:sz="4" w:space="0" w:color="000000"/>
              <w:left w:val="single" w:sz="12" w:space="0" w:color="000000"/>
              <w:bottom w:val="single" w:sz="4" w:space="0" w:color="000000"/>
              <w:right w:val="single" w:sz="12" w:space="0" w:color="0070C0"/>
            </w:tcBorders>
            <w:shd w:val="clear" w:color="auto" w:fill="auto"/>
            <w:vAlign w:val="center"/>
          </w:tcPr>
          <w:p w14:paraId="0F37B0F3" w14:textId="3F86B5F2" w:rsidR="0028606D" w:rsidRPr="00502F18" w:rsidRDefault="0028606D" w:rsidP="0028606D">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Jan</w:t>
            </w:r>
            <w:r>
              <w:rPr>
                <w:rFonts w:ascii="Verdana" w:hAnsi="Verdana"/>
                <w:sz w:val="20"/>
                <w:szCs w:val="20"/>
              </w:rPr>
              <w:t>–May</w:t>
            </w:r>
            <w:r w:rsidR="00B7331E">
              <w:rPr>
                <w:rFonts w:ascii="Verdana" w:hAnsi="Verdana"/>
                <w:sz w:val="20"/>
                <w:szCs w:val="20"/>
              </w:rPr>
              <w:t xml:space="preserve"> 2022</w:t>
            </w:r>
          </w:p>
        </w:tc>
        <w:tc>
          <w:tcPr>
            <w:tcW w:w="1296" w:type="dxa"/>
            <w:tcBorders>
              <w:top w:val="single" w:sz="4" w:space="0" w:color="000000"/>
              <w:left w:val="single" w:sz="8" w:space="0" w:color="0070C0"/>
              <w:bottom w:val="single" w:sz="4" w:space="0" w:color="000000"/>
              <w:right w:val="single" w:sz="8" w:space="0" w:color="0070C0"/>
            </w:tcBorders>
            <w:shd w:val="clear" w:color="auto" w:fill="auto"/>
            <w:vAlign w:val="center"/>
          </w:tcPr>
          <w:p w14:paraId="668C0BA7" w14:textId="22092C24" w:rsidR="0028606D" w:rsidRPr="00502F18" w:rsidRDefault="0028606D" w:rsidP="0028606D">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w:t>
            </w:r>
            <w:r w:rsidR="00E309FE">
              <w:rPr>
                <w:rFonts w:ascii="Verdana" w:eastAsia="Times New Roman" w:hAnsi="Verdana"/>
                <w:sz w:val="20"/>
                <w:szCs w:val="20"/>
              </w:rPr>
              <w:t>8.91</w:t>
            </w:r>
            <w:r>
              <w:rPr>
                <w:rFonts w:ascii="Verdana" w:eastAsia="Times New Roman" w:hAnsi="Verdana"/>
                <w:sz w:val="20"/>
                <w:szCs w:val="20"/>
              </w:rPr>
              <w:t xml:space="preserve"> B</w:t>
            </w:r>
          </w:p>
        </w:tc>
        <w:tc>
          <w:tcPr>
            <w:tcW w:w="1296" w:type="dxa"/>
            <w:tcBorders>
              <w:top w:val="single" w:sz="4" w:space="0" w:color="000000"/>
              <w:left w:val="single" w:sz="8" w:space="0" w:color="0070C0"/>
              <w:bottom w:val="single" w:sz="4" w:space="0" w:color="000000"/>
              <w:right w:val="single" w:sz="8" w:space="0" w:color="0070C0"/>
            </w:tcBorders>
            <w:shd w:val="clear" w:color="auto" w:fill="EAF1DD" w:themeFill="accent3" w:themeFillTint="33"/>
            <w:vAlign w:val="center"/>
          </w:tcPr>
          <w:p w14:paraId="25A7FA68" w14:textId="37136C96" w:rsidR="0028606D" w:rsidRPr="00502F18" w:rsidRDefault="00E309FE" w:rsidP="0028606D">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+5.5</w:t>
            </w:r>
            <w:r w:rsidR="0028606D">
              <w:rPr>
                <w:rFonts w:ascii="Verdana" w:eastAsia="Times New Roman" w:hAnsi="Verdana"/>
                <w:sz w:val="20"/>
                <w:szCs w:val="20"/>
              </w:rPr>
              <w:t>%</w:t>
            </w:r>
          </w:p>
        </w:tc>
        <w:tc>
          <w:tcPr>
            <w:tcW w:w="1296" w:type="dxa"/>
            <w:tcBorders>
              <w:top w:val="single" w:sz="4" w:space="0" w:color="000000"/>
              <w:left w:val="single" w:sz="8" w:space="0" w:color="0070C0"/>
              <w:bottom w:val="single" w:sz="4" w:space="0" w:color="000000"/>
              <w:right w:val="single" w:sz="18" w:space="0" w:color="0070C0"/>
            </w:tcBorders>
            <w:shd w:val="clear" w:color="auto" w:fill="00B050"/>
            <w:vAlign w:val="center"/>
          </w:tcPr>
          <w:p w14:paraId="383E4179" w14:textId="08C3576F" w:rsidR="0028606D" w:rsidRPr="00502F18" w:rsidRDefault="0028606D" w:rsidP="0028606D">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w:t>
            </w:r>
            <w:r w:rsidR="00E309FE">
              <w:rPr>
                <w:rFonts w:ascii="Verdana" w:eastAsia="Times New Roman" w:hAnsi="Verdana"/>
                <w:sz w:val="20"/>
                <w:szCs w:val="20"/>
              </w:rPr>
              <w:t>91.6</w:t>
            </w:r>
            <w:r>
              <w:rPr>
                <w:rFonts w:ascii="Verdana" w:eastAsia="Times New Roman" w:hAnsi="Verdana"/>
                <w:sz w:val="20"/>
                <w:szCs w:val="20"/>
              </w:rPr>
              <w:t>%</w:t>
            </w:r>
          </w:p>
        </w:tc>
        <w:tc>
          <w:tcPr>
            <w:tcW w:w="1728"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476282B1" w14:textId="77777777" w:rsidR="0028606D" w:rsidRPr="00502F18" w:rsidRDefault="0028606D" w:rsidP="0028606D">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Fourth quarter</w:t>
            </w:r>
          </w:p>
        </w:tc>
        <w:tc>
          <w:tcPr>
            <w:tcW w:w="1296" w:type="dxa"/>
            <w:tcBorders>
              <w:top w:val="single" w:sz="4" w:space="0" w:color="000000"/>
              <w:left w:val="single" w:sz="8" w:space="0" w:color="0070C0"/>
              <w:bottom w:val="single" w:sz="4" w:space="0" w:color="000000"/>
              <w:right w:val="single" w:sz="8" w:space="0" w:color="0070C0"/>
            </w:tcBorders>
            <w:shd w:val="clear" w:color="auto" w:fill="auto"/>
            <w:vAlign w:val="center"/>
          </w:tcPr>
          <w:p w14:paraId="293CA1EF" w14:textId="3589A37E" w:rsidR="0028606D" w:rsidRPr="00502F18" w:rsidRDefault="0028606D" w:rsidP="0028606D">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w:t>
            </w:r>
            <w:r w:rsidR="00E309FE">
              <w:rPr>
                <w:rFonts w:ascii="Verdana" w:eastAsia="Times New Roman" w:hAnsi="Verdana"/>
                <w:sz w:val="20"/>
                <w:szCs w:val="20"/>
              </w:rPr>
              <w:t>8.01</w:t>
            </w:r>
            <w:r>
              <w:rPr>
                <w:rFonts w:ascii="Verdana" w:eastAsia="Times New Roman" w:hAnsi="Verdana"/>
                <w:sz w:val="20"/>
                <w:szCs w:val="20"/>
              </w:rPr>
              <w:t xml:space="preserve"> B</w:t>
            </w:r>
          </w:p>
        </w:tc>
        <w:tc>
          <w:tcPr>
            <w:tcW w:w="1296" w:type="dxa"/>
            <w:tcBorders>
              <w:top w:val="single" w:sz="4" w:space="0" w:color="000000"/>
              <w:left w:val="single" w:sz="8" w:space="0" w:color="0070C0"/>
              <w:bottom w:val="single" w:sz="4" w:space="0" w:color="000000"/>
              <w:right w:val="single" w:sz="8" w:space="0" w:color="0070C0"/>
            </w:tcBorders>
            <w:shd w:val="clear" w:color="auto" w:fill="D6E3BC" w:themeFill="accent3" w:themeFillTint="66"/>
            <w:vAlign w:val="center"/>
          </w:tcPr>
          <w:p w14:paraId="161D1B4E" w14:textId="34500953" w:rsidR="0028606D" w:rsidRPr="00502F18" w:rsidRDefault="0028606D" w:rsidP="0028606D">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w:t>
            </w:r>
            <w:r w:rsidR="007235AE">
              <w:rPr>
                <w:rFonts w:ascii="Verdana" w:eastAsia="Times New Roman" w:hAnsi="Verdana"/>
                <w:sz w:val="20"/>
                <w:szCs w:val="20"/>
              </w:rPr>
              <w:t>21.9</w:t>
            </w:r>
            <w:r>
              <w:rPr>
                <w:rFonts w:ascii="Verdana" w:eastAsia="Times New Roman" w:hAnsi="Verdana"/>
                <w:sz w:val="20"/>
                <w:szCs w:val="20"/>
              </w:rPr>
              <w:t>%</w:t>
            </w:r>
          </w:p>
        </w:tc>
        <w:tc>
          <w:tcPr>
            <w:tcW w:w="1296" w:type="dxa"/>
            <w:tcBorders>
              <w:top w:val="single" w:sz="4" w:space="0" w:color="000000"/>
              <w:left w:val="single" w:sz="8" w:space="0" w:color="0070C0"/>
              <w:bottom w:val="single" w:sz="4" w:space="0" w:color="000000"/>
              <w:right w:val="single" w:sz="12" w:space="0" w:color="000000"/>
            </w:tcBorders>
            <w:shd w:val="clear" w:color="auto" w:fill="C2D69B" w:themeFill="accent3" w:themeFillTint="99"/>
            <w:vAlign w:val="center"/>
          </w:tcPr>
          <w:p w14:paraId="75AD2BC4" w14:textId="77777777" w:rsidR="0028606D" w:rsidRPr="00502F18" w:rsidRDefault="0028606D" w:rsidP="0028606D">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+44.8%</w:t>
            </w:r>
          </w:p>
        </w:tc>
      </w:tr>
      <w:tr w:rsidR="0028606D" w:rsidRPr="00502F18" w14:paraId="7E8DE391" w14:textId="77777777" w:rsidTr="007235AE">
        <w:trPr>
          <w:trHeight w:val="243"/>
          <w:jc w:val="center"/>
        </w:trPr>
        <w:tc>
          <w:tcPr>
            <w:tcW w:w="1728" w:type="dxa"/>
            <w:tcBorders>
              <w:top w:val="single" w:sz="4" w:space="0" w:color="000000"/>
              <w:left w:val="single" w:sz="12" w:space="0" w:color="000000"/>
              <w:bottom w:val="single" w:sz="12" w:space="0" w:color="000000"/>
              <w:right w:val="single" w:sz="12" w:space="0" w:color="0070C0"/>
            </w:tcBorders>
            <w:shd w:val="clear" w:color="auto" w:fill="D9D9D9" w:themeFill="background1" w:themeFillShade="D9"/>
            <w:vAlign w:val="center"/>
          </w:tcPr>
          <w:p w14:paraId="14AA2078" w14:textId="14EAF907" w:rsidR="0028606D" w:rsidRDefault="0028606D" w:rsidP="0028606D">
            <w:pPr>
              <w:widowControl w:val="0"/>
              <w:tabs>
                <w:tab w:val="left" w:pos="220"/>
                <w:tab w:val="left" w:pos="720"/>
              </w:tabs>
              <w:autoSpaceDE w:val="0"/>
              <w:autoSpaceDN w:val="0"/>
              <w:adjustRightInd w:val="0"/>
              <w:contextualSpacing/>
              <w:rPr>
                <w:rFonts w:ascii="Verdana" w:eastAsia="Times New Roman" w:hAnsi="Verdana"/>
                <w:sz w:val="20"/>
                <w:szCs w:val="20"/>
              </w:rPr>
            </w:pPr>
          </w:p>
        </w:tc>
        <w:tc>
          <w:tcPr>
            <w:tcW w:w="1296" w:type="dxa"/>
            <w:tcBorders>
              <w:top w:val="single" w:sz="4" w:space="0" w:color="000000"/>
              <w:left w:val="single" w:sz="8" w:space="0" w:color="0070C0"/>
              <w:bottom w:val="single" w:sz="12" w:space="0" w:color="000000"/>
              <w:right w:val="single" w:sz="8" w:space="0" w:color="0070C0"/>
            </w:tcBorders>
            <w:shd w:val="clear" w:color="auto" w:fill="D9D9D9" w:themeFill="background1" w:themeFillShade="D9"/>
            <w:vAlign w:val="center"/>
          </w:tcPr>
          <w:p w14:paraId="5DAC469A" w14:textId="4B0EE16D" w:rsidR="0028606D" w:rsidRPr="00502F18" w:rsidRDefault="0028606D" w:rsidP="0028606D">
            <w:pPr>
              <w:widowControl w:val="0"/>
              <w:tabs>
                <w:tab w:val="left" w:pos="220"/>
                <w:tab w:val="left" w:pos="720"/>
              </w:tabs>
              <w:autoSpaceDE w:val="0"/>
              <w:autoSpaceDN w:val="0"/>
              <w:adjustRightInd w:val="0"/>
              <w:contextualSpacing/>
              <w:jc w:val="right"/>
              <w:rPr>
                <w:rFonts w:ascii="Verdana" w:eastAsia="Times New Roman" w:hAnsi="Verdana"/>
                <w:sz w:val="20"/>
                <w:szCs w:val="20"/>
              </w:rPr>
            </w:pPr>
          </w:p>
        </w:tc>
        <w:tc>
          <w:tcPr>
            <w:tcW w:w="1296" w:type="dxa"/>
            <w:tcBorders>
              <w:top w:val="single" w:sz="4" w:space="0" w:color="000000"/>
              <w:left w:val="single" w:sz="8" w:space="0" w:color="0070C0"/>
              <w:bottom w:val="single" w:sz="12" w:space="0" w:color="000000"/>
              <w:right w:val="single" w:sz="8" w:space="0" w:color="0070C0"/>
            </w:tcBorders>
            <w:shd w:val="clear" w:color="auto" w:fill="D9D9D9" w:themeFill="background1" w:themeFillShade="D9"/>
            <w:vAlign w:val="center"/>
          </w:tcPr>
          <w:p w14:paraId="351D65D3" w14:textId="0BB57324" w:rsidR="0028606D" w:rsidRPr="00502F18" w:rsidRDefault="0028606D" w:rsidP="0028606D">
            <w:pPr>
              <w:widowControl w:val="0"/>
              <w:tabs>
                <w:tab w:val="left" w:pos="220"/>
                <w:tab w:val="left" w:pos="720"/>
              </w:tabs>
              <w:autoSpaceDE w:val="0"/>
              <w:autoSpaceDN w:val="0"/>
              <w:adjustRightInd w:val="0"/>
              <w:contextualSpacing/>
              <w:jc w:val="right"/>
              <w:rPr>
                <w:rFonts w:ascii="Verdana" w:eastAsia="Times New Roman" w:hAnsi="Verdana"/>
                <w:sz w:val="20"/>
                <w:szCs w:val="20"/>
              </w:rPr>
            </w:pPr>
          </w:p>
        </w:tc>
        <w:tc>
          <w:tcPr>
            <w:tcW w:w="1296" w:type="dxa"/>
            <w:tcBorders>
              <w:top w:val="single" w:sz="4" w:space="0" w:color="000000"/>
              <w:left w:val="single" w:sz="8" w:space="0" w:color="0070C0"/>
              <w:bottom w:val="single" w:sz="12" w:space="0" w:color="000000"/>
              <w:right w:val="single" w:sz="18" w:space="0" w:color="0070C0"/>
            </w:tcBorders>
            <w:shd w:val="clear" w:color="auto" w:fill="D9D9D9" w:themeFill="background1" w:themeFillShade="D9"/>
            <w:vAlign w:val="center"/>
          </w:tcPr>
          <w:p w14:paraId="43D82E5D" w14:textId="25716ED4" w:rsidR="0028606D" w:rsidRPr="00502F18" w:rsidRDefault="0028606D" w:rsidP="0028606D">
            <w:pPr>
              <w:widowControl w:val="0"/>
              <w:tabs>
                <w:tab w:val="left" w:pos="220"/>
                <w:tab w:val="left" w:pos="720"/>
              </w:tabs>
              <w:autoSpaceDE w:val="0"/>
              <w:autoSpaceDN w:val="0"/>
              <w:adjustRightInd w:val="0"/>
              <w:contextualSpacing/>
              <w:jc w:val="right"/>
              <w:rPr>
                <w:rFonts w:ascii="Verdana" w:eastAsia="Times New Roman" w:hAnsi="Verdana"/>
                <w:sz w:val="20"/>
                <w:szCs w:val="20"/>
              </w:rPr>
            </w:pPr>
          </w:p>
        </w:tc>
        <w:tc>
          <w:tcPr>
            <w:tcW w:w="1728" w:type="dxa"/>
            <w:tcBorders>
              <w:top w:val="single" w:sz="4" w:space="0" w:color="000000"/>
              <w:left w:val="single" w:sz="18" w:space="0" w:color="0070C0"/>
              <w:bottom w:val="single" w:sz="12" w:space="0" w:color="000000"/>
              <w:right w:val="single" w:sz="12" w:space="0" w:color="0070C0"/>
            </w:tcBorders>
            <w:shd w:val="clear" w:color="auto" w:fill="auto"/>
            <w:vAlign w:val="center"/>
          </w:tcPr>
          <w:p w14:paraId="5777700A" w14:textId="77777777" w:rsidR="0028606D" w:rsidRDefault="0028606D" w:rsidP="0028606D">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2021 (All)</w:t>
            </w:r>
          </w:p>
        </w:tc>
        <w:tc>
          <w:tcPr>
            <w:tcW w:w="1296" w:type="dxa"/>
            <w:tcBorders>
              <w:top w:val="single" w:sz="4" w:space="0" w:color="000000"/>
              <w:left w:val="single" w:sz="8" w:space="0" w:color="0070C0"/>
              <w:bottom w:val="single" w:sz="12" w:space="0" w:color="000000"/>
              <w:right w:val="single" w:sz="8" w:space="0" w:color="0070C0"/>
            </w:tcBorders>
            <w:shd w:val="clear" w:color="auto" w:fill="auto"/>
            <w:vAlign w:val="center"/>
          </w:tcPr>
          <w:p w14:paraId="1C1209B3" w14:textId="2E55EFB9" w:rsidR="0028606D" w:rsidRDefault="0028606D" w:rsidP="0028606D">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w:t>
            </w:r>
            <w:r w:rsidR="00E309FE">
              <w:rPr>
                <w:rFonts w:ascii="Verdana" w:eastAsia="Times New Roman" w:hAnsi="Verdana"/>
                <w:sz w:val="20"/>
                <w:szCs w:val="20"/>
              </w:rPr>
              <w:t>23.64</w:t>
            </w:r>
            <w:r>
              <w:rPr>
                <w:rFonts w:ascii="Verdana" w:eastAsia="Times New Roman" w:hAnsi="Verdana"/>
                <w:sz w:val="20"/>
                <w:szCs w:val="20"/>
              </w:rPr>
              <w:t xml:space="preserve"> B</w:t>
            </w:r>
          </w:p>
        </w:tc>
        <w:tc>
          <w:tcPr>
            <w:tcW w:w="1296" w:type="dxa"/>
            <w:tcBorders>
              <w:top w:val="single" w:sz="4" w:space="0" w:color="000000"/>
              <w:left w:val="single" w:sz="8" w:space="0" w:color="0070C0"/>
              <w:bottom w:val="single" w:sz="12" w:space="0" w:color="000000"/>
              <w:right w:val="single" w:sz="8" w:space="0" w:color="0070C0"/>
            </w:tcBorders>
            <w:shd w:val="clear" w:color="auto" w:fill="C2D69B" w:themeFill="accent3" w:themeFillTint="99"/>
            <w:vAlign w:val="center"/>
          </w:tcPr>
          <w:p w14:paraId="7B0AD83D" w14:textId="470A3C5A" w:rsidR="0028606D" w:rsidRDefault="0028606D" w:rsidP="0028606D">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w:t>
            </w:r>
            <w:r w:rsidR="007235AE">
              <w:rPr>
                <w:rFonts w:ascii="Verdana" w:eastAsia="Times New Roman" w:hAnsi="Verdana"/>
                <w:sz w:val="20"/>
                <w:szCs w:val="20"/>
              </w:rPr>
              <w:t>38.8</w:t>
            </w:r>
            <w:r>
              <w:rPr>
                <w:rFonts w:ascii="Verdana" w:eastAsia="Times New Roman" w:hAnsi="Verdana"/>
                <w:sz w:val="20"/>
                <w:szCs w:val="20"/>
              </w:rPr>
              <w:t>%</w:t>
            </w:r>
          </w:p>
        </w:tc>
        <w:tc>
          <w:tcPr>
            <w:tcW w:w="1296" w:type="dxa"/>
            <w:tcBorders>
              <w:top w:val="single" w:sz="4" w:space="0" w:color="000000"/>
              <w:left w:val="single" w:sz="8" w:space="0" w:color="0070C0"/>
              <w:bottom w:val="single" w:sz="12" w:space="0" w:color="000000"/>
              <w:right w:val="single" w:sz="12" w:space="0" w:color="000000"/>
            </w:tcBorders>
            <w:shd w:val="clear" w:color="auto" w:fill="C2D69B" w:themeFill="accent3" w:themeFillTint="99"/>
            <w:vAlign w:val="center"/>
          </w:tcPr>
          <w:p w14:paraId="6A168F8C" w14:textId="7EA9AAD1" w:rsidR="0028606D" w:rsidRDefault="0028606D" w:rsidP="0028606D">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w:t>
            </w:r>
            <w:r w:rsidR="007235AE">
              <w:rPr>
                <w:rFonts w:ascii="Verdana" w:eastAsia="Times New Roman" w:hAnsi="Verdana"/>
                <w:sz w:val="20"/>
                <w:szCs w:val="20"/>
              </w:rPr>
              <w:t>39.8</w:t>
            </w:r>
            <w:r>
              <w:rPr>
                <w:rFonts w:ascii="Verdana" w:eastAsia="Times New Roman" w:hAnsi="Verdana"/>
                <w:sz w:val="20"/>
                <w:szCs w:val="20"/>
              </w:rPr>
              <w:t>%</w:t>
            </w:r>
          </w:p>
        </w:tc>
      </w:tr>
    </w:tbl>
    <w:p w14:paraId="24603F98" w14:textId="67D3F2D2" w:rsidR="0028606D" w:rsidRDefault="0028606D" w:rsidP="0028606D">
      <w:pPr>
        <w:ind w:hanging="900"/>
        <w:contextualSpacing/>
        <w:mirrorIndents/>
        <w:rPr>
          <w:rFonts w:ascii="Verdana" w:hAnsi="Verdana"/>
          <w:sz w:val="20"/>
          <w:szCs w:val="20"/>
        </w:rPr>
      </w:pPr>
      <w:r>
        <w:rPr>
          <w:rFonts w:ascii="Verdana" w:hAnsi="Verdana"/>
          <w:iCs/>
          <w:sz w:val="16"/>
          <w:szCs w:val="16"/>
        </w:rPr>
        <w:t>US Census Bureau</w:t>
      </w:r>
      <w:r w:rsidRPr="00502F18">
        <w:rPr>
          <w:rFonts w:ascii="Verdana" w:hAnsi="Verdana"/>
          <w:sz w:val="16"/>
          <w:szCs w:val="16"/>
        </w:rPr>
        <w:t xml:space="preserve">, </w:t>
      </w:r>
      <w:r>
        <w:rPr>
          <w:rFonts w:ascii="Verdana" w:hAnsi="Verdana"/>
          <w:sz w:val="16"/>
          <w:szCs w:val="16"/>
        </w:rPr>
        <w:t>July 2022</w:t>
      </w:r>
      <w:r w:rsidRPr="00502F18">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*NAICS 45112</w:t>
      </w:r>
    </w:p>
    <w:p w14:paraId="6AE50297" w14:textId="77777777" w:rsidR="00FB2F03" w:rsidRDefault="00FB2F03" w:rsidP="00F36F72">
      <w:pPr>
        <w:rPr>
          <w:rFonts w:ascii="Verdana" w:hAnsi="Verdana"/>
          <w:sz w:val="20"/>
          <w:szCs w:val="20"/>
        </w:rPr>
      </w:pPr>
    </w:p>
    <w:p w14:paraId="5C35E4F5" w14:textId="39C58DFD" w:rsidR="00F36F72" w:rsidRPr="007235AE" w:rsidRDefault="00F36F72" w:rsidP="007235AE">
      <w:pPr>
        <w:jc w:val="center"/>
        <w:rPr>
          <w:rFonts w:ascii="Verdana" w:hAnsi="Verdana"/>
          <w:b/>
          <w:bCs/>
          <w:color w:val="0070C0"/>
          <w:sz w:val="20"/>
          <w:szCs w:val="20"/>
        </w:rPr>
      </w:pPr>
      <w:r w:rsidRPr="007235AE">
        <w:rPr>
          <w:rFonts w:ascii="Verdana" w:hAnsi="Verdana"/>
          <w:b/>
          <w:bCs/>
          <w:color w:val="0070C0"/>
          <w:sz w:val="20"/>
          <w:szCs w:val="20"/>
        </w:rPr>
        <w:t>Some Toy Categories Lose Ground</w:t>
      </w:r>
    </w:p>
    <w:p w14:paraId="1A9D7195" w14:textId="77777777" w:rsidR="00F36F72" w:rsidRPr="00F36F72" w:rsidRDefault="00F36F72" w:rsidP="00F36F72">
      <w:pPr>
        <w:rPr>
          <w:rFonts w:ascii="Verdana" w:hAnsi="Verdana"/>
          <w:sz w:val="20"/>
          <w:szCs w:val="20"/>
        </w:rPr>
      </w:pPr>
    </w:p>
    <w:p w14:paraId="1AED5DB4" w14:textId="2D11F36A" w:rsidR="007235AE" w:rsidRDefault="00D6540B" w:rsidP="00F36F72">
      <w:pPr>
        <w:rPr>
          <w:rFonts w:ascii="Verdana" w:hAnsi="Verdana"/>
          <w:sz w:val="20"/>
          <w:szCs w:val="20"/>
        </w:rPr>
      </w:pPr>
      <w:r>
        <w:rPr>
          <w:rFonts w:ascii="Verdana" w:hAnsi="Verdana"/>
          <w:sz w:val="20"/>
          <w:szCs w:val="20"/>
        </w:rPr>
        <w:t>Although the 5.5% increase in January through May 2022 sales at “hobby, toy and game stores” was respectable, compared to the huge increase from 2020, The NPD Group reported just a 1% increase in “toy industry” sales for the January–April 2022 period.</w:t>
      </w:r>
    </w:p>
    <w:p w14:paraId="24B3EB99" w14:textId="25620801" w:rsidR="00D6540B" w:rsidRDefault="00D6540B" w:rsidP="00F36F72">
      <w:pPr>
        <w:rPr>
          <w:rFonts w:ascii="Verdana" w:hAnsi="Verdana"/>
          <w:sz w:val="20"/>
          <w:szCs w:val="20"/>
        </w:rPr>
      </w:pPr>
    </w:p>
    <w:p w14:paraId="3CD9C36A" w14:textId="7C0A6ED0" w:rsidR="00D6540B" w:rsidRDefault="008D013F" w:rsidP="00F36F72">
      <w:pPr>
        <w:rPr>
          <w:rFonts w:ascii="Verdana" w:hAnsi="Verdana"/>
          <w:sz w:val="20"/>
          <w:szCs w:val="20"/>
        </w:rPr>
      </w:pPr>
      <w:r>
        <w:rPr>
          <w:rFonts w:ascii="Verdana" w:hAnsi="Verdana"/>
          <w:sz w:val="20"/>
          <w:szCs w:val="20"/>
        </w:rPr>
        <w:t xml:space="preserve">Inflation and general financial concerns have caused many consumers to spend fewer discretionary dollars during 2022. According to Numerator’s July </w:t>
      </w:r>
      <w:r w:rsidR="00575421">
        <w:rPr>
          <w:rFonts w:ascii="Verdana" w:hAnsi="Verdana"/>
          <w:sz w:val="20"/>
          <w:szCs w:val="20"/>
        </w:rPr>
        <w:t xml:space="preserve">Consumer </w:t>
      </w:r>
      <w:r>
        <w:rPr>
          <w:rFonts w:ascii="Verdana" w:hAnsi="Verdana"/>
          <w:sz w:val="20"/>
          <w:szCs w:val="20"/>
        </w:rPr>
        <w:t>Sentiment Study, 33% of those surveyed said they would spend less on toys, games or arts &amp; crafts.</w:t>
      </w:r>
    </w:p>
    <w:p w14:paraId="09F0D20B" w14:textId="76B69874" w:rsidR="00095406" w:rsidRDefault="00095406" w:rsidP="00F36F72">
      <w:pPr>
        <w:rPr>
          <w:rFonts w:ascii="Verdana" w:hAnsi="Verdana"/>
          <w:sz w:val="20"/>
          <w:szCs w:val="20"/>
        </w:rPr>
      </w:pPr>
    </w:p>
    <w:p w14:paraId="2E2CF0ED" w14:textId="16D0A849" w:rsidR="008D013F" w:rsidRDefault="00095406" w:rsidP="00F36F72">
      <w:pPr>
        <w:rPr>
          <w:rFonts w:ascii="Verdana" w:hAnsi="Verdana"/>
          <w:sz w:val="20"/>
          <w:szCs w:val="20"/>
        </w:rPr>
      </w:pPr>
      <w:r>
        <w:rPr>
          <w:rFonts w:ascii="Verdana" w:hAnsi="Verdana"/>
          <w:sz w:val="20"/>
          <w:szCs w:val="20"/>
        </w:rPr>
        <w:t>82% of consumers participating in the Numerator survey said they expected inflation to increase during the next few months and the #1 concern of 78% of them was “increasing prices on essential goods and services.”</w:t>
      </w:r>
    </w:p>
    <w:p w14:paraId="5C324426" w14:textId="77777777" w:rsidR="00095406" w:rsidRDefault="00095406" w:rsidP="00F36F72">
      <w:pPr>
        <w:rPr>
          <w:rFonts w:ascii="Verdana" w:hAnsi="Verdana"/>
          <w:sz w:val="20"/>
          <w:szCs w:val="20"/>
        </w:rPr>
      </w:pPr>
    </w:p>
    <w:p w14:paraId="231346CB" w14:textId="77B37C76" w:rsidR="000B3C35" w:rsidRPr="004F2F2E" w:rsidRDefault="000B3C35" w:rsidP="000B3C35">
      <w:pPr>
        <w:pStyle w:val="Header"/>
        <w:contextualSpacing/>
        <w:jc w:val="center"/>
        <w:rPr>
          <w:rFonts w:ascii="Verdana" w:hAnsi="Verdana"/>
          <w:b/>
          <w:sz w:val="20"/>
          <w:szCs w:val="20"/>
        </w:rPr>
      </w:pPr>
      <w:r>
        <w:rPr>
          <w:rFonts w:ascii="Verdana" w:hAnsi="Verdana"/>
          <w:b/>
          <w:sz w:val="20"/>
          <w:szCs w:val="20"/>
        </w:rPr>
        <w:t>Total January–April 2022 Toy Sales by Category and Compared to 2021 and 2019</w:t>
      </w:r>
    </w:p>
    <w:tbl>
      <w:tblPr>
        <w:tblW w:w="10858" w:type="dxa"/>
        <w:jc w:val="center"/>
        <w:tblBorders>
          <w:left w:val="single" w:sz="8" w:space="0" w:color="000000"/>
          <w:right w:val="single" w:sz="8" w:space="0" w:color="000000"/>
        </w:tblBorders>
        <w:tblLayout w:type="fixed"/>
        <w:tblLook w:val="0000" w:firstRow="0" w:lastRow="0" w:firstColumn="0" w:lastColumn="0" w:noHBand="0" w:noVBand="0"/>
      </w:tblPr>
      <w:tblGrid>
        <w:gridCol w:w="2837"/>
        <w:gridCol w:w="1296"/>
        <w:gridCol w:w="1296"/>
        <w:gridCol w:w="2837"/>
        <w:gridCol w:w="1296"/>
        <w:gridCol w:w="1296"/>
      </w:tblGrid>
      <w:tr w:rsidR="000B3C35" w:rsidRPr="004F2F2E" w14:paraId="057F254A" w14:textId="77777777" w:rsidTr="00120BB0">
        <w:trPr>
          <w:jc w:val="center"/>
        </w:trPr>
        <w:tc>
          <w:tcPr>
            <w:tcW w:w="2837" w:type="dxa"/>
            <w:tcBorders>
              <w:top w:val="single" w:sz="12" w:space="0" w:color="000000"/>
              <w:left w:val="single" w:sz="12" w:space="0" w:color="000000"/>
              <w:bottom w:val="single" w:sz="18" w:space="0" w:color="C0504D" w:themeColor="accent2"/>
              <w:right w:val="single" w:sz="12" w:space="0" w:color="0070C0"/>
            </w:tcBorders>
            <w:shd w:val="clear" w:color="auto" w:fill="auto"/>
            <w:vAlign w:val="center"/>
          </w:tcPr>
          <w:p w14:paraId="358F8E6C" w14:textId="77777777" w:rsidR="000B3C35" w:rsidRPr="004F2F2E" w:rsidRDefault="000B3C35" w:rsidP="00120BB0">
            <w:pPr>
              <w:widowControl w:val="0"/>
              <w:tabs>
                <w:tab w:val="left" w:pos="220"/>
                <w:tab w:val="left" w:pos="720"/>
              </w:tabs>
              <w:autoSpaceDE w:val="0"/>
              <w:autoSpaceDN w:val="0"/>
              <w:adjustRightInd w:val="0"/>
              <w:contextualSpacing/>
              <w:jc w:val="center"/>
              <w:rPr>
                <w:rFonts w:ascii="Verdana" w:eastAsia="Times New Roman" w:hAnsi="Verdana"/>
                <w:sz w:val="20"/>
                <w:szCs w:val="20"/>
              </w:rPr>
            </w:pPr>
            <w:r>
              <w:rPr>
                <w:rFonts w:ascii="Verdana" w:eastAsia="Times New Roman" w:hAnsi="Verdana"/>
                <w:sz w:val="20"/>
                <w:szCs w:val="20"/>
              </w:rPr>
              <w:t>Category</w:t>
            </w:r>
          </w:p>
        </w:tc>
        <w:tc>
          <w:tcPr>
            <w:tcW w:w="1296" w:type="dxa"/>
            <w:tcBorders>
              <w:top w:val="single" w:sz="12" w:space="0" w:color="000000"/>
              <w:left w:val="single" w:sz="12" w:space="0" w:color="0070C0"/>
              <w:bottom w:val="single" w:sz="18" w:space="0" w:color="C0504D" w:themeColor="accent2"/>
              <w:right w:val="single" w:sz="8" w:space="0" w:color="0070C0"/>
            </w:tcBorders>
            <w:shd w:val="clear" w:color="auto" w:fill="auto"/>
            <w:vAlign w:val="center"/>
          </w:tcPr>
          <w:p w14:paraId="5F57934F" w14:textId="77777777" w:rsidR="000B3C35" w:rsidRDefault="000B3C35" w:rsidP="00120BB0">
            <w:pPr>
              <w:widowControl w:val="0"/>
              <w:tabs>
                <w:tab w:val="left" w:pos="220"/>
                <w:tab w:val="left" w:pos="720"/>
              </w:tabs>
              <w:autoSpaceDE w:val="0"/>
              <w:autoSpaceDN w:val="0"/>
              <w:adjustRightInd w:val="0"/>
              <w:contextualSpacing/>
              <w:jc w:val="center"/>
              <w:rPr>
                <w:rFonts w:ascii="Verdana" w:eastAsia="Times New Roman" w:hAnsi="Verdana"/>
                <w:sz w:val="20"/>
                <w:szCs w:val="20"/>
              </w:rPr>
            </w:pPr>
            <w:r>
              <w:rPr>
                <w:rFonts w:ascii="Verdana" w:eastAsia="Times New Roman" w:hAnsi="Verdana"/>
                <w:sz w:val="20"/>
                <w:szCs w:val="20"/>
              </w:rPr>
              <w:t>Change from 2020</w:t>
            </w:r>
          </w:p>
        </w:tc>
        <w:tc>
          <w:tcPr>
            <w:tcW w:w="1296" w:type="dxa"/>
            <w:tcBorders>
              <w:top w:val="single" w:sz="12" w:space="0" w:color="000000"/>
              <w:left w:val="single" w:sz="8" w:space="0" w:color="0070C0"/>
              <w:bottom w:val="single" w:sz="18" w:space="0" w:color="C0504D" w:themeColor="accent2"/>
              <w:right w:val="single" w:sz="18" w:space="0" w:color="0070C0"/>
            </w:tcBorders>
            <w:shd w:val="clear" w:color="auto" w:fill="auto"/>
            <w:vAlign w:val="center"/>
          </w:tcPr>
          <w:p w14:paraId="3DBB21E1" w14:textId="77777777" w:rsidR="000B3C35" w:rsidRPr="004F2F2E" w:rsidRDefault="000B3C35" w:rsidP="00120BB0">
            <w:pPr>
              <w:widowControl w:val="0"/>
              <w:tabs>
                <w:tab w:val="left" w:pos="220"/>
                <w:tab w:val="left" w:pos="720"/>
              </w:tabs>
              <w:autoSpaceDE w:val="0"/>
              <w:autoSpaceDN w:val="0"/>
              <w:adjustRightInd w:val="0"/>
              <w:contextualSpacing/>
              <w:jc w:val="center"/>
              <w:rPr>
                <w:rFonts w:ascii="Verdana" w:eastAsia="Times New Roman" w:hAnsi="Verdana"/>
                <w:sz w:val="20"/>
                <w:szCs w:val="20"/>
              </w:rPr>
            </w:pPr>
            <w:r>
              <w:rPr>
                <w:rFonts w:ascii="Verdana" w:eastAsia="Times New Roman" w:hAnsi="Verdana"/>
                <w:sz w:val="20"/>
                <w:szCs w:val="20"/>
              </w:rPr>
              <w:t>Change from 2019</w:t>
            </w:r>
          </w:p>
        </w:tc>
        <w:tc>
          <w:tcPr>
            <w:tcW w:w="2837" w:type="dxa"/>
            <w:tcBorders>
              <w:top w:val="single" w:sz="12" w:space="0" w:color="000000"/>
              <w:left w:val="single" w:sz="18" w:space="0" w:color="0070C0"/>
              <w:bottom w:val="single" w:sz="18" w:space="0" w:color="C0504D" w:themeColor="accent2"/>
              <w:right w:val="single" w:sz="12" w:space="0" w:color="0070C0"/>
            </w:tcBorders>
            <w:shd w:val="clear" w:color="auto" w:fill="auto"/>
            <w:vAlign w:val="center"/>
          </w:tcPr>
          <w:p w14:paraId="4F0F88F5" w14:textId="77777777" w:rsidR="000B3C35" w:rsidRPr="004F2F2E" w:rsidRDefault="000B3C35" w:rsidP="00120BB0">
            <w:pPr>
              <w:widowControl w:val="0"/>
              <w:tabs>
                <w:tab w:val="left" w:pos="220"/>
                <w:tab w:val="left" w:pos="720"/>
              </w:tabs>
              <w:autoSpaceDE w:val="0"/>
              <w:autoSpaceDN w:val="0"/>
              <w:adjustRightInd w:val="0"/>
              <w:contextualSpacing/>
              <w:jc w:val="center"/>
              <w:rPr>
                <w:rFonts w:ascii="Verdana" w:eastAsia="Times New Roman" w:hAnsi="Verdana"/>
                <w:sz w:val="20"/>
                <w:szCs w:val="20"/>
              </w:rPr>
            </w:pPr>
            <w:r>
              <w:rPr>
                <w:rFonts w:ascii="Verdana" w:eastAsia="Times New Roman" w:hAnsi="Verdana"/>
                <w:sz w:val="20"/>
                <w:szCs w:val="20"/>
              </w:rPr>
              <w:t>Category</w:t>
            </w:r>
          </w:p>
        </w:tc>
        <w:tc>
          <w:tcPr>
            <w:tcW w:w="1296" w:type="dxa"/>
            <w:tcBorders>
              <w:top w:val="single" w:sz="12" w:space="0" w:color="000000"/>
              <w:left w:val="single" w:sz="12" w:space="0" w:color="0070C0"/>
              <w:bottom w:val="single" w:sz="18" w:space="0" w:color="C0504D" w:themeColor="accent2"/>
              <w:right w:val="single" w:sz="8" w:space="0" w:color="0070C0"/>
            </w:tcBorders>
            <w:shd w:val="clear" w:color="auto" w:fill="auto"/>
            <w:vAlign w:val="center"/>
          </w:tcPr>
          <w:p w14:paraId="2205FF24" w14:textId="77777777" w:rsidR="000B3C35" w:rsidRDefault="000B3C35" w:rsidP="00120BB0">
            <w:pPr>
              <w:widowControl w:val="0"/>
              <w:tabs>
                <w:tab w:val="left" w:pos="220"/>
                <w:tab w:val="left" w:pos="720"/>
              </w:tabs>
              <w:autoSpaceDE w:val="0"/>
              <w:autoSpaceDN w:val="0"/>
              <w:adjustRightInd w:val="0"/>
              <w:contextualSpacing/>
              <w:jc w:val="center"/>
              <w:rPr>
                <w:rFonts w:ascii="Verdana" w:eastAsia="Times New Roman" w:hAnsi="Verdana"/>
                <w:sz w:val="20"/>
                <w:szCs w:val="20"/>
              </w:rPr>
            </w:pPr>
            <w:r>
              <w:rPr>
                <w:rFonts w:ascii="Verdana" w:eastAsia="Times New Roman" w:hAnsi="Verdana"/>
                <w:sz w:val="20"/>
                <w:szCs w:val="20"/>
              </w:rPr>
              <w:t>Change from 2020</w:t>
            </w:r>
          </w:p>
        </w:tc>
        <w:tc>
          <w:tcPr>
            <w:tcW w:w="1296"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5B19BD47" w14:textId="77777777" w:rsidR="000B3C35" w:rsidRPr="004F2F2E" w:rsidRDefault="000B3C35" w:rsidP="00120BB0">
            <w:pPr>
              <w:widowControl w:val="0"/>
              <w:tabs>
                <w:tab w:val="left" w:pos="220"/>
                <w:tab w:val="left" w:pos="720"/>
              </w:tabs>
              <w:autoSpaceDE w:val="0"/>
              <w:autoSpaceDN w:val="0"/>
              <w:adjustRightInd w:val="0"/>
              <w:contextualSpacing/>
              <w:jc w:val="center"/>
              <w:rPr>
                <w:rFonts w:ascii="Verdana" w:eastAsia="Times New Roman" w:hAnsi="Verdana"/>
                <w:sz w:val="20"/>
                <w:szCs w:val="20"/>
              </w:rPr>
            </w:pPr>
            <w:r>
              <w:rPr>
                <w:rFonts w:ascii="Verdana" w:eastAsia="Times New Roman" w:hAnsi="Verdana"/>
                <w:sz w:val="20"/>
                <w:szCs w:val="20"/>
              </w:rPr>
              <w:t>Change from 2019</w:t>
            </w:r>
          </w:p>
        </w:tc>
      </w:tr>
      <w:tr w:rsidR="000B3C35" w:rsidRPr="004F2F2E" w14:paraId="695DD93A" w14:textId="77777777" w:rsidTr="00722E38">
        <w:trPr>
          <w:trHeight w:val="243"/>
          <w:jc w:val="center"/>
        </w:trPr>
        <w:tc>
          <w:tcPr>
            <w:tcW w:w="2837" w:type="dxa"/>
            <w:tcBorders>
              <w:top w:val="single" w:sz="18" w:space="0" w:color="C0504D" w:themeColor="accent2"/>
              <w:left w:val="single" w:sz="12" w:space="0" w:color="000000"/>
              <w:bottom w:val="single" w:sz="4" w:space="0" w:color="auto"/>
              <w:right w:val="single" w:sz="12" w:space="0" w:color="0070C0"/>
            </w:tcBorders>
            <w:shd w:val="clear" w:color="auto" w:fill="auto"/>
            <w:vAlign w:val="center"/>
          </w:tcPr>
          <w:p w14:paraId="79C628D9" w14:textId="77777777" w:rsidR="000B3C35" w:rsidRPr="004F2F2E" w:rsidRDefault="000B3C35"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 xml:space="preserve">Plush </w:t>
            </w:r>
          </w:p>
        </w:tc>
        <w:tc>
          <w:tcPr>
            <w:tcW w:w="1296" w:type="dxa"/>
            <w:tcBorders>
              <w:top w:val="single" w:sz="18" w:space="0" w:color="C0504D" w:themeColor="accent2"/>
              <w:left w:val="single" w:sz="12" w:space="0" w:color="0070C0"/>
              <w:bottom w:val="single" w:sz="4" w:space="0" w:color="auto"/>
              <w:right w:val="single" w:sz="8" w:space="0" w:color="0070C0"/>
            </w:tcBorders>
            <w:shd w:val="clear" w:color="auto" w:fill="00B050"/>
            <w:vAlign w:val="center"/>
          </w:tcPr>
          <w:p w14:paraId="421A0A0A" w14:textId="1E0B7FBB" w:rsidR="000B3C35" w:rsidRPr="004F2F2E" w:rsidRDefault="000B3C35"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+43%</w:t>
            </w:r>
          </w:p>
        </w:tc>
        <w:tc>
          <w:tcPr>
            <w:tcW w:w="1296" w:type="dxa"/>
            <w:tcBorders>
              <w:top w:val="single" w:sz="18" w:space="0" w:color="C0504D" w:themeColor="accent2"/>
              <w:left w:val="single" w:sz="8" w:space="0" w:color="0070C0"/>
              <w:bottom w:val="single" w:sz="4" w:space="0" w:color="auto"/>
              <w:right w:val="single" w:sz="18" w:space="0" w:color="0070C0"/>
            </w:tcBorders>
            <w:shd w:val="clear" w:color="auto" w:fill="C2D69B" w:themeFill="accent3" w:themeFillTint="99"/>
            <w:vAlign w:val="center"/>
          </w:tcPr>
          <w:p w14:paraId="7BFFE930" w14:textId="292F5409" w:rsidR="000B3C35" w:rsidRPr="004F2F2E" w:rsidRDefault="000B3C35"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+22%</w:t>
            </w:r>
          </w:p>
        </w:tc>
        <w:tc>
          <w:tcPr>
            <w:tcW w:w="2837" w:type="dxa"/>
            <w:tcBorders>
              <w:top w:val="single" w:sz="18" w:space="0" w:color="C0504D" w:themeColor="accent2"/>
              <w:left w:val="single" w:sz="18" w:space="0" w:color="0070C0"/>
              <w:bottom w:val="single" w:sz="4" w:space="0" w:color="000000"/>
              <w:right w:val="single" w:sz="12" w:space="0" w:color="0070C0"/>
            </w:tcBorders>
            <w:shd w:val="clear" w:color="auto" w:fill="auto"/>
            <w:vAlign w:val="center"/>
          </w:tcPr>
          <w:p w14:paraId="23A1C230" w14:textId="77777777" w:rsidR="000B3C35" w:rsidRPr="004F2F2E" w:rsidRDefault="000B3C35"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Outdoor &amp; sports</w:t>
            </w:r>
          </w:p>
        </w:tc>
        <w:tc>
          <w:tcPr>
            <w:tcW w:w="1296" w:type="dxa"/>
            <w:tcBorders>
              <w:top w:val="single" w:sz="18" w:space="0" w:color="C0504D" w:themeColor="accent2"/>
              <w:left w:val="single" w:sz="12" w:space="0" w:color="0070C0"/>
              <w:bottom w:val="single" w:sz="4" w:space="0" w:color="000000"/>
              <w:right w:val="single" w:sz="8" w:space="0" w:color="0070C0"/>
            </w:tcBorders>
            <w:shd w:val="clear" w:color="auto" w:fill="D99594" w:themeFill="accent2" w:themeFillTint="99"/>
            <w:vAlign w:val="center"/>
          </w:tcPr>
          <w:p w14:paraId="0FA366B6" w14:textId="338E0D8E" w:rsidR="000B3C35" w:rsidRPr="004F2F2E" w:rsidRDefault="000B3C35"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-21%</w:t>
            </w:r>
          </w:p>
        </w:tc>
        <w:tc>
          <w:tcPr>
            <w:tcW w:w="1296" w:type="dxa"/>
            <w:tcBorders>
              <w:top w:val="single" w:sz="18" w:space="0" w:color="C0504D" w:themeColor="accent2"/>
              <w:left w:val="single" w:sz="8" w:space="0" w:color="0070C0"/>
              <w:bottom w:val="single" w:sz="4" w:space="0" w:color="000000"/>
              <w:right w:val="single" w:sz="12" w:space="0" w:color="000000"/>
            </w:tcBorders>
            <w:shd w:val="clear" w:color="auto" w:fill="D6E3BC" w:themeFill="accent3" w:themeFillTint="66"/>
            <w:vAlign w:val="center"/>
          </w:tcPr>
          <w:p w14:paraId="0AA7FB3C" w14:textId="574A42DD" w:rsidR="000B3C35" w:rsidRPr="004F2F2E" w:rsidRDefault="000B3C35"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+11%</w:t>
            </w:r>
          </w:p>
        </w:tc>
      </w:tr>
      <w:tr w:rsidR="000B3C35" w:rsidRPr="004F2F2E" w14:paraId="4017AE74" w14:textId="77777777" w:rsidTr="00722E38">
        <w:trPr>
          <w:trHeight w:val="243"/>
          <w:jc w:val="center"/>
        </w:trPr>
        <w:tc>
          <w:tcPr>
            <w:tcW w:w="2837" w:type="dxa"/>
            <w:tcBorders>
              <w:top w:val="single" w:sz="4" w:space="0" w:color="auto"/>
              <w:left w:val="single" w:sz="12" w:space="0" w:color="000000"/>
              <w:bottom w:val="single" w:sz="4" w:space="0" w:color="000000"/>
              <w:right w:val="single" w:sz="12" w:space="0" w:color="0070C0"/>
            </w:tcBorders>
            <w:shd w:val="clear" w:color="auto" w:fill="auto"/>
            <w:vAlign w:val="center"/>
          </w:tcPr>
          <w:p w14:paraId="50637B42" w14:textId="77777777" w:rsidR="000B3C35" w:rsidRPr="004F2F2E" w:rsidRDefault="000B3C35"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 xml:space="preserve">Explorative &amp; other toys </w:t>
            </w:r>
          </w:p>
        </w:tc>
        <w:tc>
          <w:tcPr>
            <w:tcW w:w="1296" w:type="dxa"/>
            <w:tcBorders>
              <w:top w:val="single" w:sz="4" w:space="0" w:color="auto"/>
              <w:left w:val="single" w:sz="12" w:space="0" w:color="0070C0"/>
              <w:bottom w:val="single" w:sz="4" w:space="0" w:color="000000"/>
              <w:right w:val="single" w:sz="8" w:space="0" w:color="0070C0"/>
            </w:tcBorders>
            <w:shd w:val="clear" w:color="auto" w:fill="C2D69B" w:themeFill="accent3" w:themeFillTint="99"/>
            <w:vAlign w:val="center"/>
          </w:tcPr>
          <w:p w14:paraId="137C701E" w14:textId="1741BF15" w:rsidR="000B3C35" w:rsidRPr="004F2F2E" w:rsidRDefault="000B3C35"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+36%</w:t>
            </w:r>
          </w:p>
        </w:tc>
        <w:tc>
          <w:tcPr>
            <w:tcW w:w="1296"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27E5D9E9" w14:textId="3F0A4E31" w:rsidR="000B3C35" w:rsidRPr="004F2F2E" w:rsidRDefault="000B3C35"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+26%</w:t>
            </w:r>
          </w:p>
        </w:tc>
        <w:tc>
          <w:tcPr>
            <w:tcW w:w="2837"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37E57D29" w14:textId="77777777" w:rsidR="000B3C35" w:rsidRPr="004B7FA9" w:rsidRDefault="000B3C35"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Building sets</w:t>
            </w:r>
          </w:p>
        </w:tc>
        <w:tc>
          <w:tcPr>
            <w:tcW w:w="1296" w:type="dxa"/>
            <w:tcBorders>
              <w:top w:val="single" w:sz="4" w:space="0" w:color="000000"/>
              <w:left w:val="single" w:sz="12" w:space="0" w:color="0070C0"/>
              <w:bottom w:val="single" w:sz="4" w:space="0" w:color="000000"/>
              <w:right w:val="single" w:sz="8" w:space="0" w:color="0070C0"/>
            </w:tcBorders>
            <w:shd w:val="clear" w:color="auto" w:fill="EAF1DD" w:themeFill="accent3" w:themeFillTint="33"/>
            <w:vAlign w:val="center"/>
          </w:tcPr>
          <w:p w14:paraId="79FF6C9A" w14:textId="4C9DC74B" w:rsidR="000B3C35" w:rsidRPr="004B7FA9" w:rsidRDefault="000B3C35"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+7%</w:t>
            </w:r>
          </w:p>
        </w:tc>
        <w:tc>
          <w:tcPr>
            <w:tcW w:w="1296" w:type="dxa"/>
            <w:tcBorders>
              <w:top w:val="single" w:sz="4" w:space="0" w:color="000000"/>
              <w:left w:val="single" w:sz="8" w:space="0" w:color="0070C0"/>
              <w:bottom w:val="single" w:sz="4" w:space="0" w:color="000000"/>
              <w:right w:val="single" w:sz="12" w:space="0" w:color="000000"/>
            </w:tcBorders>
            <w:shd w:val="clear" w:color="auto" w:fill="D6E3BC" w:themeFill="accent3" w:themeFillTint="66"/>
            <w:vAlign w:val="center"/>
          </w:tcPr>
          <w:p w14:paraId="56F64090" w14:textId="06B245A1" w:rsidR="000B3C35" w:rsidRPr="004B7FA9" w:rsidRDefault="000B3C35"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+18%</w:t>
            </w:r>
          </w:p>
        </w:tc>
      </w:tr>
      <w:tr w:rsidR="000B3C35" w:rsidRPr="004F2F2E" w14:paraId="6CD0AB98" w14:textId="77777777" w:rsidTr="00722E38">
        <w:trPr>
          <w:trHeight w:val="243"/>
          <w:jc w:val="center"/>
        </w:trPr>
        <w:tc>
          <w:tcPr>
            <w:tcW w:w="2837" w:type="dxa"/>
            <w:tcBorders>
              <w:top w:val="single" w:sz="4" w:space="0" w:color="auto"/>
              <w:left w:val="single" w:sz="12" w:space="0" w:color="000000"/>
              <w:bottom w:val="single" w:sz="4" w:space="0" w:color="000000"/>
              <w:right w:val="single" w:sz="12" w:space="0" w:color="0070C0"/>
            </w:tcBorders>
            <w:shd w:val="clear" w:color="auto" w:fill="auto"/>
            <w:vAlign w:val="center"/>
          </w:tcPr>
          <w:p w14:paraId="678C5F52" w14:textId="77777777" w:rsidR="000B3C35" w:rsidRDefault="000B3C35"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 xml:space="preserve">Action figures/accessories </w:t>
            </w:r>
          </w:p>
        </w:tc>
        <w:tc>
          <w:tcPr>
            <w:tcW w:w="1296" w:type="dxa"/>
            <w:tcBorders>
              <w:top w:val="single" w:sz="4" w:space="0" w:color="auto"/>
              <w:left w:val="single" w:sz="12" w:space="0" w:color="0070C0"/>
              <w:bottom w:val="single" w:sz="4" w:space="0" w:color="000000"/>
              <w:right w:val="single" w:sz="8" w:space="0" w:color="0070C0"/>
            </w:tcBorders>
            <w:shd w:val="clear" w:color="auto" w:fill="D6E3BC" w:themeFill="accent3" w:themeFillTint="66"/>
            <w:vAlign w:val="center"/>
          </w:tcPr>
          <w:p w14:paraId="0F31BC10" w14:textId="545EA5A1" w:rsidR="000B3C35" w:rsidRDefault="000B3C35"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+13%</w:t>
            </w:r>
          </w:p>
        </w:tc>
        <w:tc>
          <w:tcPr>
            <w:tcW w:w="1296" w:type="dxa"/>
            <w:tcBorders>
              <w:top w:val="single" w:sz="4" w:space="0" w:color="auto"/>
              <w:left w:val="single" w:sz="8" w:space="0" w:color="0070C0"/>
              <w:bottom w:val="single" w:sz="4" w:space="0" w:color="000000"/>
              <w:right w:val="single" w:sz="18" w:space="0" w:color="0070C0"/>
            </w:tcBorders>
            <w:shd w:val="clear" w:color="auto" w:fill="D6E3BC" w:themeFill="accent3" w:themeFillTint="66"/>
            <w:vAlign w:val="center"/>
          </w:tcPr>
          <w:p w14:paraId="02085B2D" w14:textId="2517CDD6" w:rsidR="000B3C35" w:rsidRDefault="000B3C35"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+12%</w:t>
            </w:r>
          </w:p>
        </w:tc>
        <w:tc>
          <w:tcPr>
            <w:tcW w:w="2837"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159E8B04" w14:textId="77777777" w:rsidR="000B3C35" w:rsidRDefault="000B3C35"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Youth electronics</w:t>
            </w:r>
          </w:p>
        </w:tc>
        <w:tc>
          <w:tcPr>
            <w:tcW w:w="1296" w:type="dxa"/>
            <w:tcBorders>
              <w:top w:val="single" w:sz="4" w:space="0" w:color="000000"/>
              <w:left w:val="single" w:sz="12" w:space="0" w:color="0070C0"/>
              <w:bottom w:val="single" w:sz="4" w:space="0" w:color="000000"/>
              <w:right w:val="single" w:sz="8" w:space="0" w:color="0070C0"/>
            </w:tcBorders>
            <w:shd w:val="clear" w:color="auto" w:fill="E5B8B7" w:themeFill="accent2" w:themeFillTint="66"/>
            <w:vAlign w:val="center"/>
          </w:tcPr>
          <w:p w14:paraId="7E47DEBC" w14:textId="326B649C" w:rsidR="000B3C35" w:rsidRDefault="000B3C35"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-12%</w:t>
            </w:r>
          </w:p>
        </w:tc>
        <w:tc>
          <w:tcPr>
            <w:tcW w:w="1296"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2638D1AD" w14:textId="7A6B3350" w:rsidR="000B3C35" w:rsidRDefault="000B3C35"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-0.4%</w:t>
            </w:r>
          </w:p>
        </w:tc>
      </w:tr>
      <w:tr w:rsidR="000B3C35" w:rsidRPr="004F2F2E" w14:paraId="0AF836DB" w14:textId="77777777" w:rsidTr="00722E38">
        <w:trPr>
          <w:trHeight w:val="243"/>
          <w:jc w:val="center"/>
        </w:trPr>
        <w:tc>
          <w:tcPr>
            <w:tcW w:w="2837" w:type="dxa"/>
            <w:tcBorders>
              <w:top w:val="single" w:sz="4" w:space="0" w:color="auto"/>
              <w:left w:val="single" w:sz="12" w:space="0" w:color="000000"/>
              <w:bottom w:val="single" w:sz="4" w:space="0" w:color="000000"/>
              <w:right w:val="single" w:sz="12" w:space="0" w:color="0070C0"/>
            </w:tcBorders>
            <w:shd w:val="clear" w:color="auto" w:fill="auto"/>
            <w:vAlign w:val="center"/>
          </w:tcPr>
          <w:p w14:paraId="1C53C694" w14:textId="77777777" w:rsidR="000B3C35" w:rsidRDefault="000B3C35"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 xml:space="preserve">Vehicles </w:t>
            </w:r>
          </w:p>
        </w:tc>
        <w:tc>
          <w:tcPr>
            <w:tcW w:w="1296" w:type="dxa"/>
            <w:tcBorders>
              <w:top w:val="single" w:sz="4" w:space="0" w:color="auto"/>
              <w:left w:val="single" w:sz="12" w:space="0" w:color="0070C0"/>
              <w:bottom w:val="single" w:sz="4" w:space="0" w:color="000000"/>
              <w:right w:val="single" w:sz="8" w:space="0" w:color="0070C0"/>
            </w:tcBorders>
            <w:shd w:val="clear" w:color="auto" w:fill="F2DBDB" w:themeFill="accent2" w:themeFillTint="33"/>
            <w:vAlign w:val="center"/>
          </w:tcPr>
          <w:p w14:paraId="54F5E605" w14:textId="3D876EA2" w:rsidR="000B3C35" w:rsidRDefault="000B3C35"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-0.4%</w:t>
            </w:r>
          </w:p>
        </w:tc>
        <w:tc>
          <w:tcPr>
            <w:tcW w:w="1296" w:type="dxa"/>
            <w:tcBorders>
              <w:top w:val="single" w:sz="4" w:space="0" w:color="auto"/>
              <w:left w:val="single" w:sz="8" w:space="0" w:color="0070C0"/>
              <w:bottom w:val="single" w:sz="4" w:space="0" w:color="000000"/>
              <w:right w:val="single" w:sz="18" w:space="0" w:color="0070C0"/>
            </w:tcBorders>
            <w:shd w:val="clear" w:color="auto" w:fill="D6E3BC" w:themeFill="accent3" w:themeFillTint="66"/>
            <w:vAlign w:val="center"/>
          </w:tcPr>
          <w:p w14:paraId="788627E1" w14:textId="70C27976" w:rsidR="000B3C35" w:rsidRDefault="000B3C35"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+13%</w:t>
            </w:r>
          </w:p>
        </w:tc>
        <w:tc>
          <w:tcPr>
            <w:tcW w:w="2837"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4DB4C951" w14:textId="77777777" w:rsidR="000B3C35" w:rsidRDefault="000B3C35"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Games/Puzzles</w:t>
            </w:r>
          </w:p>
        </w:tc>
        <w:tc>
          <w:tcPr>
            <w:tcW w:w="1296" w:type="dxa"/>
            <w:tcBorders>
              <w:top w:val="single" w:sz="4" w:space="0" w:color="000000"/>
              <w:left w:val="single" w:sz="12" w:space="0" w:color="0070C0"/>
              <w:bottom w:val="single" w:sz="4" w:space="0" w:color="000000"/>
              <w:right w:val="single" w:sz="8" w:space="0" w:color="0070C0"/>
            </w:tcBorders>
            <w:shd w:val="clear" w:color="auto" w:fill="F2DBDB" w:themeFill="accent2" w:themeFillTint="33"/>
            <w:vAlign w:val="center"/>
          </w:tcPr>
          <w:p w14:paraId="2B9BF587" w14:textId="09CD2DFC" w:rsidR="000B3C35" w:rsidRDefault="000B3C35"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-6%</w:t>
            </w:r>
          </w:p>
        </w:tc>
        <w:tc>
          <w:tcPr>
            <w:tcW w:w="1296" w:type="dxa"/>
            <w:tcBorders>
              <w:top w:val="single" w:sz="4" w:space="0" w:color="000000"/>
              <w:left w:val="single" w:sz="8" w:space="0" w:color="0070C0"/>
              <w:bottom w:val="single" w:sz="4" w:space="0" w:color="000000"/>
              <w:right w:val="single" w:sz="12" w:space="0" w:color="000000"/>
            </w:tcBorders>
            <w:shd w:val="clear" w:color="auto" w:fill="D6E3BC" w:themeFill="accent3" w:themeFillTint="66"/>
            <w:vAlign w:val="center"/>
          </w:tcPr>
          <w:p w14:paraId="1927125D" w14:textId="151D0700" w:rsidR="000B3C35" w:rsidRDefault="000B3C35"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+20%</w:t>
            </w:r>
          </w:p>
        </w:tc>
      </w:tr>
      <w:tr w:rsidR="000B3C35" w:rsidRPr="004F2F2E" w14:paraId="413ADE6E" w14:textId="77777777" w:rsidTr="00722E38">
        <w:trPr>
          <w:trHeight w:val="243"/>
          <w:jc w:val="center"/>
        </w:trPr>
        <w:tc>
          <w:tcPr>
            <w:tcW w:w="2837" w:type="dxa"/>
            <w:tcBorders>
              <w:top w:val="single" w:sz="4" w:space="0" w:color="auto"/>
              <w:left w:val="single" w:sz="12" w:space="0" w:color="000000"/>
              <w:bottom w:val="single" w:sz="4" w:space="0" w:color="000000"/>
              <w:right w:val="single" w:sz="12" w:space="0" w:color="0070C0"/>
            </w:tcBorders>
            <w:shd w:val="clear" w:color="auto" w:fill="auto"/>
            <w:vAlign w:val="center"/>
          </w:tcPr>
          <w:p w14:paraId="6F5D2475" w14:textId="77777777" w:rsidR="000B3C35" w:rsidRPr="004F2F2E" w:rsidRDefault="000B3C35"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 xml:space="preserve">Infant/Toddler/Preschool </w:t>
            </w:r>
          </w:p>
        </w:tc>
        <w:tc>
          <w:tcPr>
            <w:tcW w:w="1296" w:type="dxa"/>
            <w:tcBorders>
              <w:top w:val="single" w:sz="4" w:space="0" w:color="auto"/>
              <w:left w:val="single" w:sz="12" w:space="0" w:color="0070C0"/>
              <w:bottom w:val="single" w:sz="4" w:space="0" w:color="000000"/>
              <w:right w:val="single" w:sz="8" w:space="0" w:color="0070C0"/>
            </w:tcBorders>
            <w:shd w:val="clear" w:color="auto" w:fill="EAF1DD" w:themeFill="accent3" w:themeFillTint="33"/>
            <w:vAlign w:val="center"/>
          </w:tcPr>
          <w:p w14:paraId="634C7F7B" w14:textId="7C99EA45" w:rsidR="000B3C35" w:rsidRPr="004F2F2E" w:rsidRDefault="000B3C35"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+2%</w:t>
            </w:r>
          </w:p>
        </w:tc>
        <w:tc>
          <w:tcPr>
            <w:tcW w:w="1296" w:type="dxa"/>
            <w:tcBorders>
              <w:top w:val="single" w:sz="4" w:space="0" w:color="auto"/>
              <w:left w:val="single" w:sz="8" w:space="0" w:color="0070C0"/>
              <w:bottom w:val="single" w:sz="4" w:space="0" w:color="000000"/>
              <w:right w:val="single" w:sz="18" w:space="0" w:color="0070C0"/>
            </w:tcBorders>
            <w:shd w:val="clear" w:color="auto" w:fill="EAF1DD" w:themeFill="accent3" w:themeFillTint="33"/>
            <w:vAlign w:val="center"/>
          </w:tcPr>
          <w:p w14:paraId="08C38FF1" w14:textId="2C8D2D0E" w:rsidR="000B3C35" w:rsidRPr="004F2F2E" w:rsidRDefault="000B3C35"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+8%</w:t>
            </w:r>
          </w:p>
        </w:tc>
        <w:tc>
          <w:tcPr>
            <w:tcW w:w="2837"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5175C680" w14:textId="77777777" w:rsidR="000B3C35" w:rsidRPr="004F2F2E" w:rsidRDefault="000B3C35"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Arts &amp; crafts</w:t>
            </w:r>
          </w:p>
        </w:tc>
        <w:tc>
          <w:tcPr>
            <w:tcW w:w="1296" w:type="dxa"/>
            <w:tcBorders>
              <w:top w:val="single" w:sz="4" w:space="0" w:color="000000"/>
              <w:left w:val="single" w:sz="12" w:space="0" w:color="0070C0"/>
              <w:bottom w:val="single" w:sz="4" w:space="0" w:color="000000"/>
              <w:right w:val="single" w:sz="8" w:space="0" w:color="0070C0"/>
            </w:tcBorders>
            <w:shd w:val="clear" w:color="auto" w:fill="F2DBDB" w:themeFill="accent2" w:themeFillTint="33"/>
            <w:vAlign w:val="center"/>
          </w:tcPr>
          <w:p w14:paraId="2E4CEDF3" w14:textId="3C61DC47" w:rsidR="000B3C35" w:rsidRPr="004F2F2E" w:rsidRDefault="000B3C35"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-2%</w:t>
            </w:r>
          </w:p>
        </w:tc>
        <w:tc>
          <w:tcPr>
            <w:tcW w:w="1296"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585147C3" w14:textId="54334856" w:rsidR="000B3C35" w:rsidRPr="004F2F2E" w:rsidRDefault="000B3C35"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+5%</w:t>
            </w:r>
          </w:p>
        </w:tc>
      </w:tr>
      <w:tr w:rsidR="000B3C35" w:rsidRPr="004F2F2E" w14:paraId="01C9CFEA" w14:textId="77777777" w:rsidTr="00722E38">
        <w:trPr>
          <w:trHeight w:val="243"/>
          <w:jc w:val="center"/>
        </w:trPr>
        <w:tc>
          <w:tcPr>
            <w:tcW w:w="2837" w:type="dxa"/>
            <w:tcBorders>
              <w:top w:val="single" w:sz="4" w:space="0" w:color="000000"/>
              <w:left w:val="single" w:sz="12" w:space="0" w:color="000000"/>
              <w:bottom w:val="single" w:sz="12" w:space="0" w:color="000000"/>
              <w:right w:val="single" w:sz="12" w:space="0" w:color="0070C0"/>
            </w:tcBorders>
            <w:shd w:val="clear" w:color="auto" w:fill="auto"/>
            <w:vAlign w:val="center"/>
          </w:tcPr>
          <w:p w14:paraId="0A73EC98" w14:textId="77777777" w:rsidR="000B3C35" w:rsidRPr="004F2F2E" w:rsidRDefault="000B3C35"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 xml:space="preserve">Dolls </w:t>
            </w:r>
          </w:p>
        </w:tc>
        <w:tc>
          <w:tcPr>
            <w:tcW w:w="1296" w:type="dxa"/>
            <w:tcBorders>
              <w:top w:val="single" w:sz="4" w:space="0" w:color="000000"/>
              <w:left w:val="single" w:sz="12" w:space="0" w:color="0070C0"/>
              <w:bottom w:val="single" w:sz="12" w:space="0" w:color="000000"/>
              <w:right w:val="single" w:sz="8" w:space="0" w:color="0070C0"/>
            </w:tcBorders>
            <w:shd w:val="clear" w:color="auto" w:fill="E5B8B7" w:themeFill="accent2" w:themeFillTint="66"/>
            <w:vAlign w:val="center"/>
          </w:tcPr>
          <w:p w14:paraId="1C483366" w14:textId="074FE7D9" w:rsidR="000B3C35" w:rsidRPr="004F2F2E" w:rsidRDefault="000B3C35"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-10%</w:t>
            </w:r>
          </w:p>
        </w:tc>
        <w:tc>
          <w:tcPr>
            <w:tcW w:w="1296" w:type="dxa"/>
            <w:tcBorders>
              <w:top w:val="single" w:sz="4" w:space="0" w:color="000000"/>
              <w:left w:val="single" w:sz="8" w:space="0" w:color="0070C0"/>
              <w:bottom w:val="single" w:sz="12" w:space="0" w:color="000000"/>
              <w:right w:val="single" w:sz="18" w:space="0" w:color="0070C0"/>
            </w:tcBorders>
            <w:shd w:val="clear" w:color="auto" w:fill="EAF1DD" w:themeFill="accent3" w:themeFillTint="33"/>
            <w:vAlign w:val="center"/>
          </w:tcPr>
          <w:p w14:paraId="18E8A207" w14:textId="59E7AD0C" w:rsidR="000B3C35" w:rsidRPr="004F2F2E" w:rsidRDefault="000B3C35"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+2%</w:t>
            </w:r>
          </w:p>
        </w:tc>
        <w:tc>
          <w:tcPr>
            <w:tcW w:w="2837" w:type="dxa"/>
            <w:tcBorders>
              <w:top w:val="single" w:sz="4" w:space="0" w:color="000000"/>
              <w:left w:val="single" w:sz="18" w:space="0" w:color="0070C0"/>
              <w:bottom w:val="single" w:sz="12" w:space="0" w:color="000000"/>
              <w:right w:val="single" w:sz="12" w:space="0" w:color="0070C0"/>
            </w:tcBorders>
            <w:shd w:val="clear" w:color="auto" w:fill="D9D9D9" w:themeFill="background1" w:themeFillShade="D9"/>
            <w:vAlign w:val="center"/>
          </w:tcPr>
          <w:p w14:paraId="2F9CB572" w14:textId="77777777" w:rsidR="000B3C35" w:rsidRPr="004F2F2E" w:rsidRDefault="000B3C35" w:rsidP="00120BB0">
            <w:pPr>
              <w:widowControl w:val="0"/>
              <w:tabs>
                <w:tab w:val="left" w:pos="220"/>
                <w:tab w:val="left" w:pos="720"/>
              </w:tabs>
              <w:autoSpaceDE w:val="0"/>
              <w:autoSpaceDN w:val="0"/>
              <w:adjustRightInd w:val="0"/>
              <w:contextualSpacing/>
              <w:rPr>
                <w:rFonts w:ascii="Verdana" w:eastAsia="Times New Roman" w:hAnsi="Verdana"/>
                <w:sz w:val="20"/>
                <w:szCs w:val="20"/>
              </w:rPr>
            </w:pPr>
          </w:p>
        </w:tc>
        <w:tc>
          <w:tcPr>
            <w:tcW w:w="1296" w:type="dxa"/>
            <w:tcBorders>
              <w:top w:val="single" w:sz="4" w:space="0" w:color="000000"/>
              <w:left w:val="single" w:sz="12" w:space="0" w:color="0070C0"/>
              <w:bottom w:val="single" w:sz="12" w:space="0" w:color="000000"/>
              <w:right w:val="single" w:sz="8" w:space="0" w:color="0070C0"/>
            </w:tcBorders>
            <w:shd w:val="clear" w:color="auto" w:fill="D9D9D9" w:themeFill="background1" w:themeFillShade="D9"/>
          </w:tcPr>
          <w:p w14:paraId="29E99428" w14:textId="77777777" w:rsidR="000B3C35" w:rsidRPr="004F2F2E" w:rsidRDefault="000B3C35"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p>
        </w:tc>
        <w:tc>
          <w:tcPr>
            <w:tcW w:w="1296" w:type="dxa"/>
            <w:tcBorders>
              <w:top w:val="single" w:sz="4" w:space="0" w:color="000000"/>
              <w:left w:val="single" w:sz="8" w:space="0" w:color="0070C0"/>
              <w:bottom w:val="single" w:sz="12" w:space="0" w:color="000000"/>
              <w:right w:val="single" w:sz="12" w:space="0" w:color="000000"/>
            </w:tcBorders>
            <w:shd w:val="clear" w:color="auto" w:fill="D9D9D9" w:themeFill="background1" w:themeFillShade="D9"/>
            <w:vAlign w:val="center"/>
          </w:tcPr>
          <w:p w14:paraId="00E58FC9" w14:textId="77777777" w:rsidR="000B3C35" w:rsidRPr="004F2F2E" w:rsidRDefault="000B3C35"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p>
        </w:tc>
      </w:tr>
    </w:tbl>
    <w:p w14:paraId="3639F8D6" w14:textId="758CEC2D" w:rsidR="000B3C35" w:rsidRDefault="000B3C35" w:rsidP="000B3C35">
      <w:pPr>
        <w:ind w:hanging="720"/>
        <w:contextualSpacing/>
        <w:mirrorIndents/>
        <w:rPr>
          <w:rFonts w:ascii="Verdana" w:hAnsi="Verdana"/>
          <w:sz w:val="20"/>
          <w:szCs w:val="20"/>
        </w:rPr>
      </w:pPr>
      <w:r>
        <w:rPr>
          <w:rFonts w:ascii="Verdana" w:hAnsi="Verdana"/>
          <w:sz w:val="16"/>
          <w:szCs w:val="16"/>
        </w:rPr>
        <w:t>The NPD Group,</w:t>
      </w:r>
      <w:r w:rsidRPr="004F2F2E">
        <w:rPr>
          <w:rFonts w:ascii="Verdana" w:hAnsi="Verdana"/>
          <w:sz w:val="16"/>
          <w:szCs w:val="16"/>
        </w:rPr>
        <w:t xml:space="preserve"> </w:t>
      </w:r>
      <w:r>
        <w:rPr>
          <w:rFonts w:ascii="Verdana" w:hAnsi="Verdana"/>
          <w:sz w:val="16"/>
          <w:szCs w:val="16"/>
        </w:rPr>
        <w:t>February 2022</w:t>
      </w:r>
    </w:p>
    <w:p w14:paraId="251B2E28" w14:textId="72943478" w:rsidR="00F36F72" w:rsidRPr="000340ED" w:rsidRDefault="00F36F72" w:rsidP="000340ED">
      <w:pPr>
        <w:jc w:val="center"/>
        <w:rPr>
          <w:rFonts w:ascii="Verdana" w:hAnsi="Verdana"/>
          <w:b/>
          <w:bCs/>
          <w:color w:val="0070C0"/>
          <w:sz w:val="20"/>
          <w:szCs w:val="20"/>
        </w:rPr>
      </w:pPr>
      <w:r w:rsidRPr="000340ED">
        <w:rPr>
          <w:rFonts w:ascii="Verdana" w:hAnsi="Verdana"/>
          <w:b/>
          <w:bCs/>
          <w:color w:val="0070C0"/>
          <w:sz w:val="20"/>
          <w:szCs w:val="20"/>
        </w:rPr>
        <w:lastRenderedPageBreak/>
        <w:t>Holiday Shopping and Other Consumer Insights</w:t>
      </w:r>
    </w:p>
    <w:p w14:paraId="1EC683E2" w14:textId="77777777" w:rsidR="00F36F72" w:rsidRPr="00F36F72" w:rsidRDefault="00F36F72" w:rsidP="00F36F72">
      <w:pPr>
        <w:rPr>
          <w:rFonts w:ascii="Verdana" w:hAnsi="Verdana"/>
          <w:sz w:val="20"/>
          <w:szCs w:val="20"/>
        </w:rPr>
      </w:pPr>
    </w:p>
    <w:p w14:paraId="62DC9389" w14:textId="5AB6AF9B" w:rsidR="000340ED" w:rsidRDefault="000340ED" w:rsidP="00F36F72">
      <w:pPr>
        <w:rPr>
          <w:rFonts w:ascii="Verdana" w:hAnsi="Verdana"/>
          <w:sz w:val="20"/>
          <w:szCs w:val="20"/>
        </w:rPr>
      </w:pPr>
      <w:r>
        <w:rPr>
          <w:rFonts w:ascii="Verdana" w:hAnsi="Verdana"/>
          <w:sz w:val="20"/>
          <w:szCs w:val="20"/>
        </w:rPr>
        <w:t>As seen in the table of US Census Bureau sales data on page 1, “hobby, toy and game stores” experienced substantial sales increases during the all-important 2021 holiday shopping season (Q4 2021).</w:t>
      </w:r>
    </w:p>
    <w:p w14:paraId="2D7BA161" w14:textId="7AEAD86E" w:rsidR="000340ED" w:rsidRDefault="000340ED" w:rsidP="00F36F72">
      <w:pPr>
        <w:rPr>
          <w:rFonts w:ascii="Verdana" w:hAnsi="Verdana"/>
          <w:sz w:val="20"/>
          <w:szCs w:val="20"/>
        </w:rPr>
      </w:pPr>
    </w:p>
    <w:p w14:paraId="1E7DFE22" w14:textId="50211F42" w:rsidR="000340ED" w:rsidRDefault="006D70ED" w:rsidP="00F36F72">
      <w:pPr>
        <w:rPr>
          <w:rFonts w:ascii="Verdana" w:hAnsi="Verdana"/>
          <w:sz w:val="20"/>
          <w:szCs w:val="20"/>
        </w:rPr>
      </w:pPr>
      <w:r>
        <w:rPr>
          <w:rFonts w:ascii="Verdana" w:hAnsi="Verdana"/>
          <w:sz w:val="20"/>
          <w:szCs w:val="20"/>
        </w:rPr>
        <w:t>While apparel prices increased 0.6% from November to December, toy prices decreased from no change as of 10/1/21 to a 24.3% decrease by Thanksgiving Weekend and maintained that trend with a 22.3% price decrease as of 12/24/21.</w:t>
      </w:r>
    </w:p>
    <w:p w14:paraId="21B9077D" w14:textId="5260F816" w:rsidR="006D70ED" w:rsidRDefault="006D70ED" w:rsidP="00F36F72">
      <w:pPr>
        <w:rPr>
          <w:rFonts w:ascii="Verdana" w:hAnsi="Verdana"/>
          <w:sz w:val="20"/>
          <w:szCs w:val="20"/>
        </w:rPr>
      </w:pPr>
    </w:p>
    <w:p w14:paraId="6D1A4E3D" w14:textId="11F98761" w:rsidR="006D70ED" w:rsidRDefault="006D70ED" w:rsidP="00F36F72">
      <w:pPr>
        <w:rPr>
          <w:rFonts w:ascii="Verdana" w:hAnsi="Verdana"/>
          <w:sz w:val="20"/>
          <w:szCs w:val="20"/>
        </w:rPr>
      </w:pPr>
      <w:r>
        <w:rPr>
          <w:rFonts w:ascii="Verdana" w:hAnsi="Verdana"/>
          <w:sz w:val="20"/>
          <w:szCs w:val="20"/>
        </w:rPr>
        <w:t>A March 2022 survey from Provoke Insights found the toy industry ranked last on a list of 15 retail industries for brand loyalty</w:t>
      </w:r>
      <w:r w:rsidR="00DD1DD8">
        <w:rPr>
          <w:rFonts w:ascii="Verdana" w:hAnsi="Verdana"/>
          <w:sz w:val="20"/>
          <w:szCs w:val="20"/>
        </w:rPr>
        <w:t xml:space="preserve"> with a score of -19.99. Automobiles w</w:t>
      </w:r>
      <w:r w:rsidR="006B14AD">
        <w:rPr>
          <w:rFonts w:ascii="Verdana" w:hAnsi="Verdana"/>
          <w:sz w:val="20"/>
          <w:szCs w:val="20"/>
        </w:rPr>
        <w:t>ere</w:t>
      </w:r>
      <w:r w:rsidR="00DD1DD8">
        <w:rPr>
          <w:rFonts w:ascii="Verdana" w:hAnsi="Verdana"/>
          <w:sz w:val="20"/>
          <w:szCs w:val="20"/>
        </w:rPr>
        <w:t xml:space="preserve"> first at 14.31.</w:t>
      </w:r>
    </w:p>
    <w:p w14:paraId="0F6C59D4" w14:textId="7E3A01CC" w:rsidR="000340ED" w:rsidRDefault="000340ED" w:rsidP="00F36F72">
      <w:pPr>
        <w:rPr>
          <w:rFonts w:ascii="Verdana" w:hAnsi="Verdana"/>
          <w:sz w:val="20"/>
          <w:szCs w:val="20"/>
        </w:rPr>
      </w:pPr>
    </w:p>
    <w:p w14:paraId="777A5D8A" w14:textId="77777777" w:rsidR="00DD1DD8" w:rsidRDefault="00DD1DD8" w:rsidP="00DD1DD8">
      <w:pPr>
        <w:pStyle w:val="Header"/>
        <w:contextualSpacing/>
        <w:jc w:val="center"/>
        <w:rPr>
          <w:rFonts w:ascii="Verdana" w:hAnsi="Verdana"/>
          <w:b/>
          <w:sz w:val="20"/>
          <w:szCs w:val="20"/>
        </w:rPr>
      </w:pPr>
      <w:r>
        <w:rPr>
          <w:rFonts w:ascii="Verdana" w:hAnsi="Verdana"/>
          <w:b/>
          <w:sz w:val="20"/>
          <w:szCs w:val="20"/>
        </w:rPr>
        <w:t xml:space="preserve">Comparison of Discounts During the 2020 and 2021 Holiday </w:t>
      </w:r>
    </w:p>
    <w:p w14:paraId="35780D9C" w14:textId="59AEE4D3" w:rsidR="00DD1DD8" w:rsidRPr="004F2F2E" w:rsidRDefault="00DD1DD8" w:rsidP="00DD1DD8">
      <w:pPr>
        <w:pStyle w:val="Header"/>
        <w:contextualSpacing/>
        <w:jc w:val="center"/>
        <w:rPr>
          <w:rFonts w:ascii="Verdana" w:hAnsi="Verdana"/>
          <w:b/>
          <w:sz w:val="20"/>
          <w:szCs w:val="20"/>
        </w:rPr>
      </w:pPr>
      <w:r>
        <w:rPr>
          <w:rFonts w:ascii="Verdana" w:hAnsi="Verdana"/>
          <w:b/>
          <w:sz w:val="20"/>
          <w:szCs w:val="20"/>
        </w:rPr>
        <w:t>Seasons, by Selected Retail Verticals, January 2022</w:t>
      </w:r>
    </w:p>
    <w:tbl>
      <w:tblPr>
        <w:tblW w:w="11576" w:type="dxa"/>
        <w:jc w:val="center"/>
        <w:tblBorders>
          <w:left w:val="single" w:sz="8" w:space="0" w:color="000000"/>
          <w:right w:val="single" w:sz="8" w:space="0" w:color="000000"/>
        </w:tblBorders>
        <w:tblLayout w:type="fixed"/>
        <w:tblLook w:val="0000" w:firstRow="0" w:lastRow="0" w:firstColumn="0" w:lastColumn="0" w:noHBand="0" w:noVBand="0"/>
      </w:tblPr>
      <w:tblGrid>
        <w:gridCol w:w="3254"/>
        <w:gridCol w:w="1267"/>
        <w:gridCol w:w="1267"/>
        <w:gridCol w:w="3254"/>
        <w:gridCol w:w="1267"/>
        <w:gridCol w:w="1267"/>
      </w:tblGrid>
      <w:tr w:rsidR="00DD1DD8" w:rsidRPr="004F2F2E" w14:paraId="4D0B352D" w14:textId="77777777" w:rsidTr="00575421">
        <w:trPr>
          <w:jc w:val="center"/>
        </w:trPr>
        <w:tc>
          <w:tcPr>
            <w:tcW w:w="3254" w:type="dxa"/>
            <w:tcBorders>
              <w:top w:val="single" w:sz="12" w:space="0" w:color="000000"/>
              <w:left w:val="single" w:sz="12" w:space="0" w:color="000000"/>
              <w:bottom w:val="single" w:sz="18" w:space="0" w:color="C0504D" w:themeColor="accent2"/>
              <w:right w:val="single" w:sz="12" w:space="0" w:color="0070C0"/>
            </w:tcBorders>
            <w:shd w:val="clear" w:color="auto" w:fill="auto"/>
            <w:vAlign w:val="center"/>
          </w:tcPr>
          <w:p w14:paraId="725CFEED" w14:textId="62B0BA94" w:rsidR="00DD1DD8" w:rsidRPr="004F2F2E" w:rsidRDefault="00DD1DD8" w:rsidP="00DD1DD8">
            <w:pPr>
              <w:widowControl w:val="0"/>
              <w:tabs>
                <w:tab w:val="left" w:pos="220"/>
                <w:tab w:val="left" w:pos="720"/>
              </w:tabs>
              <w:autoSpaceDE w:val="0"/>
              <w:autoSpaceDN w:val="0"/>
              <w:adjustRightInd w:val="0"/>
              <w:contextualSpacing/>
              <w:jc w:val="center"/>
              <w:rPr>
                <w:rFonts w:ascii="Verdana" w:eastAsia="Times New Roman" w:hAnsi="Verdana"/>
                <w:sz w:val="20"/>
                <w:szCs w:val="20"/>
              </w:rPr>
            </w:pPr>
            <w:r>
              <w:rPr>
                <w:rFonts w:ascii="Verdana" w:eastAsia="Times New Roman" w:hAnsi="Verdana"/>
                <w:sz w:val="20"/>
                <w:szCs w:val="20"/>
              </w:rPr>
              <w:t>Vertical</w:t>
            </w:r>
          </w:p>
        </w:tc>
        <w:tc>
          <w:tcPr>
            <w:tcW w:w="1267" w:type="dxa"/>
            <w:tcBorders>
              <w:top w:val="single" w:sz="12" w:space="0" w:color="000000"/>
              <w:left w:val="single" w:sz="12" w:space="0" w:color="0070C0"/>
              <w:bottom w:val="single" w:sz="18" w:space="0" w:color="C0504D" w:themeColor="accent2"/>
              <w:right w:val="single" w:sz="8" w:space="0" w:color="0070C0"/>
            </w:tcBorders>
            <w:shd w:val="clear" w:color="auto" w:fill="auto"/>
            <w:vAlign w:val="center"/>
          </w:tcPr>
          <w:p w14:paraId="74ACC188" w14:textId="689B40BB" w:rsidR="00DD1DD8" w:rsidRDefault="00DD1DD8" w:rsidP="00575421">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2021</w:t>
            </w:r>
          </w:p>
        </w:tc>
        <w:tc>
          <w:tcPr>
            <w:tcW w:w="1267" w:type="dxa"/>
            <w:tcBorders>
              <w:top w:val="single" w:sz="12" w:space="0" w:color="000000"/>
              <w:left w:val="single" w:sz="8" w:space="0" w:color="0070C0"/>
              <w:bottom w:val="single" w:sz="18" w:space="0" w:color="C0504D" w:themeColor="accent2"/>
              <w:right w:val="single" w:sz="18" w:space="0" w:color="0070C0"/>
            </w:tcBorders>
            <w:shd w:val="clear" w:color="auto" w:fill="auto"/>
            <w:vAlign w:val="center"/>
          </w:tcPr>
          <w:p w14:paraId="22896CED" w14:textId="6A0F2C38" w:rsidR="00DD1DD8" w:rsidRPr="004F2F2E" w:rsidRDefault="00DD1DD8" w:rsidP="00575421">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2020</w:t>
            </w:r>
          </w:p>
        </w:tc>
        <w:tc>
          <w:tcPr>
            <w:tcW w:w="3254" w:type="dxa"/>
            <w:tcBorders>
              <w:top w:val="single" w:sz="12" w:space="0" w:color="000000"/>
              <w:left w:val="single" w:sz="18" w:space="0" w:color="0070C0"/>
              <w:bottom w:val="single" w:sz="18" w:space="0" w:color="C0504D" w:themeColor="accent2"/>
              <w:right w:val="single" w:sz="12" w:space="0" w:color="0070C0"/>
            </w:tcBorders>
            <w:shd w:val="clear" w:color="auto" w:fill="auto"/>
            <w:vAlign w:val="center"/>
          </w:tcPr>
          <w:p w14:paraId="0D2496F1" w14:textId="3B643179" w:rsidR="00DD1DD8" w:rsidRPr="004F2F2E" w:rsidRDefault="00DD1DD8" w:rsidP="00DD1DD8">
            <w:pPr>
              <w:widowControl w:val="0"/>
              <w:tabs>
                <w:tab w:val="left" w:pos="220"/>
                <w:tab w:val="left" w:pos="720"/>
              </w:tabs>
              <w:autoSpaceDE w:val="0"/>
              <w:autoSpaceDN w:val="0"/>
              <w:adjustRightInd w:val="0"/>
              <w:contextualSpacing/>
              <w:jc w:val="center"/>
              <w:rPr>
                <w:rFonts w:ascii="Verdana" w:eastAsia="Times New Roman" w:hAnsi="Verdana"/>
                <w:sz w:val="20"/>
                <w:szCs w:val="20"/>
              </w:rPr>
            </w:pPr>
            <w:r>
              <w:rPr>
                <w:rFonts w:ascii="Verdana" w:eastAsia="Times New Roman" w:hAnsi="Verdana"/>
                <w:sz w:val="20"/>
                <w:szCs w:val="20"/>
              </w:rPr>
              <w:t>Vertical</w:t>
            </w:r>
          </w:p>
        </w:tc>
        <w:tc>
          <w:tcPr>
            <w:tcW w:w="1267" w:type="dxa"/>
            <w:tcBorders>
              <w:top w:val="single" w:sz="12" w:space="0" w:color="000000"/>
              <w:left w:val="single" w:sz="12" w:space="0" w:color="0070C0"/>
              <w:bottom w:val="single" w:sz="18" w:space="0" w:color="C0504D" w:themeColor="accent2"/>
              <w:right w:val="single" w:sz="8" w:space="0" w:color="0070C0"/>
            </w:tcBorders>
            <w:shd w:val="clear" w:color="auto" w:fill="auto"/>
            <w:vAlign w:val="center"/>
          </w:tcPr>
          <w:p w14:paraId="4FBF6308" w14:textId="4D5485D3" w:rsidR="00DD1DD8" w:rsidRDefault="00DD1DD8" w:rsidP="00DD1DD8">
            <w:pPr>
              <w:widowControl w:val="0"/>
              <w:tabs>
                <w:tab w:val="left" w:pos="220"/>
                <w:tab w:val="left" w:pos="720"/>
              </w:tabs>
              <w:autoSpaceDE w:val="0"/>
              <w:autoSpaceDN w:val="0"/>
              <w:adjustRightInd w:val="0"/>
              <w:contextualSpacing/>
              <w:jc w:val="center"/>
              <w:rPr>
                <w:rFonts w:ascii="Verdana" w:eastAsia="Times New Roman" w:hAnsi="Verdana"/>
                <w:sz w:val="20"/>
                <w:szCs w:val="20"/>
              </w:rPr>
            </w:pPr>
            <w:r>
              <w:rPr>
                <w:rFonts w:ascii="Verdana" w:eastAsia="Times New Roman" w:hAnsi="Verdana"/>
                <w:sz w:val="20"/>
                <w:szCs w:val="20"/>
              </w:rPr>
              <w:t>2021</w:t>
            </w:r>
          </w:p>
        </w:tc>
        <w:tc>
          <w:tcPr>
            <w:tcW w:w="1267"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7C470EAE" w14:textId="6D962D94" w:rsidR="00DD1DD8" w:rsidRPr="004F2F2E" w:rsidRDefault="00DD1DD8" w:rsidP="00DD1DD8">
            <w:pPr>
              <w:widowControl w:val="0"/>
              <w:tabs>
                <w:tab w:val="left" w:pos="220"/>
                <w:tab w:val="left" w:pos="720"/>
              </w:tabs>
              <w:autoSpaceDE w:val="0"/>
              <w:autoSpaceDN w:val="0"/>
              <w:adjustRightInd w:val="0"/>
              <w:contextualSpacing/>
              <w:jc w:val="center"/>
              <w:rPr>
                <w:rFonts w:ascii="Verdana" w:eastAsia="Times New Roman" w:hAnsi="Verdana"/>
                <w:sz w:val="20"/>
                <w:szCs w:val="20"/>
              </w:rPr>
            </w:pPr>
            <w:r>
              <w:rPr>
                <w:rFonts w:ascii="Verdana" w:eastAsia="Times New Roman" w:hAnsi="Verdana"/>
                <w:sz w:val="20"/>
                <w:szCs w:val="20"/>
              </w:rPr>
              <w:t>2020</w:t>
            </w:r>
          </w:p>
        </w:tc>
      </w:tr>
      <w:tr w:rsidR="00BB0B49" w:rsidRPr="004F2F2E" w14:paraId="553F5607" w14:textId="77777777" w:rsidTr="00575421">
        <w:trPr>
          <w:trHeight w:val="243"/>
          <w:jc w:val="center"/>
        </w:trPr>
        <w:tc>
          <w:tcPr>
            <w:tcW w:w="3254" w:type="dxa"/>
            <w:tcBorders>
              <w:top w:val="single" w:sz="18" w:space="0" w:color="C0504D" w:themeColor="accent2"/>
              <w:left w:val="single" w:sz="12" w:space="0" w:color="000000"/>
              <w:bottom w:val="single" w:sz="4" w:space="0" w:color="auto"/>
              <w:right w:val="single" w:sz="12" w:space="0" w:color="0070C0"/>
            </w:tcBorders>
            <w:shd w:val="clear" w:color="auto" w:fill="auto"/>
            <w:vAlign w:val="center"/>
          </w:tcPr>
          <w:p w14:paraId="4203E4E0" w14:textId="161564CA" w:rsidR="00DD1DD8" w:rsidRPr="004F2F2E" w:rsidRDefault="00DD1DD8"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Apparel</w:t>
            </w:r>
          </w:p>
        </w:tc>
        <w:tc>
          <w:tcPr>
            <w:tcW w:w="1267" w:type="dxa"/>
            <w:tcBorders>
              <w:top w:val="single" w:sz="18" w:space="0" w:color="C0504D" w:themeColor="accent2"/>
              <w:left w:val="single" w:sz="12" w:space="0" w:color="0070C0"/>
              <w:bottom w:val="single" w:sz="4" w:space="0" w:color="auto"/>
              <w:right w:val="single" w:sz="8" w:space="0" w:color="0070C0"/>
            </w:tcBorders>
            <w:shd w:val="clear" w:color="auto" w:fill="D6E3BC" w:themeFill="accent3" w:themeFillTint="66"/>
            <w:vAlign w:val="center"/>
          </w:tcPr>
          <w:p w14:paraId="2A7043F0" w14:textId="2EA2FEBD" w:rsidR="00DD1DD8" w:rsidRPr="004F2F2E" w:rsidRDefault="00DD1DD8" w:rsidP="00575421">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-11%</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C2D69B" w:themeFill="accent3" w:themeFillTint="99"/>
            <w:vAlign w:val="center"/>
          </w:tcPr>
          <w:p w14:paraId="2FEB0A82" w14:textId="568A74C8" w:rsidR="00DD1DD8" w:rsidRPr="004F2F2E" w:rsidRDefault="00DD1DD8" w:rsidP="00575421">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-13%</w:t>
            </w:r>
          </w:p>
        </w:tc>
        <w:tc>
          <w:tcPr>
            <w:tcW w:w="3254" w:type="dxa"/>
            <w:tcBorders>
              <w:top w:val="single" w:sz="18" w:space="0" w:color="C0504D" w:themeColor="accent2"/>
              <w:left w:val="single" w:sz="18" w:space="0" w:color="0070C0"/>
              <w:bottom w:val="single" w:sz="4" w:space="0" w:color="000000"/>
              <w:right w:val="single" w:sz="12" w:space="0" w:color="0070C0"/>
            </w:tcBorders>
            <w:shd w:val="clear" w:color="auto" w:fill="auto"/>
            <w:vAlign w:val="center"/>
          </w:tcPr>
          <w:p w14:paraId="66FED92B" w14:textId="2ACC1001" w:rsidR="00DD1DD8" w:rsidRPr="004F2F2E" w:rsidRDefault="00DD1DD8"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Sporting Goods</w:t>
            </w:r>
          </w:p>
        </w:tc>
        <w:tc>
          <w:tcPr>
            <w:tcW w:w="1267" w:type="dxa"/>
            <w:tcBorders>
              <w:top w:val="single" w:sz="18" w:space="0" w:color="C0504D" w:themeColor="accent2"/>
              <w:left w:val="single" w:sz="12" w:space="0" w:color="0070C0"/>
              <w:bottom w:val="single" w:sz="4" w:space="0" w:color="000000"/>
              <w:right w:val="single" w:sz="8" w:space="0" w:color="0070C0"/>
            </w:tcBorders>
            <w:shd w:val="clear" w:color="auto" w:fill="C2D69B" w:themeFill="accent3" w:themeFillTint="99"/>
            <w:vAlign w:val="center"/>
          </w:tcPr>
          <w:p w14:paraId="59DE2C73" w14:textId="4CA8070C" w:rsidR="00DD1DD8" w:rsidRPr="004F2F2E" w:rsidRDefault="00DD1DD8"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-14%</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EAF1DD" w:themeFill="accent3" w:themeFillTint="33"/>
            <w:vAlign w:val="center"/>
          </w:tcPr>
          <w:p w14:paraId="3B5C0BD9" w14:textId="7D4B2FA3" w:rsidR="00DD1DD8" w:rsidRPr="004F2F2E" w:rsidRDefault="00DD1DD8"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-6%</w:t>
            </w:r>
          </w:p>
        </w:tc>
      </w:tr>
      <w:tr w:rsidR="00BB0B49" w:rsidRPr="004F2F2E" w14:paraId="42F9B582" w14:textId="77777777" w:rsidTr="00575421">
        <w:trPr>
          <w:trHeight w:val="243"/>
          <w:jc w:val="center"/>
        </w:trPr>
        <w:tc>
          <w:tcPr>
            <w:tcW w:w="3254" w:type="dxa"/>
            <w:tcBorders>
              <w:top w:val="single" w:sz="4" w:space="0" w:color="auto"/>
              <w:left w:val="single" w:sz="12" w:space="0" w:color="000000"/>
              <w:bottom w:val="single" w:sz="4" w:space="0" w:color="000000"/>
              <w:right w:val="single" w:sz="12" w:space="0" w:color="0070C0"/>
            </w:tcBorders>
            <w:shd w:val="clear" w:color="auto" w:fill="auto"/>
            <w:vAlign w:val="center"/>
          </w:tcPr>
          <w:p w14:paraId="79D42E58" w14:textId="60496A84" w:rsidR="00DD1DD8" w:rsidRPr="004F2F2E" w:rsidRDefault="00DD1DD8"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Toys</w:t>
            </w:r>
          </w:p>
        </w:tc>
        <w:tc>
          <w:tcPr>
            <w:tcW w:w="1267" w:type="dxa"/>
            <w:tcBorders>
              <w:top w:val="single" w:sz="4" w:space="0" w:color="auto"/>
              <w:left w:val="single" w:sz="12" w:space="0" w:color="0070C0"/>
              <w:bottom w:val="single" w:sz="4" w:space="0" w:color="000000"/>
              <w:right w:val="single" w:sz="8" w:space="0" w:color="0070C0"/>
            </w:tcBorders>
            <w:shd w:val="clear" w:color="auto" w:fill="C2D69B" w:themeFill="accent3" w:themeFillTint="99"/>
            <w:vAlign w:val="center"/>
          </w:tcPr>
          <w:p w14:paraId="5C02E412" w14:textId="6C737A36" w:rsidR="00DD1DD8" w:rsidRPr="004F2F2E" w:rsidRDefault="00DD1DD8" w:rsidP="00575421">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-14%</w:t>
            </w:r>
          </w:p>
        </w:tc>
        <w:tc>
          <w:tcPr>
            <w:tcW w:w="1267" w:type="dxa"/>
            <w:tcBorders>
              <w:top w:val="single" w:sz="4" w:space="0" w:color="auto"/>
              <w:left w:val="single" w:sz="8" w:space="0" w:color="0070C0"/>
              <w:bottom w:val="single" w:sz="4" w:space="0" w:color="000000"/>
              <w:right w:val="single" w:sz="18" w:space="0" w:color="0070C0"/>
            </w:tcBorders>
            <w:shd w:val="clear" w:color="auto" w:fill="00B050"/>
            <w:vAlign w:val="center"/>
          </w:tcPr>
          <w:p w14:paraId="75F47B59" w14:textId="76669E13" w:rsidR="00DD1DD8" w:rsidRPr="004F2F2E" w:rsidRDefault="00DD1DD8" w:rsidP="00575421">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-19%</w:t>
            </w:r>
          </w:p>
        </w:tc>
        <w:tc>
          <w:tcPr>
            <w:tcW w:w="3254"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3F2D0C5A" w14:textId="4A271B4D" w:rsidR="00DD1DD8" w:rsidRPr="004B7FA9" w:rsidRDefault="00DD1DD8"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Appliances</w:t>
            </w:r>
          </w:p>
        </w:tc>
        <w:tc>
          <w:tcPr>
            <w:tcW w:w="1267" w:type="dxa"/>
            <w:tcBorders>
              <w:top w:val="single" w:sz="4" w:space="0" w:color="000000"/>
              <w:left w:val="single" w:sz="12" w:space="0" w:color="0070C0"/>
              <w:bottom w:val="single" w:sz="4" w:space="0" w:color="000000"/>
              <w:right w:val="single" w:sz="8" w:space="0" w:color="0070C0"/>
            </w:tcBorders>
            <w:shd w:val="clear" w:color="auto" w:fill="C2D69B" w:themeFill="accent3" w:themeFillTint="99"/>
            <w:vAlign w:val="center"/>
          </w:tcPr>
          <w:p w14:paraId="3E3FBED3" w14:textId="0E77A8B0" w:rsidR="00DD1DD8" w:rsidRPr="004B7FA9" w:rsidRDefault="00DD1DD8"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-14%</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2E886E3C" w14:textId="734ED630" w:rsidR="00DD1DD8" w:rsidRPr="004B7FA9" w:rsidRDefault="00DD1DD8"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-4%</w:t>
            </w:r>
          </w:p>
        </w:tc>
      </w:tr>
      <w:tr w:rsidR="00BB0B49" w:rsidRPr="004F2F2E" w14:paraId="77139813" w14:textId="77777777" w:rsidTr="00575421">
        <w:trPr>
          <w:trHeight w:val="243"/>
          <w:jc w:val="center"/>
        </w:trPr>
        <w:tc>
          <w:tcPr>
            <w:tcW w:w="3254" w:type="dxa"/>
            <w:tcBorders>
              <w:top w:val="single" w:sz="4" w:space="0" w:color="auto"/>
              <w:left w:val="single" w:sz="12" w:space="0" w:color="000000"/>
              <w:bottom w:val="single" w:sz="4" w:space="0" w:color="000000"/>
              <w:right w:val="single" w:sz="12" w:space="0" w:color="0070C0"/>
            </w:tcBorders>
            <w:shd w:val="clear" w:color="auto" w:fill="auto"/>
            <w:vAlign w:val="center"/>
          </w:tcPr>
          <w:p w14:paraId="5E994C91" w14:textId="36FCD03C" w:rsidR="00DD1DD8" w:rsidRDefault="00DD1DD8"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TVs</w:t>
            </w:r>
          </w:p>
        </w:tc>
        <w:tc>
          <w:tcPr>
            <w:tcW w:w="1267" w:type="dxa"/>
            <w:tcBorders>
              <w:top w:val="single" w:sz="4" w:space="0" w:color="auto"/>
              <w:left w:val="single" w:sz="12" w:space="0" w:color="0070C0"/>
              <w:bottom w:val="single" w:sz="4" w:space="0" w:color="000000"/>
              <w:right w:val="single" w:sz="8" w:space="0" w:color="0070C0"/>
            </w:tcBorders>
            <w:shd w:val="clear" w:color="auto" w:fill="D6E3BC" w:themeFill="accent3" w:themeFillTint="66"/>
            <w:vAlign w:val="center"/>
          </w:tcPr>
          <w:p w14:paraId="3A1B30BE" w14:textId="1D4CDE1A" w:rsidR="00DD1DD8" w:rsidRDefault="00DD1DD8" w:rsidP="00575421">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-11%</w:t>
            </w:r>
          </w:p>
        </w:tc>
        <w:tc>
          <w:tcPr>
            <w:tcW w:w="1267" w:type="dxa"/>
            <w:tcBorders>
              <w:top w:val="single" w:sz="4" w:space="0" w:color="auto"/>
              <w:left w:val="single" w:sz="8" w:space="0" w:color="0070C0"/>
              <w:bottom w:val="single" w:sz="4" w:space="0" w:color="000000"/>
              <w:right w:val="single" w:sz="18" w:space="0" w:color="0070C0"/>
            </w:tcBorders>
            <w:shd w:val="clear" w:color="auto" w:fill="D6E3BC" w:themeFill="accent3" w:themeFillTint="66"/>
            <w:vAlign w:val="center"/>
          </w:tcPr>
          <w:p w14:paraId="4029A93D" w14:textId="67877F64" w:rsidR="00DD1DD8" w:rsidRDefault="00DD1DD8" w:rsidP="00575421">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-11%</w:t>
            </w:r>
          </w:p>
        </w:tc>
        <w:tc>
          <w:tcPr>
            <w:tcW w:w="3254"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194E5630" w14:textId="11AD7634" w:rsidR="00DD1DD8" w:rsidRDefault="00DD1DD8"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Furniture and bedding</w:t>
            </w:r>
          </w:p>
        </w:tc>
        <w:tc>
          <w:tcPr>
            <w:tcW w:w="1267" w:type="dxa"/>
            <w:tcBorders>
              <w:top w:val="single" w:sz="4" w:space="0" w:color="000000"/>
              <w:left w:val="single" w:sz="12" w:space="0" w:color="0070C0"/>
              <w:bottom w:val="single" w:sz="4" w:space="0" w:color="000000"/>
              <w:right w:val="single" w:sz="8" w:space="0" w:color="0070C0"/>
            </w:tcBorders>
            <w:shd w:val="clear" w:color="auto" w:fill="EAF1DD" w:themeFill="accent3" w:themeFillTint="33"/>
            <w:vAlign w:val="center"/>
          </w:tcPr>
          <w:p w14:paraId="6D4D3EC9" w14:textId="294A1514" w:rsidR="00DD1DD8" w:rsidRDefault="00DD1DD8"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-4%</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476E8C92" w14:textId="22DF5272" w:rsidR="00DD1DD8" w:rsidRDefault="00DD1DD8"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-2%</w:t>
            </w:r>
          </w:p>
        </w:tc>
      </w:tr>
      <w:tr w:rsidR="00BB0B49" w:rsidRPr="004F2F2E" w14:paraId="65625172" w14:textId="77777777" w:rsidTr="00575421">
        <w:trPr>
          <w:trHeight w:val="243"/>
          <w:jc w:val="center"/>
        </w:trPr>
        <w:tc>
          <w:tcPr>
            <w:tcW w:w="3254" w:type="dxa"/>
            <w:tcBorders>
              <w:top w:val="single" w:sz="4" w:space="0" w:color="auto"/>
              <w:left w:val="single" w:sz="12" w:space="0" w:color="000000"/>
              <w:bottom w:val="single" w:sz="4" w:space="0" w:color="000000"/>
              <w:right w:val="single" w:sz="12" w:space="0" w:color="0070C0"/>
            </w:tcBorders>
            <w:shd w:val="clear" w:color="auto" w:fill="auto"/>
            <w:vAlign w:val="center"/>
          </w:tcPr>
          <w:p w14:paraId="45BE0557" w14:textId="77313CF7" w:rsidR="00DD1DD8" w:rsidRPr="004F2F2E" w:rsidRDefault="00DD1DD8"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Computers</w:t>
            </w:r>
          </w:p>
        </w:tc>
        <w:tc>
          <w:tcPr>
            <w:tcW w:w="1267" w:type="dxa"/>
            <w:tcBorders>
              <w:top w:val="single" w:sz="4" w:space="0" w:color="auto"/>
              <w:left w:val="single" w:sz="12" w:space="0" w:color="0070C0"/>
              <w:bottom w:val="single" w:sz="4" w:space="0" w:color="000000"/>
              <w:right w:val="single" w:sz="8" w:space="0" w:color="0070C0"/>
            </w:tcBorders>
            <w:shd w:val="clear" w:color="auto" w:fill="00B050"/>
            <w:vAlign w:val="center"/>
          </w:tcPr>
          <w:p w14:paraId="25DFBEF0" w14:textId="3792E780" w:rsidR="00DD1DD8" w:rsidRPr="004F2F2E" w:rsidRDefault="00DD1DD8" w:rsidP="00575421">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-22%</w:t>
            </w:r>
          </w:p>
        </w:tc>
        <w:tc>
          <w:tcPr>
            <w:tcW w:w="1267" w:type="dxa"/>
            <w:tcBorders>
              <w:top w:val="single" w:sz="4" w:space="0" w:color="auto"/>
              <w:left w:val="single" w:sz="8" w:space="0" w:color="0070C0"/>
              <w:bottom w:val="single" w:sz="4" w:space="0" w:color="000000"/>
              <w:right w:val="single" w:sz="18" w:space="0" w:color="0070C0"/>
            </w:tcBorders>
            <w:shd w:val="clear" w:color="auto" w:fill="D6E3BC" w:themeFill="accent3" w:themeFillTint="66"/>
            <w:vAlign w:val="center"/>
          </w:tcPr>
          <w:p w14:paraId="13ACB8FC" w14:textId="3A1575D9" w:rsidR="00DD1DD8" w:rsidRPr="004F2F2E" w:rsidRDefault="00DD1DD8" w:rsidP="00575421">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-10%</w:t>
            </w:r>
          </w:p>
        </w:tc>
        <w:tc>
          <w:tcPr>
            <w:tcW w:w="3254"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64414D13" w14:textId="0D3B7AC9" w:rsidR="00DD1DD8" w:rsidRPr="004F2F2E" w:rsidRDefault="00DD1DD8"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Tools and home improvement</w:t>
            </w:r>
          </w:p>
        </w:tc>
        <w:tc>
          <w:tcPr>
            <w:tcW w:w="1267" w:type="dxa"/>
            <w:tcBorders>
              <w:top w:val="single" w:sz="4" w:space="0" w:color="000000"/>
              <w:left w:val="single" w:sz="12" w:space="0" w:color="0070C0"/>
              <w:bottom w:val="single" w:sz="4" w:space="0" w:color="000000"/>
              <w:right w:val="single" w:sz="8" w:space="0" w:color="0070C0"/>
            </w:tcBorders>
            <w:shd w:val="clear" w:color="auto" w:fill="EAF1DD" w:themeFill="accent3" w:themeFillTint="33"/>
            <w:vAlign w:val="center"/>
          </w:tcPr>
          <w:p w14:paraId="3836AE37" w14:textId="6B8AC6AF" w:rsidR="00DD1DD8" w:rsidRPr="004F2F2E" w:rsidRDefault="00DD1DD8"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-7%</w:t>
            </w:r>
          </w:p>
        </w:tc>
        <w:tc>
          <w:tcPr>
            <w:tcW w:w="1267"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24C6456E" w14:textId="26FF9948" w:rsidR="00DD1DD8" w:rsidRPr="004F2F2E" w:rsidRDefault="00DD1DD8"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+2%</w:t>
            </w:r>
          </w:p>
        </w:tc>
      </w:tr>
      <w:tr w:rsidR="00DD1DD8" w:rsidRPr="004F2F2E" w14:paraId="33C85C24" w14:textId="77777777" w:rsidTr="00575421">
        <w:trPr>
          <w:trHeight w:val="243"/>
          <w:jc w:val="center"/>
        </w:trPr>
        <w:tc>
          <w:tcPr>
            <w:tcW w:w="3254" w:type="dxa"/>
            <w:tcBorders>
              <w:top w:val="single" w:sz="4" w:space="0" w:color="000000"/>
              <w:left w:val="single" w:sz="12" w:space="0" w:color="000000"/>
              <w:bottom w:val="single" w:sz="12" w:space="0" w:color="000000"/>
              <w:right w:val="single" w:sz="12" w:space="0" w:color="0070C0"/>
            </w:tcBorders>
            <w:shd w:val="clear" w:color="auto" w:fill="auto"/>
            <w:vAlign w:val="center"/>
          </w:tcPr>
          <w:p w14:paraId="07DB5D02" w14:textId="2E244903" w:rsidR="00DD1DD8" w:rsidRPr="004F2F2E" w:rsidRDefault="00DD1DD8"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Electronics</w:t>
            </w:r>
          </w:p>
        </w:tc>
        <w:tc>
          <w:tcPr>
            <w:tcW w:w="1267" w:type="dxa"/>
            <w:tcBorders>
              <w:top w:val="single" w:sz="4" w:space="0" w:color="000000"/>
              <w:left w:val="single" w:sz="12" w:space="0" w:color="0070C0"/>
              <w:bottom w:val="single" w:sz="12" w:space="0" w:color="000000"/>
              <w:right w:val="single" w:sz="8" w:space="0" w:color="0070C0"/>
            </w:tcBorders>
            <w:shd w:val="clear" w:color="auto" w:fill="00B050"/>
            <w:vAlign w:val="center"/>
          </w:tcPr>
          <w:p w14:paraId="058BB9FF" w14:textId="3019A4D8" w:rsidR="00DD1DD8" w:rsidRPr="004F2F2E" w:rsidRDefault="00DD1DD8" w:rsidP="00575421">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-21%</w:t>
            </w:r>
          </w:p>
        </w:tc>
        <w:tc>
          <w:tcPr>
            <w:tcW w:w="1267" w:type="dxa"/>
            <w:tcBorders>
              <w:top w:val="single" w:sz="4" w:space="0" w:color="000000"/>
              <w:left w:val="single" w:sz="8" w:space="0" w:color="0070C0"/>
              <w:bottom w:val="single" w:sz="12" w:space="0" w:color="000000"/>
              <w:right w:val="single" w:sz="18" w:space="0" w:color="0070C0"/>
            </w:tcBorders>
            <w:shd w:val="clear" w:color="auto" w:fill="EAF1DD" w:themeFill="accent3" w:themeFillTint="33"/>
            <w:vAlign w:val="center"/>
          </w:tcPr>
          <w:p w14:paraId="5C6B1BD0" w14:textId="202B3BF6" w:rsidR="00DD1DD8" w:rsidRPr="004F2F2E" w:rsidRDefault="00DD1DD8" w:rsidP="00575421">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-8%</w:t>
            </w:r>
          </w:p>
        </w:tc>
        <w:tc>
          <w:tcPr>
            <w:tcW w:w="3254" w:type="dxa"/>
            <w:tcBorders>
              <w:top w:val="single" w:sz="4" w:space="0" w:color="000000"/>
              <w:left w:val="single" w:sz="18" w:space="0" w:color="0070C0"/>
              <w:bottom w:val="single" w:sz="12" w:space="0" w:color="000000"/>
              <w:right w:val="single" w:sz="12" w:space="0" w:color="0070C0"/>
            </w:tcBorders>
            <w:shd w:val="clear" w:color="auto" w:fill="D9D9D9" w:themeFill="background1" w:themeFillShade="D9"/>
            <w:vAlign w:val="center"/>
          </w:tcPr>
          <w:p w14:paraId="1416F2E6" w14:textId="77777777" w:rsidR="00DD1DD8" w:rsidRPr="004F2F2E" w:rsidRDefault="00DD1DD8" w:rsidP="00120BB0">
            <w:pPr>
              <w:widowControl w:val="0"/>
              <w:tabs>
                <w:tab w:val="left" w:pos="220"/>
                <w:tab w:val="left" w:pos="720"/>
              </w:tabs>
              <w:autoSpaceDE w:val="0"/>
              <w:autoSpaceDN w:val="0"/>
              <w:adjustRightInd w:val="0"/>
              <w:contextualSpacing/>
              <w:rPr>
                <w:rFonts w:ascii="Verdana" w:eastAsia="Times New Roman" w:hAnsi="Verdana"/>
                <w:sz w:val="20"/>
                <w:szCs w:val="20"/>
              </w:rPr>
            </w:pPr>
          </w:p>
        </w:tc>
        <w:tc>
          <w:tcPr>
            <w:tcW w:w="1267" w:type="dxa"/>
            <w:tcBorders>
              <w:top w:val="single" w:sz="4" w:space="0" w:color="000000"/>
              <w:left w:val="single" w:sz="12" w:space="0" w:color="0070C0"/>
              <w:bottom w:val="single" w:sz="12" w:space="0" w:color="000000"/>
              <w:right w:val="single" w:sz="8" w:space="0" w:color="0070C0"/>
            </w:tcBorders>
            <w:shd w:val="clear" w:color="auto" w:fill="D9D9D9" w:themeFill="background1" w:themeFillShade="D9"/>
          </w:tcPr>
          <w:p w14:paraId="4F713074" w14:textId="77777777" w:rsidR="00DD1DD8" w:rsidRPr="004F2F2E" w:rsidRDefault="00DD1DD8"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p>
        </w:tc>
        <w:tc>
          <w:tcPr>
            <w:tcW w:w="1267" w:type="dxa"/>
            <w:tcBorders>
              <w:top w:val="single" w:sz="4" w:space="0" w:color="000000"/>
              <w:left w:val="single" w:sz="8" w:space="0" w:color="0070C0"/>
              <w:bottom w:val="single" w:sz="12" w:space="0" w:color="000000"/>
              <w:right w:val="single" w:sz="12" w:space="0" w:color="000000"/>
            </w:tcBorders>
            <w:shd w:val="clear" w:color="auto" w:fill="D9D9D9" w:themeFill="background1" w:themeFillShade="D9"/>
            <w:vAlign w:val="center"/>
          </w:tcPr>
          <w:p w14:paraId="445CB63F" w14:textId="77777777" w:rsidR="00DD1DD8" w:rsidRPr="004F2F2E" w:rsidRDefault="00DD1DD8"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p>
        </w:tc>
      </w:tr>
    </w:tbl>
    <w:p w14:paraId="28838EF8" w14:textId="38B7616D" w:rsidR="00DD1DD8" w:rsidRDefault="00A66594" w:rsidP="00A66594">
      <w:pPr>
        <w:contextualSpacing/>
        <w:mirrorIndents/>
        <w:rPr>
          <w:rFonts w:ascii="Verdana" w:hAnsi="Verdana"/>
          <w:sz w:val="20"/>
          <w:szCs w:val="20"/>
        </w:rPr>
      </w:pPr>
      <w:r>
        <w:rPr>
          <w:rFonts w:ascii="Verdana" w:hAnsi="Verdana"/>
          <w:sz w:val="16"/>
          <w:szCs w:val="16"/>
        </w:rPr>
        <w:t>eMarketer (Adobe), April</w:t>
      </w:r>
      <w:r w:rsidR="00DD1DD8">
        <w:rPr>
          <w:rFonts w:ascii="Verdana" w:hAnsi="Verdana"/>
          <w:sz w:val="16"/>
          <w:szCs w:val="16"/>
        </w:rPr>
        <w:t xml:space="preserve"> 2022</w:t>
      </w:r>
    </w:p>
    <w:p w14:paraId="1263DA56" w14:textId="1BBBC606" w:rsidR="00DD1DD8" w:rsidRDefault="00DD1DD8" w:rsidP="00F36F72">
      <w:pPr>
        <w:rPr>
          <w:rFonts w:ascii="Verdana" w:hAnsi="Verdana"/>
          <w:sz w:val="20"/>
          <w:szCs w:val="20"/>
        </w:rPr>
      </w:pPr>
    </w:p>
    <w:p w14:paraId="40BE364A" w14:textId="4314C8E9" w:rsidR="00F36F72" w:rsidRPr="00BB0B49" w:rsidRDefault="00F36F72" w:rsidP="00BB0B49">
      <w:pPr>
        <w:jc w:val="center"/>
        <w:rPr>
          <w:rFonts w:ascii="Verdana" w:hAnsi="Verdana"/>
          <w:b/>
          <w:bCs/>
          <w:color w:val="0070C0"/>
          <w:sz w:val="20"/>
          <w:szCs w:val="20"/>
        </w:rPr>
      </w:pPr>
      <w:r w:rsidRPr="00BB0B49">
        <w:rPr>
          <w:rFonts w:ascii="Verdana" w:hAnsi="Verdana"/>
          <w:b/>
          <w:bCs/>
          <w:color w:val="0070C0"/>
          <w:sz w:val="20"/>
          <w:szCs w:val="20"/>
        </w:rPr>
        <w:t>Family Dynamics</w:t>
      </w:r>
    </w:p>
    <w:p w14:paraId="5C358FC5" w14:textId="77777777" w:rsidR="00F36F72" w:rsidRPr="00F36F72" w:rsidRDefault="00F36F72" w:rsidP="00F36F72">
      <w:pPr>
        <w:rPr>
          <w:rFonts w:ascii="Verdana" w:hAnsi="Verdana"/>
          <w:sz w:val="20"/>
          <w:szCs w:val="20"/>
        </w:rPr>
      </w:pPr>
    </w:p>
    <w:p w14:paraId="0DE00391" w14:textId="3D96D1C1" w:rsidR="00BB0B49" w:rsidRDefault="00CF1301" w:rsidP="00F36F72">
      <w:pPr>
        <w:rPr>
          <w:rFonts w:ascii="Verdana" w:hAnsi="Verdana"/>
          <w:sz w:val="20"/>
          <w:szCs w:val="20"/>
        </w:rPr>
      </w:pPr>
      <w:r>
        <w:rPr>
          <w:rFonts w:ascii="Verdana" w:hAnsi="Verdana"/>
          <w:sz w:val="20"/>
          <w:szCs w:val="20"/>
        </w:rPr>
        <w:t>Analysis of The Media Audit’s 49-Market 2021 Aggregate Report reveals the average age of adults with children at home of any age was 42.5. By generation, Gen Zers 20.8, Millennials 33.8, Gen Xers 45.8, Baby Boomers 62.7 and those who identify as LGBT+ 33.8.</w:t>
      </w:r>
    </w:p>
    <w:p w14:paraId="16ABBEB9" w14:textId="77777777" w:rsidR="00BB0B49" w:rsidRDefault="00BB0B49" w:rsidP="00F36F72">
      <w:pPr>
        <w:rPr>
          <w:rFonts w:ascii="Verdana" w:hAnsi="Verdana"/>
          <w:sz w:val="20"/>
          <w:szCs w:val="20"/>
        </w:rPr>
      </w:pPr>
    </w:p>
    <w:p w14:paraId="5432E747" w14:textId="45368ECE" w:rsidR="00BB0B49" w:rsidRDefault="00CF1301" w:rsidP="00F36F72">
      <w:pPr>
        <w:rPr>
          <w:rFonts w:ascii="Verdana" w:hAnsi="Verdana"/>
          <w:sz w:val="20"/>
          <w:szCs w:val="20"/>
        </w:rPr>
      </w:pPr>
      <w:r>
        <w:rPr>
          <w:rFonts w:ascii="Verdana" w:hAnsi="Verdana"/>
          <w:sz w:val="20"/>
          <w:szCs w:val="20"/>
        </w:rPr>
        <w:t>Gen Xers with children at home of any age had the largest average household income at $88,800, follow</w:t>
      </w:r>
      <w:r w:rsidR="006B14AD">
        <w:rPr>
          <w:rFonts w:ascii="Verdana" w:hAnsi="Verdana"/>
          <w:sz w:val="20"/>
          <w:szCs w:val="20"/>
        </w:rPr>
        <w:t>ed</w:t>
      </w:r>
      <w:r>
        <w:rPr>
          <w:rFonts w:ascii="Verdana" w:hAnsi="Verdana"/>
          <w:sz w:val="20"/>
          <w:szCs w:val="20"/>
        </w:rPr>
        <w:t xml:space="preserve"> by Baby Boomers at $84,000, Millennials at $76,400, LGBT+ at $62,800 and Gen Zers at $51,100.</w:t>
      </w:r>
    </w:p>
    <w:p w14:paraId="19E7A7C8" w14:textId="3D864760" w:rsidR="00CF1301" w:rsidRDefault="00CF1301" w:rsidP="00F36F72">
      <w:pPr>
        <w:rPr>
          <w:rFonts w:ascii="Verdana" w:hAnsi="Verdana"/>
          <w:sz w:val="20"/>
          <w:szCs w:val="20"/>
        </w:rPr>
      </w:pPr>
    </w:p>
    <w:p w14:paraId="636CF4D5" w14:textId="62D425F7" w:rsidR="00365DBF" w:rsidRDefault="00365DBF" w:rsidP="00F36F72">
      <w:pPr>
        <w:rPr>
          <w:rFonts w:ascii="Verdana" w:hAnsi="Verdana"/>
          <w:sz w:val="20"/>
          <w:szCs w:val="20"/>
        </w:rPr>
      </w:pPr>
      <w:r>
        <w:rPr>
          <w:rFonts w:ascii="Verdana" w:hAnsi="Verdana"/>
          <w:sz w:val="20"/>
          <w:szCs w:val="20"/>
        </w:rPr>
        <w:t>Traditionally, parents, grandparents, aunts and uncles have bought toys for the children in their extended families, but a 2021 Toy Association survey found 58% of parents said they also bought toys for themselves, coining the term “kidault.”</w:t>
      </w:r>
    </w:p>
    <w:p w14:paraId="25635232" w14:textId="77777777" w:rsidR="00365DBF" w:rsidRDefault="00365DBF" w:rsidP="00F36F72">
      <w:pPr>
        <w:rPr>
          <w:rFonts w:ascii="Verdana" w:hAnsi="Verdana"/>
          <w:sz w:val="20"/>
          <w:szCs w:val="20"/>
        </w:rPr>
      </w:pPr>
    </w:p>
    <w:p w14:paraId="3D6FC09B" w14:textId="77777777" w:rsidR="003C64AC" w:rsidRDefault="003C64AC" w:rsidP="003C64AC">
      <w:pPr>
        <w:contextualSpacing/>
        <w:mirrorIndents/>
        <w:jc w:val="center"/>
        <w:rPr>
          <w:b/>
          <w:bCs/>
          <w:sz w:val="20"/>
          <w:szCs w:val="20"/>
        </w:rPr>
      </w:pPr>
      <w:r>
        <w:rPr>
          <w:b/>
          <w:bCs/>
          <w:sz w:val="20"/>
          <w:szCs w:val="20"/>
        </w:rPr>
        <w:t xml:space="preserve">Indices of Adults with Children at Home of Any Age, by Various </w:t>
      </w:r>
    </w:p>
    <w:p w14:paraId="05547326" w14:textId="4B4D6BFE" w:rsidR="003C64AC" w:rsidRPr="005D1511" w:rsidRDefault="003C64AC" w:rsidP="003C64AC">
      <w:pPr>
        <w:contextualSpacing/>
        <w:mirrorIndents/>
        <w:jc w:val="center"/>
        <w:rPr>
          <w:b/>
          <w:bCs/>
          <w:sz w:val="20"/>
          <w:szCs w:val="20"/>
        </w:rPr>
      </w:pPr>
      <w:r>
        <w:rPr>
          <w:b/>
          <w:bCs/>
          <w:sz w:val="20"/>
          <w:szCs w:val="20"/>
        </w:rPr>
        <w:t>Parenting and Working Status and Generation, in Selected Markets</w:t>
      </w:r>
      <w:r w:rsidRPr="005D1511">
        <w:rPr>
          <w:b/>
          <w:bCs/>
          <w:sz w:val="20"/>
          <w:szCs w:val="20"/>
        </w:rPr>
        <w:t>, 202</w:t>
      </w:r>
      <w:r>
        <w:rPr>
          <w:b/>
          <w:bCs/>
          <w:sz w:val="20"/>
          <w:szCs w:val="20"/>
        </w:rPr>
        <w:t>1</w:t>
      </w:r>
    </w:p>
    <w:tbl>
      <w:tblPr>
        <w:tblW w:w="10102"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828"/>
        <w:gridCol w:w="1454"/>
        <w:gridCol w:w="1454"/>
        <w:gridCol w:w="1454"/>
        <w:gridCol w:w="1454"/>
        <w:gridCol w:w="1458"/>
      </w:tblGrid>
      <w:tr w:rsidR="003C64AC" w:rsidRPr="005D1511" w14:paraId="32F1BFF6" w14:textId="77777777" w:rsidTr="003C64AC">
        <w:trPr>
          <w:jc w:val="center"/>
        </w:trPr>
        <w:tc>
          <w:tcPr>
            <w:tcW w:w="2828" w:type="dxa"/>
            <w:tcBorders>
              <w:top w:val="single" w:sz="12" w:space="0" w:color="000000"/>
              <w:left w:val="single" w:sz="12" w:space="0" w:color="000000"/>
              <w:bottom w:val="single" w:sz="18" w:space="0" w:color="C0504D" w:themeColor="accent2"/>
              <w:right w:val="single" w:sz="18" w:space="0" w:color="0070C0"/>
            </w:tcBorders>
            <w:vAlign w:val="center"/>
          </w:tcPr>
          <w:p w14:paraId="13D23E0B" w14:textId="3CA2D3A5" w:rsidR="003C64AC" w:rsidRPr="005D1511" w:rsidRDefault="003C64AC" w:rsidP="00120BB0">
            <w:pPr>
              <w:widowControl w:val="0"/>
              <w:tabs>
                <w:tab w:val="left" w:pos="220"/>
                <w:tab w:val="left" w:pos="720"/>
              </w:tabs>
              <w:autoSpaceDE w:val="0"/>
              <w:autoSpaceDN w:val="0"/>
              <w:contextualSpacing/>
              <w:mirrorIndents/>
              <w:jc w:val="center"/>
              <w:rPr>
                <w:rFonts w:eastAsia="Times New Roman"/>
                <w:sz w:val="20"/>
                <w:szCs w:val="20"/>
              </w:rPr>
            </w:pPr>
            <w:r>
              <w:rPr>
                <w:rFonts w:eastAsia="Times New Roman"/>
                <w:sz w:val="20"/>
                <w:szCs w:val="20"/>
              </w:rPr>
              <w:t>Status</w:t>
            </w:r>
          </w:p>
        </w:tc>
        <w:tc>
          <w:tcPr>
            <w:tcW w:w="1454" w:type="dxa"/>
            <w:tcBorders>
              <w:top w:val="single" w:sz="12" w:space="0" w:color="000000"/>
              <w:left w:val="single" w:sz="18" w:space="0" w:color="0070C0"/>
              <w:bottom w:val="single" w:sz="18" w:space="0" w:color="C0504D" w:themeColor="accent2"/>
              <w:right w:val="single" w:sz="8" w:space="0" w:color="0070C0"/>
            </w:tcBorders>
            <w:vAlign w:val="center"/>
          </w:tcPr>
          <w:p w14:paraId="03A2D92F" w14:textId="49D2A806" w:rsidR="003C64AC" w:rsidRPr="005D1511" w:rsidRDefault="003C64AC" w:rsidP="00120BB0">
            <w:pPr>
              <w:widowControl w:val="0"/>
              <w:tabs>
                <w:tab w:val="left" w:pos="220"/>
                <w:tab w:val="left" w:pos="720"/>
              </w:tabs>
              <w:autoSpaceDE w:val="0"/>
              <w:autoSpaceDN w:val="0"/>
              <w:contextualSpacing/>
              <w:mirrorIndents/>
              <w:jc w:val="center"/>
              <w:rPr>
                <w:rFonts w:eastAsia="Times New Roman"/>
                <w:sz w:val="20"/>
                <w:szCs w:val="20"/>
              </w:rPr>
            </w:pPr>
            <w:r>
              <w:rPr>
                <w:rFonts w:eastAsia="Times New Roman"/>
                <w:sz w:val="20"/>
                <w:szCs w:val="20"/>
              </w:rPr>
              <w:t>Gen Z</w:t>
            </w:r>
          </w:p>
        </w:tc>
        <w:tc>
          <w:tcPr>
            <w:tcW w:w="1454" w:type="dxa"/>
            <w:tcBorders>
              <w:top w:val="single" w:sz="12" w:space="0" w:color="000000"/>
              <w:left w:val="single" w:sz="8" w:space="0" w:color="0070C0"/>
              <w:bottom w:val="single" w:sz="18" w:space="0" w:color="C0504D" w:themeColor="accent2"/>
              <w:right w:val="single" w:sz="8" w:space="0" w:color="0070C0"/>
            </w:tcBorders>
            <w:vAlign w:val="center"/>
          </w:tcPr>
          <w:p w14:paraId="1972817F" w14:textId="05AC4D6A" w:rsidR="003C64AC" w:rsidRPr="005D1511" w:rsidRDefault="003C64AC" w:rsidP="00120BB0">
            <w:pPr>
              <w:widowControl w:val="0"/>
              <w:tabs>
                <w:tab w:val="left" w:pos="220"/>
                <w:tab w:val="left" w:pos="720"/>
              </w:tabs>
              <w:autoSpaceDE w:val="0"/>
              <w:autoSpaceDN w:val="0"/>
              <w:contextualSpacing/>
              <w:mirrorIndents/>
              <w:jc w:val="center"/>
              <w:rPr>
                <w:rFonts w:eastAsia="Times New Roman"/>
                <w:sz w:val="20"/>
                <w:szCs w:val="20"/>
              </w:rPr>
            </w:pPr>
            <w:r>
              <w:rPr>
                <w:rFonts w:eastAsia="Times New Roman"/>
                <w:sz w:val="20"/>
                <w:szCs w:val="20"/>
              </w:rPr>
              <w:t>Millennials</w:t>
            </w:r>
          </w:p>
        </w:tc>
        <w:tc>
          <w:tcPr>
            <w:tcW w:w="1454" w:type="dxa"/>
            <w:tcBorders>
              <w:top w:val="single" w:sz="12" w:space="0" w:color="000000"/>
              <w:left w:val="single" w:sz="8" w:space="0" w:color="0070C0"/>
              <w:bottom w:val="single" w:sz="18" w:space="0" w:color="C0504D" w:themeColor="accent2"/>
              <w:right w:val="single" w:sz="8" w:space="0" w:color="0070C0"/>
            </w:tcBorders>
            <w:vAlign w:val="center"/>
          </w:tcPr>
          <w:p w14:paraId="58DE9910" w14:textId="34D18F16" w:rsidR="003C64AC" w:rsidRPr="005D1511" w:rsidRDefault="003C64AC" w:rsidP="00120BB0">
            <w:pPr>
              <w:widowControl w:val="0"/>
              <w:tabs>
                <w:tab w:val="left" w:pos="220"/>
                <w:tab w:val="left" w:pos="720"/>
              </w:tabs>
              <w:autoSpaceDE w:val="0"/>
              <w:autoSpaceDN w:val="0"/>
              <w:contextualSpacing/>
              <w:mirrorIndents/>
              <w:jc w:val="center"/>
              <w:rPr>
                <w:rFonts w:eastAsia="Times New Roman"/>
                <w:sz w:val="20"/>
                <w:szCs w:val="20"/>
              </w:rPr>
            </w:pPr>
            <w:r>
              <w:rPr>
                <w:rFonts w:eastAsia="Times New Roman"/>
                <w:sz w:val="20"/>
                <w:szCs w:val="20"/>
              </w:rPr>
              <w:t>Gen X</w:t>
            </w:r>
          </w:p>
        </w:tc>
        <w:tc>
          <w:tcPr>
            <w:tcW w:w="1454" w:type="dxa"/>
            <w:tcBorders>
              <w:top w:val="single" w:sz="12" w:space="0" w:color="000000"/>
              <w:left w:val="single" w:sz="8" w:space="0" w:color="0070C0"/>
              <w:bottom w:val="single" w:sz="18" w:space="0" w:color="C0504D" w:themeColor="accent2"/>
              <w:right w:val="single" w:sz="8" w:space="0" w:color="0070C0"/>
            </w:tcBorders>
            <w:vAlign w:val="center"/>
          </w:tcPr>
          <w:p w14:paraId="6EA2CFEE" w14:textId="21647284" w:rsidR="003C64AC" w:rsidRPr="005D1511" w:rsidRDefault="003C64AC" w:rsidP="00120BB0">
            <w:pPr>
              <w:widowControl w:val="0"/>
              <w:tabs>
                <w:tab w:val="left" w:pos="220"/>
                <w:tab w:val="left" w:pos="720"/>
              </w:tabs>
              <w:autoSpaceDE w:val="0"/>
              <w:autoSpaceDN w:val="0"/>
              <w:contextualSpacing/>
              <w:mirrorIndents/>
              <w:jc w:val="center"/>
              <w:rPr>
                <w:rFonts w:eastAsia="Times New Roman"/>
                <w:sz w:val="20"/>
                <w:szCs w:val="20"/>
              </w:rPr>
            </w:pPr>
            <w:r>
              <w:rPr>
                <w:rFonts w:eastAsia="Times New Roman"/>
                <w:sz w:val="20"/>
                <w:szCs w:val="20"/>
              </w:rPr>
              <w:t>Boomers</w:t>
            </w:r>
          </w:p>
        </w:tc>
        <w:tc>
          <w:tcPr>
            <w:tcW w:w="1458" w:type="dxa"/>
            <w:tcBorders>
              <w:top w:val="single" w:sz="12" w:space="0" w:color="000000"/>
              <w:left w:val="single" w:sz="8" w:space="0" w:color="0070C0"/>
              <w:bottom w:val="single" w:sz="18" w:space="0" w:color="C0504D" w:themeColor="accent2"/>
              <w:right w:val="single" w:sz="12" w:space="0" w:color="000000"/>
            </w:tcBorders>
            <w:vAlign w:val="center"/>
          </w:tcPr>
          <w:p w14:paraId="770FC47C" w14:textId="055CCA9E" w:rsidR="003C64AC" w:rsidRPr="005D1511" w:rsidRDefault="003C64AC" w:rsidP="00120BB0">
            <w:pPr>
              <w:widowControl w:val="0"/>
              <w:tabs>
                <w:tab w:val="left" w:pos="220"/>
                <w:tab w:val="left" w:pos="720"/>
              </w:tabs>
              <w:autoSpaceDE w:val="0"/>
              <w:autoSpaceDN w:val="0"/>
              <w:contextualSpacing/>
              <w:mirrorIndents/>
              <w:jc w:val="center"/>
              <w:rPr>
                <w:rFonts w:eastAsia="Times New Roman"/>
                <w:sz w:val="20"/>
                <w:szCs w:val="20"/>
              </w:rPr>
            </w:pPr>
            <w:r>
              <w:rPr>
                <w:rFonts w:eastAsia="Times New Roman"/>
                <w:sz w:val="20"/>
                <w:szCs w:val="20"/>
              </w:rPr>
              <w:t>LGBT+</w:t>
            </w:r>
          </w:p>
        </w:tc>
      </w:tr>
      <w:tr w:rsidR="00365DBF" w:rsidRPr="005D1511" w14:paraId="0E2BF005" w14:textId="77777777" w:rsidTr="00365DBF">
        <w:tblPrEx>
          <w:tblBorders>
            <w:top w:val="none" w:sz="0" w:space="0" w:color="auto"/>
          </w:tblBorders>
        </w:tblPrEx>
        <w:trPr>
          <w:jc w:val="center"/>
        </w:trPr>
        <w:tc>
          <w:tcPr>
            <w:tcW w:w="2828" w:type="dxa"/>
            <w:tcBorders>
              <w:top w:val="single" w:sz="18" w:space="0" w:color="C0504D" w:themeColor="accent2"/>
              <w:left w:val="single" w:sz="12" w:space="0" w:color="000000"/>
              <w:bottom w:val="single" w:sz="4" w:space="0" w:color="000000"/>
              <w:right w:val="single" w:sz="18" w:space="0" w:color="0070C0"/>
            </w:tcBorders>
            <w:vAlign w:val="center"/>
          </w:tcPr>
          <w:p w14:paraId="7F5DFE08" w14:textId="7743647F" w:rsidR="003C64AC" w:rsidRPr="005D1511" w:rsidRDefault="003C64AC" w:rsidP="00120BB0">
            <w:pPr>
              <w:widowControl w:val="0"/>
              <w:tabs>
                <w:tab w:val="left" w:pos="220"/>
                <w:tab w:val="left" w:pos="720"/>
              </w:tabs>
              <w:autoSpaceDE w:val="0"/>
              <w:autoSpaceDN w:val="0"/>
              <w:contextualSpacing/>
              <w:mirrorIndents/>
              <w:rPr>
                <w:rFonts w:eastAsia="Times New Roman"/>
                <w:sz w:val="20"/>
                <w:szCs w:val="20"/>
              </w:rPr>
            </w:pPr>
            <w:r>
              <w:rPr>
                <w:rFonts w:eastAsia="Times New Roman"/>
                <w:sz w:val="20"/>
                <w:szCs w:val="20"/>
              </w:rPr>
              <w:t xml:space="preserve">Affluent working women* </w:t>
            </w:r>
          </w:p>
        </w:tc>
        <w:tc>
          <w:tcPr>
            <w:tcW w:w="1454" w:type="dxa"/>
            <w:tcBorders>
              <w:top w:val="single" w:sz="18" w:space="0" w:color="C0504D" w:themeColor="accent2"/>
              <w:left w:val="single" w:sz="18" w:space="0" w:color="0070C0"/>
              <w:bottom w:val="single" w:sz="4" w:space="0" w:color="auto"/>
              <w:right w:val="single" w:sz="8" w:space="0" w:color="0070C0"/>
            </w:tcBorders>
            <w:shd w:val="clear" w:color="auto" w:fill="FF0000"/>
            <w:vAlign w:val="center"/>
          </w:tcPr>
          <w:p w14:paraId="53E7658D" w14:textId="555BE24F" w:rsidR="003C64AC" w:rsidRPr="005D1511" w:rsidRDefault="003C64AC"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39</w:t>
            </w:r>
          </w:p>
        </w:tc>
        <w:tc>
          <w:tcPr>
            <w:tcW w:w="1454" w:type="dxa"/>
            <w:tcBorders>
              <w:top w:val="single" w:sz="18" w:space="0" w:color="C0504D" w:themeColor="accent2"/>
              <w:left w:val="single" w:sz="8" w:space="0" w:color="0070C0"/>
              <w:bottom w:val="single" w:sz="4" w:space="0" w:color="auto"/>
              <w:right w:val="single" w:sz="8" w:space="0" w:color="0070C0"/>
            </w:tcBorders>
            <w:shd w:val="clear" w:color="auto" w:fill="EAF1DD" w:themeFill="accent3" w:themeFillTint="33"/>
            <w:vAlign w:val="center"/>
          </w:tcPr>
          <w:p w14:paraId="6F2FBABF" w14:textId="301138BA" w:rsidR="003C64AC" w:rsidRPr="005D1511" w:rsidRDefault="003C64AC"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107</w:t>
            </w:r>
          </w:p>
        </w:tc>
        <w:tc>
          <w:tcPr>
            <w:tcW w:w="1454" w:type="dxa"/>
            <w:tcBorders>
              <w:top w:val="single" w:sz="18" w:space="0" w:color="C0504D" w:themeColor="accent2"/>
              <w:left w:val="single" w:sz="8" w:space="0" w:color="0070C0"/>
              <w:bottom w:val="single" w:sz="4" w:space="0" w:color="auto"/>
              <w:right w:val="single" w:sz="8" w:space="0" w:color="0070C0"/>
            </w:tcBorders>
            <w:shd w:val="clear" w:color="auto" w:fill="D6E3BC" w:themeFill="accent3" w:themeFillTint="66"/>
            <w:vAlign w:val="center"/>
          </w:tcPr>
          <w:p w14:paraId="151C1A24" w14:textId="777971C1" w:rsidR="003C64AC" w:rsidRPr="005D1511" w:rsidRDefault="003C64AC"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113</w:t>
            </w:r>
          </w:p>
        </w:tc>
        <w:tc>
          <w:tcPr>
            <w:tcW w:w="1454" w:type="dxa"/>
            <w:tcBorders>
              <w:top w:val="single" w:sz="18" w:space="0" w:color="C0504D" w:themeColor="accent2"/>
              <w:left w:val="single" w:sz="8" w:space="0" w:color="0070C0"/>
              <w:bottom w:val="single" w:sz="4" w:space="0" w:color="auto"/>
              <w:right w:val="single" w:sz="8" w:space="0" w:color="0070C0"/>
            </w:tcBorders>
            <w:shd w:val="clear" w:color="auto" w:fill="F2DBDB" w:themeFill="accent2" w:themeFillTint="33"/>
            <w:vAlign w:val="center"/>
          </w:tcPr>
          <w:p w14:paraId="72238827" w14:textId="75F4C342" w:rsidR="003C64AC" w:rsidRPr="005D1511" w:rsidRDefault="003C64AC"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86</w:t>
            </w:r>
          </w:p>
        </w:tc>
        <w:tc>
          <w:tcPr>
            <w:tcW w:w="1458" w:type="dxa"/>
            <w:tcBorders>
              <w:top w:val="single" w:sz="18" w:space="0" w:color="C0504D" w:themeColor="accent2"/>
              <w:left w:val="single" w:sz="8" w:space="0" w:color="0070C0"/>
              <w:bottom w:val="single" w:sz="4" w:space="0" w:color="auto"/>
              <w:right w:val="single" w:sz="12" w:space="0" w:color="000000"/>
            </w:tcBorders>
            <w:shd w:val="clear" w:color="auto" w:fill="F2DBDB" w:themeFill="accent2" w:themeFillTint="33"/>
            <w:vAlign w:val="center"/>
          </w:tcPr>
          <w:p w14:paraId="582B3F65" w14:textId="266F04BD" w:rsidR="003C64AC" w:rsidRPr="005D1511" w:rsidRDefault="003C64AC"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82</w:t>
            </w:r>
          </w:p>
        </w:tc>
      </w:tr>
      <w:tr w:rsidR="00365DBF" w:rsidRPr="005D1511" w14:paraId="5683DDF6" w14:textId="77777777" w:rsidTr="00365DBF">
        <w:tblPrEx>
          <w:tblBorders>
            <w:top w:val="none" w:sz="0" w:space="0" w:color="auto"/>
          </w:tblBorders>
        </w:tblPrEx>
        <w:trPr>
          <w:jc w:val="center"/>
        </w:trPr>
        <w:tc>
          <w:tcPr>
            <w:tcW w:w="2828" w:type="dxa"/>
            <w:tcBorders>
              <w:top w:val="single" w:sz="4" w:space="0" w:color="000000"/>
              <w:left w:val="single" w:sz="12" w:space="0" w:color="000000"/>
              <w:bottom w:val="single" w:sz="4" w:space="0" w:color="000000"/>
              <w:right w:val="single" w:sz="18" w:space="0" w:color="0070C0"/>
            </w:tcBorders>
            <w:vAlign w:val="center"/>
          </w:tcPr>
          <w:p w14:paraId="7C827BA5" w14:textId="112C0C23" w:rsidR="003C64AC" w:rsidRPr="005D1511" w:rsidRDefault="003C64AC" w:rsidP="00120BB0">
            <w:pPr>
              <w:widowControl w:val="0"/>
              <w:tabs>
                <w:tab w:val="left" w:pos="220"/>
                <w:tab w:val="left" w:pos="720"/>
              </w:tabs>
              <w:autoSpaceDE w:val="0"/>
              <w:autoSpaceDN w:val="0"/>
              <w:contextualSpacing/>
              <w:mirrorIndents/>
              <w:rPr>
                <w:rFonts w:eastAsia="Times New Roman"/>
                <w:sz w:val="20"/>
                <w:szCs w:val="20"/>
              </w:rPr>
            </w:pPr>
            <w:r>
              <w:rPr>
                <w:rFonts w:eastAsia="Times New Roman"/>
                <w:sz w:val="20"/>
                <w:szCs w:val="20"/>
              </w:rPr>
              <w:t>Two-income family</w:t>
            </w:r>
          </w:p>
        </w:tc>
        <w:tc>
          <w:tcPr>
            <w:tcW w:w="1454" w:type="dxa"/>
            <w:tcBorders>
              <w:top w:val="single" w:sz="4" w:space="0" w:color="auto"/>
              <w:left w:val="single" w:sz="18" w:space="0" w:color="0070C0"/>
              <w:bottom w:val="single" w:sz="4" w:space="0" w:color="000000"/>
              <w:right w:val="single" w:sz="8" w:space="0" w:color="0070C0"/>
            </w:tcBorders>
            <w:shd w:val="clear" w:color="auto" w:fill="FF0000"/>
            <w:vAlign w:val="center"/>
          </w:tcPr>
          <w:p w14:paraId="34CE5DAE" w14:textId="31936483" w:rsidR="003C64AC" w:rsidRPr="005D1511" w:rsidRDefault="003C64AC" w:rsidP="00120BB0">
            <w:pPr>
              <w:widowControl w:val="0"/>
              <w:tabs>
                <w:tab w:val="left" w:pos="220"/>
                <w:tab w:val="left" w:pos="720"/>
              </w:tabs>
              <w:autoSpaceDE w:val="0"/>
              <w:autoSpaceDN w:val="0"/>
              <w:ind w:left="360"/>
              <w:contextualSpacing/>
              <w:mirrorIndents/>
              <w:jc w:val="right"/>
              <w:rPr>
                <w:rFonts w:eastAsia="Times New Roman"/>
                <w:sz w:val="20"/>
                <w:szCs w:val="20"/>
              </w:rPr>
            </w:pPr>
            <w:r>
              <w:rPr>
                <w:rFonts w:eastAsia="Times New Roman"/>
                <w:sz w:val="20"/>
                <w:szCs w:val="20"/>
              </w:rPr>
              <w:t>36</w:t>
            </w:r>
          </w:p>
        </w:tc>
        <w:tc>
          <w:tcPr>
            <w:tcW w:w="1454"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6BECB60C" w14:textId="3B037096" w:rsidR="003C64AC" w:rsidRPr="005D1511" w:rsidRDefault="003C64AC"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114</w:t>
            </w:r>
          </w:p>
        </w:tc>
        <w:tc>
          <w:tcPr>
            <w:tcW w:w="1454"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7310E264" w14:textId="635558B7" w:rsidR="003C64AC" w:rsidRPr="005D1511" w:rsidRDefault="003C64AC"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118</w:t>
            </w:r>
          </w:p>
        </w:tc>
        <w:tc>
          <w:tcPr>
            <w:tcW w:w="1454"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69CA163A" w14:textId="1D9C847F" w:rsidR="003C64AC" w:rsidRPr="005D1511" w:rsidRDefault="003C64AC"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65</w:t>
            </w:r>
          </w:p>
        </w:tc>
        <w:tc>
          <w:tcPr>
            <w:tcW w:w="1458" w:type="dxa"/>
            <w:tcBorders>
              <w:top w:val="single" w:sz="4" w:space="0" w:color="auto"/>
              <w:left w:val="single" w:sz="8" w:space="0" w:color="0070C0"/>
              <w:bottom w:val="single" w:sz="4" w:space="0" w:color="000000"/>
              <w:right w:val="single" w:sz="12" w:space="0" w:color="000000"/>
            </w:tcBorders>
            <w:shd w:val="clear" w:color="auto" w:fill="F2F2F2" w:themeFill="background1" w:themeFillShade="F2"/>
            <w:vAlign w:val="center"/>
          </w:tcPr>
          <w:p w14:paraId="08C3B1AD" w14:textId="631FA04C" w:rsidR="003C64AC" w:rsidRPr="005D1511" w:rsidRDefault="003C64AC"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100</w:t>
            </w:r>
          </w:p>
        </w:tc>
      </w:tr>
      <w:tr w:rsidR="00365DBF" w:rsidRPr="005D1511" w14:paraId="5E7E9CC2" w14:textId="77777777" w:rsidTr="00365DBF">
        <w:tblPrEx>
          <w:tblBorders>
            <w:top w:val="none" w:sz="0" w:space="0" w:color="auto"/>
          </w:tblBorders>
        </w:tblPrEx>
        <w:trPr>
          <w:jc w:val="center"/>
        </w:trPr>
        <w:tc>
          <w:tcPr>
            <w:tcW w:w="2828" w:type="dxa"/>
            <w:tcBorders>
              <w:top w:val="single" w:sz="4" w:space="0" w:color="000000"/>
              <w:left w:val="single" w:sz="12" w:space="0" w:color="000000"/>
              <w:bottom w:val="single" w:sz="4" w:space="0" w:color="000000"/>
              <w:right w:val="single" w:sz="18" w:space="0" w:color="0070C0"/>
            </w:tcBorders>
            <w:vAlign w:val="center"/>
          </w:tcPr>
          <w:p w14:paraId="1BE71557" w14:textId="615AC824" w:rsidR="003C64AC" w:rsidRPr="005D1511" w:rsidRDefault="003C64AC" w:rsidP="00120BB0">
            <w:pPr>
              <w:widowControl w:val="0"/>
              <w:tabs>
                <w:tab w:val="left" w:pos="220"/>
                <w:tab w:val="left" w:pos="720"/>
              </w:tabs>
              <w:autoSpaceDE w:val="0"/>
              <w:autoSpaceDN w:val="0"/>
              <w:contextualSpacing/>
              <w:mirrorIndents/>
              <w:rPr>
                <w:rFonts w:eastAsia="Times New Roman"/>
                <w:sz w:val="20"/>
                <w:szCs w:val="20"/>
              </w:rPr>
            </w:pPr>
            <w:r>
              <w:rPr>
                <w:rFonts w:eastAsia="Times New Roman"/>
                <w:sz w:val="20"/>
                <w:szCs w:val="20"/>
              </w:rPr>
              <w:t>Working women</w:t>
            </w:r>
          </w:p>
        </w:tc>
        <w:tc>
          <w:tcPr>
            <w:tcW w:w="1454" w:type="dxa"/>
            <w:tcBorders>
              <w:top w:val="single" w:sz="4" w:space="0" w:color="auto"/>
              <w:left w:val="single" w:sz="18" w:space="0" w:color="0070C0"/>
              <w:bottom w:val="single" w:sz="4" w:space="0" w:color="000000"/>
              <w:right w:val="single" w:sz="8" w:space="0" w:color="0070C0"/>
            </w:tcBorders>
            <w:shd w:val="clear" w:color="auto" w:fill="F2DBDB" w:themeFill="accent2" w:themeFillTint="33"/>
            <w:vAlign w:val="center"/>
          </w:tcPr>
          <w:p w14:paraId="0B2A5E76" w14:textId="1AD1C0BA" w:rsidR="003C64AC" w:rsidRPr="005D1511" w:rsidRDefault="003C64AC"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86</w:t>
            </w:r>
          </w:p>
        </w:tc>
        <w:tc>
          <w:tcPr>
            <w:tcW w:w="1454"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73767CA7" w14:textId="470C3493" w:rsidR="003C64AC" w:rsidRPr="005D1511" w:rsidRDefault="003C64AC"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113</w:t>
            </w:r>
          </w:p>
        </w:tc>
        <w:tc>
          <w:tcPr>
            <w:tcW w:w="1454"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2398FDD1" w14:textId="1A90CFEC" w:rsidR="003C64AC" w:rsidRPr="005D1511" w:rsidRDefault="003C64AC"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102</w:t>
            </w:r>
          </w:p>
        </w:tc>
        <w:tc>
          <w:tcPr>
            <w:tcW w:w="1454"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3F4E0B2D" w14:textId="57B86DB2" w:rsidR="003C64AC" w:rsidRPr="005D1511" w:rsidRDefault="003C64AC"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76</w:t>
            </w:r>
          </w:p>
        </w:tc>
        <w:tc>
          <w:tcPr>
            <w:tcW w:w="1458"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300F856E" w14:textId="39B88FFD" w:rsidR="003C64AC" w:rsidRPr="005D1511" w:rsidRDefault="003C64AC"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116</w:t>
            </w:r>
          </w:p>
        </w:tc>
      </w:tr>
      <w:tr w:rsidR="00365DBF" w:rsidRPr="005D1511" w14:paraId="0F5F056C" w14:textId="77777777" w:rsidTr="00365DBF">
        <w:tblPrEx>
          <w:tblBorders>
            <w:top w:val="none" w:sz="0" w:space="0" w:color="auto"/>
          </w:tblBorders>
        </w:tblPrEx>
        <w:trPr>
          <w:jc w:val="center"/>
        </w:trPr>
        <w:tc>
          <w:tcPr>
            <w:tcW w:w="2828" w:type="dxa"/>
            <w:tcBorders>
              <w:top w:val="single" w:sz="4" w:space="0" w:color="000000"/>
              <w:left w:val="single" w:sz="12" w:space="0" w:color="000000"/>
              <w:bottom w:val="single" w:sz="4" w:space="0" w:color="000000"/>
              <w:right w:val="single" w:sz="18" w:space="0" w:color="0070C0"/>
            </w:tcBorders>
            <w:vAlign w:val="center"/>
          </w:tcPr>
          <w:p w14:paraId="3A50A97A" w14:textId="27E269EC" w:rsidR="003C64AC" w:rsidRPr="005D1511" w:rsidRDefault="003C64AC" w:rsidP="00120BB0">
            <w:pPr>
              <w:widowControl w:val="0"/>
              <w:tabs>
                <w:tab w:val="left" w:pos="220"/>
                <w:tab w:val="left" w:pos="720"/>
              </w:tabs>
              <w:autoSpaceDE w:val="0"/>
              <w:autoSpaceDN w:val="0"/>
              <w:contextualSpacing/>
              <w:mirrorIndents/>
              <w:rPr>
                <w:rFonts w:eastAsia="Times New Roman"/>
                <w:sz w:val="20"/>
                <w:szCs w:val="20"/>
              </w:rPr>
            </w:pPr>
            <w:r>
              <w:rPr>
                <w:rFonts w:eastAsia="Times New Roman"/>
                <w:sz w:val="20"/>
                <w:szCs w:val="20"/>
              </w:rPr>
              <w:t>Working mothers</w:t>
            </w:r>
          </w:p>
        </w:tc>
        <w:tc>
          <w:tcPr>
            <w:tcW w:w="1454" w:type="dxa"/>
            <w:tcBorders>
              <w:top w:val="single" w:sz="4" w:space="0" w:color="auto"/>
              <w:left w:val="single" w:sz="18" w:space="0" w:color="0070C0"/>
              <w:bottom w:val="single" w:sz="4" w:space="0" w:color="000000"/>
              <w:right w:val="single" w:sz="8" w:space="0" w:color="0070C0"/>
            </w:tcBorders>
            <w:shd w:val="clear" w:color="auto" w:fill="F2DBDB" w:themeFill="accent2" w:themeFillTint="33"/>
            <w:vAlign w:val="center"/>
          </w:tcPr>
          <w:p w14:paraId="43826F7B" w14:textId="46EE591E" w:rsidR="003C64AC" w:rsidRPr="005D1511" w:rsidRDefault="003C64AC"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86</w:t>
            </w:r>
          </w:p>
        </w:tc>
        <w:tc>
          <w:tcPr>
            <w:tcW w:w="1454"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7DFBAA6E" w14:textId="7B8D6362" w:rsidR="003C64AC" w:rsidRPr="005D1511" w:rsidRDefault="003C64AC"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113</w:t>
            </w:r>
          </w:p>
        </w:tc>
        <w:tc>
          <w:tcPr>
            <w:tcW w:w="1454"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3AC63B9E" w14:textId="40228244" w:rsidR="003C64AC" w:rsidRPr="005D1511" w:rsidRDefault="003C64AC"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102</w:t>
            </w:r>
          </w:p>
        </w:tc>
        <w:tc>
          <w:tcPr>
            <w:tcW w:w="1454"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61E9E766" w14:textId="333EE0F3" w:rsidR="003C64AC" w:rsidRPr="005D1511" w:rsidRDefault="003C64AC"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76</w:t>
            </w:r>
          </w:p>
        </w:tc>
        <w:tc>
          <w:tcPr>
            <w:tcW w:w="1458"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655F2D70" w14:textId="42303E22" w:rsidR="003C64AC" w:rsidRPr="005D1511" w:rsidRDefault="003C64AC"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116</w:t>
            </w:r>
          </w:p>
        </w:tc>
      </w:tr>
      <w:tr w:rsidR="00365DBF" w:rsidRPr="005D1511" w14:paraId="02EEA255" w14:textId="77777777" w:rsidTr="00365DBF">
        <w:tblPrEx>
          <w:tblBorders>
            <w:top w:val="none" w:sz="0" w:space="0" w:color="auto"/>
          </w:tblBorders>
        </w:tblPrEx>
        <w:trPr>
          <w:jc w:val="center"/>
        </w:trPr>
        <w:tc>
          <w:tcPr>
            <w:tcW w:w="2828" w:type="dxa"/>
            <w:tcBorders>
              <w:top w:val="single" w:sz="4" w:space="0" w:color="000000"/>
              <w:left w:val="single" w:sz="12" w:space="0" w:color="000000"/>
              <w:bottom w:val="single" w:sz="12" w:space="0" w:color="auto"/>
              <w:right w:val="single" w:sz="18" w:space="0" w:color="0070C0"/>
            </w:tcBorders>
            <w:vAlign w:val="center"/>
          </w:tcPr>
          <w:p w14:paraId="4B5FAAA5" w14:textId="7ACAC3CE" w:rsidR="003C64AC" w:rsidRPr="005D1511" w:rsidRDefault="003C64AC" w:rsidP="00120BB0">
            <w:pPr>
              <w:widowControl w:val="0"/>
              <w:tabs>
                <w:tab w:val="left" w:pos="220"/>
                <w:tab w:val="left" w:pos="720"/>
              </w:tabs>
              <w:autoSpaceDE w:val="0"/>
              <w:autoSpaceDN w:val="0"/>
              <w:contextualSpacing/>
              <w:mirrorIndents/>
              <w:rPr>
                <w:rFonts w:eastAsia="Times New Roman"/>
                <w:sz w:val="20"/>
                <w:szCs w:val="20"/>
              </w:rPr>
            </w:pPr>
            <w:r>
              <w:rPr>
                <w:rFonts w:eastAsia="Times New Roman"/>
                <w:sz w:val="20"/>
                <w:szCs w:val="20"/>
              </w:rPr>
              <w:t>Single parents</w:t>
            </w:r>
          </w:p>
        </w:tc>
        <w:tc>
          <w:tcPr>
            <w:tcW w:w="1454" w:type="dxa"/>
            <w:tcBorders>
              <w:top w:val="single" w:sz="4" w:space="0" w:color="000000"/>
              <w:left w:val="single" w:sz="18" w:space="0" w:color="0070C0"/>
              <w:bottom w:val="single" w:sz="12" w:space="0" w:color="auto"/>
              <w:right w:val="single" w:sz="8" w:space="0" w:color="0070C0"/>
            </w:tcBorders>
            <w:shd w:val="clear" w:color="auto" w:fill="00B050"/>
            <w:vAlign w:val="center"/>
          </w:tcPr>
          <w:p w14:paraId="30224E70" w14:textId="75D6F51F" w:rsidR="003C64AC" w:rsidRPr="005D1511" w:rsidRDefault="003C64AC"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241</w:t>
            </w:r>
          </w:p>
        </w:tc>
        <w:tc>
          <w:tcPr>
            <w:tcW w:w="1454" w:type="dxa"/>
            <w:tcBorders>
              <w:top w:val="single" w:sz="4" w:space="0" w:color="000000"/>
              <w:left w:val="single" w:sz="8" w:space="0" w:color="0070C0"/>
              <w:bottom w:val="single" w:sz="12" w:space="0" w:color="auto"/>
              <w:right w:val="single" w:sz="8" w:space="0" w:color="0070C0"/>
            </w:tcBorders>
            <w:shd w:val="clear" w:color="auto" w:fill="F2DBDB" w:themeFill="accent2" w:themeFillTint="33"/>
            <w:vAlign w:val="center"/>
          </w:tcPr>
          <w:p w14:paraId="2F27F801" w14:textId="0F265D97" w:rsidR="003C64AC" w:rsidRPr="005D1511" w:rsidRDefault="003C64AC"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89</w:t>
            </w:r>
          </w:p>
        </w:tc>
        <w:tc>
          <w:tcPr>
            <w:tcW w:w="1454" w:type="dxa"/>
            <w:tcBorders>
              <w:top w:val="single" w:sz="4" w:space="0" w:color="000000"/>
              <w:left w:val="single" w:sz="8" w:space="0" w:color="0070C0"/>
              <w:bottom w:val="single" w:sz="12" w:space="0" w:color="auto"/>
              <w:right w:val="single" w:sz="8" w:space="0" w:color="0070C0"/>
            </w:tcBorders>
            <w:shd w:val="clear" w:color="auto" w:fill="E5B8B7" w:themeFill="accent2" w:themeFillTint="66"/>
            <w:vAlign w:val="center"/>
          </w:tcPr>
          <w:p w14:paraId="2B62059F" w14:textId="4F9C7E25" w:rsidR="003C64AC" w:rsidRPr="005D1511" w:rsidRDefault="003C64AC"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75</w:t>
            </w:r>
          </w:p>
        </w:tc>
        <w:tc>
          <w:tcPr>
            <w:tcW w:w="1454" w:type="dxa"/>
            <w:tcBorders>
              <w:top w:val="single" w:sz="4" w:space="0" w:color="000000"/>
              <w:left w:val="single" w:sz="8" w:space="0" w:color="0070C0"/>
              <w:bottom w:val="single" w:sz="12" w:space="0" w:color="auto"/>
              <w:right w:val="single" w:sz="8" w:space="0" w:color="0070C0"/>
            </w:tcBorders>
            <w:shd w:val="clear" w:color="auto" w:fill="F2DBDB" w:themeFill="accent2" w:themeFillTint="33"/>
            <w:vAlign w:val="center"/>
          </w:tcPr>
          <w:p w14:paraId="6A7E74A2" w14:textId="3B583BEB" w:rsidR="003C64AC" w:rsidRPr="005D1511" w:rsidRDefault="003C64AC"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99</w:t>
            </w:r>
          </w:p>
        </w:tc>
        <w:tc>
          <w:tcPr>
            <w:tcW w:w="1458" w:type="dxa"/>
            <w:tcBorders>
              <w:top w:val="single" w:sz="4" w:space="0" w:color="000000"/>
              <w:left w:val="single" w:sz="8" w:space="0" w:color="0070C0"/>
              <w:bottom w:val="single" w:sz="12" w:space="0" w:color="auto"/>
              <w:right w:val="single" w:sz="12" w:space="0" w:color="000000"/>
            </w:tcBorders>
            <w:shd w:val="clear" w:color="auto" w:fill="C2D69B" w:themeFill="accent3" w:themeFillTint="99"/>
            <w:vAlign w:val="center"/>
          </w:tcPr>
          <w:p w14:paraId="104D5CD2" w14:textId="22AAADAC" w:rsidR="003C64AC" w:rsidRPr="005D1511" w:rsidRDefault="003C64AC"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145</w:t>
            </w:r>
          </w:p>
        </w:tc>
      </w:tr>
    </w:tbl>
    <w:p w14:paraId="17D659A5" w14:textId="386C2360" w:rsidR="003C64AC" w:rsidRPr="003C64AC" w:rsidRDefault="003C64AC" w:rsidP="003C64AC">
      <w:pPr>
        <w:contextualSpacing/>
        <w:mirrorIndents/>
        <w:rPr>
          <w:rFonts w:ascii="Verdana" w:hAnsi="Verdana"/>
          <w:sz w:val="16"/>
          <w:szCs w:val="16"/>
        </w:rPr>
      </w:pPr>
      <w:r w:rsidRPr="005D1511">
        <w:rPr>
          <w:sz w:val="16"/>
          <w:szCs w:val="16"/>
        </w:rPr>
        <w:t xml:space="preserve">Based on The Media Audit’s </w:t>
      </w:r>
      <w:r>
        <w:rPr>
          <w:sz w:val="16"/>
          <w:szCs w:val="16"/>
        </w:rPr>
        <w:t>49-Market 2021 Aggregate Report</w:t>
      </w:r>
      <w:r>
        <w:rPr>
          <w:sz w:val="16"/>
          <w:szCs w:val="16"/>
        </w:rPr>
        <w:tab/>
      </w:r>
      <w:r w:rsidRPr="005D1511">
        <w:rPr>
          <w:sz w:val="16"/>
          <w:szCs w:val="16"/>
        </w:rPr>
        <w:tab/>
      </w:r>
      <w:r>
        <w:rPr>
          <w:sz w:val="16"/>
          <w:szCs w:val="16"/>
        </w:rPr>
        <w:t>*</w:t>
      </w:r>
      <w:r w:rsidRPr="003C64AC">
        <w:rPr>
          <w:rFonts w:eastAsia="Times New Roman"/>
          <w:sz w:val="16"/>
          <w:szCs w:val="16"/>
        </w:rPr>
        <w:t>family income $75,000+</w:t>
      </w:r>
    </w:p>
    <w:p w14:paraId="46DFB2A9" w14:textId="639BACB7" w:rsidR="00CF1301" w:rsidRDefault="00CF1301" w:rsidP="00F36F72">
      <w:pPr>
        <w:rPr>
          <w:rFonts w:ascii="Verdana" w:hAnsi="Verdana"/>
          <w:sz w:val="20"/>
          <w:szCs w:val="20"/>
        </w:rPr>
      </w:pPr>
    </w:p>
    <w:p w14:paraId="663DC431" w14:textId="6A9C723A" w:rsidR="00E74BE5" w:rsidRDefault="00E74BE5" w:rsidP="00F36F72">
      <w:pPr>
        <w:rPr>
          <w:rFonts w:ascii="Verdana" w:hAnsi="Verdana"/>
          <w:sz w:val="20"/>
          <w:szCs w:val="20"/>
        </w:rPr>
      </w:pPr>
    </w:p>
    <w:p w14:paraId="0ED70087" w14:textId="77777777" w:rsidR="00E74BE5" w:rsidRDefault="00E74BE5" w:rsidP="00F36F72">
      <w:pPr>
        <w:rPr>
          <w:rFonts w:ascii="Verdana" w:hAnsi="Verdana"/>
          <w:sz w:val="20"/>
          <w:szCs w:val="20"/>
        </w:rPr>
      </w:pPr>
    </w:p>
    <w:p w14:paraId="0DD95F12" w14:textId="55C07AC6" w:rsidR="00F36F72" w:rsidRPr="00E74BE5" w:rsidRDefault="00F36F72" w:rsidP="00E74BE5">
      <w:pPr>
        <w:jc w:val="center"/>
        <w:rPr>
          <w:rFonts w:ascii="Verdana" w:hAnsi="Verdana"/>
          <w:b/>
          <w:bCs/>
          <w:color w:val="0070C0"/>
          <w:sz w:val="20"/>
          <w:szCs w:val="20"/>
        </w:rPr>
      </w:pPr>
      <w:r w:rsidRPr="00E74BE5">
        <w:rPr>
          <w:rFonts w:ascii="Verdana" w:hAnsi="Verdana"/>
          <w:b/>
          <w:bCs/>
          <w:color w:val="0070C0"/>
          <w:sz w:val="20"/>
          <w:szCs w:val="20"/>
        </w:rPr>
        <w:lastRenderedPageBreak/>
        <w:t>Engaging with Tweens and Teens</w:t>
      </w:r>
    </w:p>
    <w:p w14:paraId="6720FB98" w14:textId="77777777" w:rsidR="00F36F72" w:rsidRPr="00F36F72" w:rsidRDefault="00F36F72" w:rsidP="00F36F72">
      <w:pPr>
        <w:rPr>
          <w:rFonts w:ascii="Verdana" w:hAnsi="Verdana"/>
          <w:sz w:val="20"/>
          <w:szCs w:val="20"/>
        </w:rPr>
      </w:pPr>
    </w:p>
    <w:p w14:paraId="3AE3F9DE" w14:textId="36B97DEB" w:rsidR="00E74BE5" w:rsidRDefault="00F84CDC" w:rsidP="00F36F72">
      <w:pPr>
        <w:rPr>
          <w:rFonts w:ascii="Verdana" w:hAnsi="Verdana"/>
          <w:sz w:val="20"/>
          <w:szCs w:val="20"/>
        </w:rPr>
      </w:pPr>
      <w:r>
        <w:rPr>
          <w:rFonts w:ascii="Verdana" w:hAnsi="Verdana"/>
          <w:sz w:val="20"/>
          <w:szCs w:val="20"/>
        </w:rPr>
        <w:t xml:space="preserve">Multiple studies </w:t>
      </w:r>
      <w:r w:rsidR="006B14AD">
        <w:rPr>
          <w:rFonts w:ascii="Verdana" w:hAnsi="Verdana"/>
          <w:sz w:val="20"/>
          <w:szCs w:val="20"/>
        </w:rPr>
        <w:t>show</w:t>
      </w:r>
      <w:r>
        <w:rPr>
          <w:rFonts w:ascii="Verdana" w:hAnsi="Verdana"/>
          <w:sz w:val="20"/>
          <w:szCs w:val="20"/>
        </w:rPr>
        <w:t xml:space="preserve"> teens have a major influence on household spending and it’s not uncommon for children to </w:t>
      </w:r>
      <w:r w:rsidR="00467EF6">
        <w:rPr>
          <w:rFonts w:ascii="Verdana" w:hAnsi="Verdana"/>
          <w:sz w:val="20"/>
          <w:szCs w:val="20"/>
        </w:rPr>
        <w:t>list the</w:t>
      </w:r>
      <w:r>
        <w:rPr>
          <w:rFonts w:ascii="Verdana" w:hAnsi="Verdana"/>
          <w:sz w:val="20"/>
          <w:szCs w:val="20"/>
        </w:rPr>
        <w:t xml:space="preserve"> holiday toys and gifts they’d like to receive. The Common Sense 2021 Census of Media Use by Tweens and Teens reveal</w:t>
      </w:r>
      <w:r w:rsidR="006B14AD">
        <w:rPr>
          <w:rFonts w:ascii="Verdana" w:hAnsi="Verdana"/>
          <w:sz w:val="20"/>
          <w:szCs w:val="20"/>
        </w:rPr>
        <w:t>s</w:t>
      </w:r>
      <w:r>
        <w:rPr>
          <w:rFonts w:ascii="Verdana" w:hAnsi="Verdana"/>
          <w:sz w:val="20"/>
          <w:szCs w:val="20"/>
        </w:rPr>
        <w:t xml:space="preserve"> how to reach them.</w:t>
      </w:r>
    </w:p>
    <w:p w14:paraId="473AA2E8" w14:textId="2F886CE2" w:rsidR="00F84CDC" w:rsidRDefault="00F84CDC" w:rsidP="00F36F72">
      <w:pPr>
        <w:rPr>
          <w:rFonts w:ascii="Verdana" w:hAnsi="Verdana"/>
          <w:sz w:val="20"/>
          <w:szCs w:val="20"/>
        </w:rPr>
      </w:pPr>
    </w:p>
    <w:p w14:paraId="1FC5E256" w14:textId="5CB2AA5A" w:rsidR="00F84CDC" w:rsidRDefault="00F84CDC" w:rsidP="00F36F72">
      <w:pPr>
        <w:rPr>
          <w:rFonts w:ascii="Verdana" w:hAnsi="Verdana"/>
          <w:sz w:val="20"/>
          <w:szCs w:val="20"/>
        </w:rPr>
      </w:pPr>
      <w:r>
        <w:rPr>
          <w:rFonts w:ascii="Verdana" w:hAnsi="Verdana"/>
          <w:sz w:val="20"/>
          <w:szCs w:val="20"/>
        </w:rPr>
        <w:t>Unsurprisingly, the census found 13- to 18-year-olds listed YouTube as the social media they must have</w:t>
      </w:r>
      <w:r w:rsidR="002D2E53">
        <w:rPr>
          <w:rFonts w:ascii="Verdana" w:hAnsi="Verdana"/>
          <w:sz w:val="20"/>
          <w:szCs w:val="20"/>
        </w:rPr>
        <w:t xml:space="preserve"> in their lives</w:t>
      </w:r>
      <w:r>
        <w:rPr>
          <w:rFonts w:ascii="Verdana" w:hAnsi="Verdana"/>
          <w:sz w:val="20"/>
          <w:szCs w:val="20"/>
        </w:rPr>
        <w:t xml:space="preserve"> at 32%, followed by Snapchat at 20%</w:t>
      </w:r>
      <w:r w:rsidR="002D2E53">
        <w:rPr>
          <w:rFonts w:ascii="Verdana" w:hAnsi="Verdana"/>
          <w:sz w:val="20"/>
          <w:szCs w:val="20"/>
        </w:rPr>
        <w:t>, TikTok at 13% and Instagram at 13%.</w:t>
      </w:r>
    </w:p>
    <w:p w14:paraId="275E661E" w14:textId="77777777" w:rsidR="00E74BE5" w:rsidRDefault="00E74BE5" w:rsidP="00F36F72">
      <w:pPr>
        <w:rPr>
          <w:rFonts w:ascii="Verdana" w:hAnsi="Verdana"/>
          <w:sz w:val="20"/>
          <w:szCs w:val="20"/>
        </w:rPr>
      </w:pPr>
    </w:p>
    <w:p w14:paraId="346B9AF1" w14:textId="446840AE" w:rsidR="00E74BE5" w:rsidRDefault="002D2E53" w:rsidP="00F36F72">
      <w:pPr>
        <w:rPr>
          <w:rFonts w:ascii="Verdana" w:hAnsi="Verdana"/>
          <w:sz w:val="20"/>
          <w:szCs w:val="20"/>
        </w:rPr>
      </w:pPr>
      <w:r>
        <w:rPr>
          <w:rFonts w:ascii="Verdana" w:hAnsi="Verdana"/>
          <w:sz w:val="20"/>
          <w:szCs w:val="20"/>
        </w:rPr>
        <w:t>For tweens (8 to 12 years of age), Snapchat was their favorite social media site at 13%,</w:t>
      </w:r>
      <w:r w:rsidR="006B14AD">
        <w:rPr>
          <w:rFonts w:ascii="Verdana" w:hAnsi="Verdana"/>
          <w:sz w:val="20"/>
          <w:szCs w:val="20"/>
        </w:rPr>
        <w:t xml:space="preserve"> </w:t>
      </w:r>
      <w:r>
        <w:rPr>
          <w:rFonts w:ascii="Verdana" w:hAnsi="Verdana"/>
          <w:sz w:val="20"/>
          <w:szCs w:val="20"/>
        </w:rPr>
        <w:t>then Instagram at 10%, Facebook at 8%, Discord at 5% and Pinterest at 4%, but 38% said “any social media.”</w:t>
      </w:r>
    </w:p>
    <w:p w14:paraId="01011BBB" w14:textId="22917F7F" w:rsidR="002D2E53" w:rsidRDefault="002D2E53" w:rsidP="00F36F72">
      <w:pPr>
        <w:rPr>
          <w:rFonts w:ascii="Verdana" w:hAnsi="Verdana"/>
          <w:sz w:val="20"/>
          <w:szCs w:val="20"/>
        </w:rPr>
      </w:pPr>
    </w:p>
    <w:p w14:paraId="4F0BAA58" w14:textId="0627EE0D" w:rsidR="005620CF" w:rsidRPr="00502F18" w:rsidRDefault="005620CF" w:rsidP="005620CF">
      <w:pPr>
        <w:pStyle w:val="Header"/>
        <w:contextualSpacing/>
        <w:jc w:val="center"/>
        <w:rPr>
          <w:rFonts w:ascii="Verdana" w:hAnsi="Verdana"/>
          <w:b/>
          <w:sz w:val="20"/>
          <w:szCs w:val="20"/>
        </w:rPr>
      </w:pPr>
      <w:r>
        <w:rPr>
          <w:rFonts w:ascii="Verdana" w:hAnsi="Verdana"/>
          <w:b/>
          <w:sz w:val="20"/>
          <w:szCs w:val="20"/>
        </w:rPr>
        <w:t>Average Daily Time of Entertainment Screen Media Use</w:t>
      </w:r>
      <w:r w:rsidR="002D2E53">
        <w:rPr>
          <w:rFonts w:ascii="Verdana" w:hAnsi="Verdana"/>
          <w:b/>
          <w:sz w:val="20"/>
          <w:szCs w:val="20"/>
        </w:rPr>
        <w:t xml:space="preserve">, </w:t>
      </w:r>
      <w:r>
        <w:rPr>
          <w:rFonts w:ascii="Verdana" w:hAnsi="Verdana"/>
          <w:b/>
          <w:sz w:val="20"/>
          <w:szCs w:val="20"/>
        </w:rPr>
        <w:t>2021</w:t>
      </w:r>
    </w:p>
    <w:tbl>
      <w:tblPr>
        <w:tblW w:w="5882" w:type="dxa"/>
        <w:jc w:val="center"/>
        <w:tblBorders>
          <w:left w:val="single" w:sz="8" w:space="0" w:color="000000"/>
          <w:right w:val="single" w:sz="8" w:space="0" w:color="000000"/>
        </w:tblBorders>
        <w:tblLayout w:type="fixed"/>
        <w:tblLook w:val="0000" w:firstRow="0" w:lastRow="0" w:firstColumn="0" w:lastColumn="0" w:noHBand="0" w:noVBand="0"/>
      </w:tblPr>
      <w:tblGrid>
        <w:gridCol w:w="3348"/>
        <w:gridCol w:w="1267"/>
        <w:gridCol w:w="1267"/>
      </w:tblGrid>
      <w:tr w:rsidR="002D2E53" w:rsidRPr="00502F18" w14:paraId="3FDE5762" w14:textId="77777777" w:rsidTr="005620CF">
        <w:trPr>
          <w:jc w:val="center"/>
        </w:trPr>
        <w:tc>
          <w:tcPr>
            <w:tcW w:w="3348"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74C749E5" w14:textId="2C8AE1B4" w:rsidR="002D2E53" w:rsidRPr="00502F18" w:rsidRDefault="005620CF" w:rsidP="00120BB0">
            <w:pPr>
              <w:widowControl w:val="0"/>
              <w:tabs>
                <w:tab w:val="left" w:pos="220"/>
                <w:tab w:val="left" w:pos="720"/>
              </w:tabs>
              <w:autoSpaceDE w:val="0"/>
              <w:autoSpaceDN w:val="0"/>
              <w:adjustRightInd w:val="0"/>
              <w:contextualSpacing/>
              <w:jc w:val="center"/>
              <w:rPr>
                <w:rFonts w:ascii="Verdana" w:eastAsia="Times New Roman" w:hAnsi="Verdana"/>
                <w:sz w:val="20"/>
                <w:szCs w:val="20"/>
              </w:rPr>
            </w:pPr>
            <w:r>
              <w:rPr>
                <w:rFonts w:ascii="Verdana" w:eastAsia="Times New Roman" w:hAnsi="Verdana"/>
                <w:sz w:val="20"/>
                <w:szCs w:val="20"/>
              </w:rPr>
              <w:t>Entertainment</w:t>
            </w:r>
          </w:p>
        </w:tc>
        <w:tc>
          <w:tcPr>
            <w:tcW w:w="1267"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1C6AD1FA" w14:textId="65590810" w:rsidR="002D2E53" w:rsidRPr="00502F18" w:rsidRDefault="005620CF" w:rsidP="00120BB0">
            <w:pPr>
              <w:widowControl w:val="0"/>
              <w:tabs>
                <w:tab w:val="left" w:pos="220"/>
                <w:tab w:val="left" w:pos="720"/>
              </w:tabs>
              <w:autoSpaceDE w:val="0"/>
              <w:autoSpaceDN w:val="0"/>
              <w:adjustRightInd w:val="0"/>
              <w:contextualSpacing/>
              <w:jc w:val="center"/>
              <w:rPr>
                <w:rFonts w:ascii="Verdana" w:eastAsia="Times New Roman" w:hAnsi="Verdana"/>
                <w:sz w:val="20"/>
                <w:szCs w:val="20"/>
              </w:rPr>
            </w:pPr>
            <w:r>
              <w:rPr>
                <w:rFonts w:ascii="Verdana" w:eastAsia="Times New Roman" w:hAnsi="Verdana"/>
                <w:sz w:val="20"/>
                <w:szCs w:val="20"/>
              </w:rPr>
              <w:t>Tweens</w:t>
            </w:r>
          </w:p>
        </w:tc>
        <w:tc>
          <w:tcPr>
            <w:tcW w:w="1267"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0A6AD79D" w14:textId="71D5EC83" w:rsidR="002D2E53" w:rsidRPr="00502F18" w:rsidRDefault="005620CF" w:rsidP="00120BB0">
            <w:pPr>
              <w:widowControl w:val="0"/>
              <w:tabs>
                <w:tab w:val="left" w:pos="220"/>
                <w:tab w:val="left" w:pos="720"/>
              </w:tabs>
              <w:autoSpaceDE w:val="0"/>
              <w:autoSpaceDN w:val="0"/>
              <w:adjustRightInd w:val="0"/>
              <w:contextualSpacing/>
              <w:jc w:val="center"/>
              <w:rPr>
                <w:rFonts w:ascii="Verdana" w:eastAsia="Times New Roman" w:hAnsi="Verdana"/>
                <w:sz w:val="20"/>
                <w:szCs w:val="20"/>
              </w:rPr>
            </w:pPr>
            <w:r>
              <w:rPr>
                <w:rFonts w:ascii="Verdana" w:eastAsia="Times New Roman" w:hAnsi="Verdana"/>
                <w:sz w:val="20"/>
                <w:szCs w:val="20"/>
              </w:rPr>
              <w:t>Teens</w:t>
            </w:r>
          </w:p>
        </w:tc>
      </w:tr>
      <w:tr w:rsidR="002D2E53" w:rsidRPr="00502F18" w14:paraId="641995E6" w14:textId="77777777" w:rsidTr="00861B75">
        <w:trPr>
          <w:trHeight w:val="243"/>
          <w:jc w:val="center"/>
        </w:trPr>
        <w:tc>
          <w:tcPr>
            <w:tcW w:w="3348"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4FCB3107" w14:textId="56AD5055" w:rsidR="002D2E53" w:rsidRPr="00502F18" w:rsidRDefault="005620CF"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Television on TV set</w:t>
            </w:r>
          </w:p>
        </w:tc>
        <w:tc>
          <w:tcPr>
            <w:tcW w:w="1267" w:type="dxa"/>
            <w:tcBorders>
              <w:top w:val="single" w:sz="18" w:space="0" w:color="C0504D" w:themeColor="accent2"/>
              <w:left w:val="single" w:sz="18" w:space="0" w:color="0070C0"/>
              <w:bottom w:val="single" w:sz="4" w:space="0" w:color="auto"/>
              <w:right w:val="single" w:sz="8" w:space="0" w:color="0070C0"/>
            </w:tcBorders>
            <w:shd w:val="clear" w:color="auto" w:fill="D6E3BC" w:themeFill="accent3" w:themeFillTint="66"/>
            <w:vAlign w:val="center"/>
          </w:tcPr>
          <w:p w14:paraId="4124BEFF" w14:textId="6155854B" w:rsidR="002D2E53" w:rsidRPr="00502F18" w:rsidRDefault="005620CF"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1:55</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C2D69B" w:themeFill="accent3" w:themeFillTint="99"/>
            <w:vAlign w:val="center"/>
          </w:tcPr>
          <w:p w14:paraId="3903DBF2" w14:textId="217188EA" w:rsidR="002D2E53" w:rsidRPr="00502F18" w:rsidRDefault="005620CF"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2:16</w:t>
            </w:r>
          </w:p>
        </w:tc>
      </w:tr>
      <w:tr w:rsidR="002D2E53" w:rsidRPr="00502F18" w14:paraId="373DC7FC" w14:textId="77777777" w:rsidTr="00182847">
        <w:trPr>
          <w:trHeight w:val="243"/>
          <w:jc w:val="center"/>
        </w:trPr>
        <w:tc>
          <w:tcPr>
            <w:tcW w:w="3348" w:type="dxa"/>
            <w:tcBorders>
              <w:top w:val="single" w:sz="4" w:space="0" w:color="auto"/>
              <w:left w:val="single" w:sz="12" w:space="0" w:color="000000"/>
              <w:bottom w:val="single" w:sz="4" w:space="0" w:color="000000"/>
              <w:right w:val="single" w:sz="18" w:space="0" w:color="0070C0"/>
            </w:tcBorders>
            <w:shd w:val="clear" w:color="auto" w:fill="auto"/>
            <w:vAlign w:val="center"/>
          </w:tcPr>
          <w:p w14:paraId="4498813B" w14:textId="0200E7E2" w:rsidR="002D2E53" w:rsidRPr="00502F18" w:rsidRDefault="005620CF"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Television on other devices</w:t>
            </w:r>
          </w:p>
        </w:tc>
        <w:tc>
          <w:tcPr>
            <w:tcW w:w="1267"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29A284C2" w14:textId="3BC32251" w:rsidR="002D2E53" w:rsidRPr="00502F18" w:rsidRDefault="005620CF"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1:32</w:t>
            </w:r>
          </w:p>
        </w:tc>
        <w:tc>
          <w:tcPr>
            <w:tcW w:w="1267" w:type="dxa"/>
            <w:tcBorders>
              <w:top w:val="single" w:sz="4" w:space="0" w:color="000000"/>
              <w:left w:val="single" w:sz="8" w:space="0" w:color="0070C0"/>
              <w:bottom w:val="single" w:sz="4" w:space="0" w:color="000000"/>
              <w:right w:val="single" w:sz="12" w:space="0" w:color="000000"/>
            </w:tcBorders>
            <w:shd w:val="clear" w:color="auto" w:fill="C2D69B" w:themeFill="accent3" w:themeFillTint="99"/>
            <w:vAlign w:val="center"/>
          </w:tcPr>
          <w:p w14:paraId="0E56E938" w14:textId="1A7C81E4" w:rsidR="002D2E53" w:rsidRPr="00502F18" w:rsidRDefault="005620CF"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2:03</w:t>
            </w:r>
          </w:p>
        </w:tc>
      </w:tr>
      <w:tr w:rsidR="005620CF" w:rsidRPr="00502F18" w14:paraId="0F775DE0" w14:textId="77777777" w:rsidTr="00182847">
        <w:trPr>
          <w:trHeight w:val="243"/>
          <w:jc w:val="center"/>
        </w:trPr>
        <w:tc>
          <w:tcPr>
            <w:tcW w:w="3348" w:type="dxa"/>
            <w:tcBorders>
              <w:top w:val="single" w:sz="4" w:space="0" w:color="auto"/>
              <w:left w:val="single" w:sz="12" w:space="0" w:color="000000"/>
              <w:bottom w:val="single" w:sz="4" w:space="0" w:color="000000"/>
              <w:right w:val="single" w:sz="18" w:space="0" w:color="0070C0"/>
            </w:tcBorders>
            <w:shd w:val="clear" w:color="auto" w:fill="auto"/>
            <w:vAlign w:val="center"/>
          </w:tcPr>
          <w:p w14:paraId="267B8A59" w14:textId="6A1DFCF2" w:rsidR="005620CF" w:rsidRPr="00502F18" w:rsidRDefault="005620CF"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Online videos</w:t>
            </w:r>
          </w:p>
        </w:tc>
        <w:tc>
          <w:tcPr>
            <w:tcW w:w="1267"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6C7737DE" w14:textId="656A5A4F" w:rsidR="005620CF" w:rsidRPr="00502F18" w:rsidRDefault="005620CF"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1:39</w:t>
            </w:r>
          </w:p>
        </w:tc>
        <w:tc>
          <w:tcPr>
            <w:tcW w:w="1267" w:type="dxa"/>
            <w:tcBorders>
              <w:top w:val="single" w:sz="4" w:space="0" w:color="000000"/>
              <w:left w:val="single" w:sz="8" w:space="0" w:color="0070C0"/>
              <w:bottom w:val="single" w:sz="4" w:space="0" w:color="000000"/>
              <w:right w:val="single" w:sz="12" w:space="0" w:color="000000"/>
            </w:tcBorders>
            <w:shd w:val="clear" w:color="auto" w:fill="D6E3BC" w:themeFill="accent3" w:themeFillTint="66"/>
            <w:vAlign w:val="center"/>
          </w:tcPr>
          <w:p w14:paraId="34A7410D" w14:textId="76256FB2" w:rsidR="005620CF" w:rsidRPr="00502F18" w:rsidRDefault="005620CF"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1:46</w:t>
            </w:r>
          </w:p>
        </w:tc>
      </w:tr>
      <w:tr w:rsidR="002D2E53" w:rsidRPr="00502F18" w14:paraId="3CB959A9" w14:textId="77777777" w:rsidTr="00861B75">
        <w:trPr>
          <w:trHeight w:val="243"/>
          <w:jc w:val="center"/>
        </w:trPr>
        <w:tc>
          <w:tcPr>
            <w:tcW w:w="3348" w:type="dxa"/>
            <w:tcBorders>
              <w:top w:val="single" w:sz="4" w:space="0" w:color="auto"/>
              <w:left w:val="single" w:sz="12" w:space="0" w:color="000000"/>
              <w:bottom w:val="single" w:sz="4" w:space="0" w:color="000000"/>
              <w:right w:val="single" w:sz="18" w:space="0" w:color="0070C0"/>
            </w:tcBorders>
            <w:shd w:val="clear" w:color="auto" w:fill="auto"/>
            <w:vAlign w:val="center"/>
          </w:tcPr>
          <w:p w14:paraId="582DE2B1" w14:textId="70640163" w:rsidR="002D2E53" w:rsidRPr="00502F18" w:rsidRDefault="005620CF"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Console/portable video games</w:t>
            </w:r>
          </w:p>
        </w:tc>
        <w:tc>
          <w:tcPr>
            <w:tcW w:w="1267" w:type="dxa"/>
            <w:tcBorders>
              <w:top w:val="single" w:sz="4" w:space="0" w:color="auto"/>
              <w:left w:val="single" w:sz="18" w:space="0" w:color="0070C0"/>
              <w:bottom w:val="single" w:sz="4" w:space="0" w:color="000000"/>
              <w:right w:val="single" w:sz="8" w:space="0" w:color="0070C0"/>
            </w:tcBorders>
            <w:shd w:val="clear" w:color="auto" w:fill="00B050"/>
            <w:vAlign w:val="center"/>
          </w:tcPr>
          <w:p w14:paraId="735E7976" w14:textId="724D8E49" w:rsidR="002D2E53" w:rsidRPr="00502F18" w:rsidRDefault="005620CF"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2:13</w:t>
            </w:r>
          </w:p>
        </w:tc>
        <w:tc>
          <w:tcPr>
            <w:tcW w:w="1267" w:type="dxa"/>
            <w:tcBorders>
              <w:top w:val="single" w:sz="4" w:space="0" w:color="000000"/>
              <w:left w:val="single" w:sz="8" w:space="0" w:color="0070C0"/>
              <w:bottom w:val="single" w:sz="4" w:space="0" w:color="000000"/>
              <w:right w:val="single" w:sz="12" w:space="0" w:color="000000"/>
            </w:tcBorders>
            <w:shd w:val="clear" w:color="auto" w:fill="00B050"/>
            <w:vAlign w:val="center"/>
          </w:tcPr>
          <w:p w14:paraId="2471CC5A" w14:textId="0D21E43E" w:rsidR="002D2E53" w:rsidRPr="00502F18" w:rsidRDefault="005620CF"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2:37</w:t>
            </w:r>
          </w:p>
        </w:tc>
      </w:tr>
      <w:tr w:rsidR="002D2E53" w:rsidRPr="00502F18" w14:paraId="55453437" w14:textId="77777777" w:rsidTr="00182847">
        <w:trPr>
          <w:trHeight w:val="243"/>
          <w:jc w:val="center"/>
        </w:trPr>
        <w:tc>
          <w:tcPr>
            <w:tcW w:w="3348" w:type="dxa"/>
            <w:tcBorders>
              <w:top w:val="single" w:sz="4" w:space="0" w:color="auto"/>
              <w:left w:val="single" w:sz="12" w:space="0" w:color="000000"/>
              <w:bottom w:val="single" w:sz="4" w:space="0" w:color="000000"/>
              <w:right w:val="single" w:sz="18" w:space="0" w:color="0070C0"/>
            </w:tcBorders>
            <w:shd w:val="clear" w:color="auto" w:fill="auto"/>
            <w:vAlign w:val="center"/>
          </w:tcPr>
          <w:p w14:paraId="2DB16E61" w14:textId="6578D0F6" w:rsidR="002D2E53" w:rsidRPr="00502F18" w:rsidRDefault="005620CF"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Computer games</w:t>
            </w:r>
          </w:p>
        </w:tc>
        <w:tc>
          <w:tcPr>
            <w:tcW w:w="1267"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0AE44BBE" w14:textId="369D70FB" w:rsidR="002D2E53" w:rsidRPr="00502F18" w:rsidRDefault="005620CF"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1:27</w:t>
            </w:r>
          </w:p>
        </w:tc>
        <w:tc>
          <w:tcPr>
            <w:tcW w:w="1267" w:type="dxa"/>
            <w:tcBorders>
              <w:top w:val="single" w:sz="4" w:space="0" w:color="000000"/>
              <w:left w:val="single" w:sz="8" w:space="0" w:color="0070C0"/>
              <w:bottom w:val="single" w:sz="4" w:space="0" w:color="000000"/>
              <w:right w:val="single" w:sz="12" w:space="0" w:color="000000"/>
            </w:tcBorders>
            <w:shd w:val="clear" w:color="auto" w:fill="C2D69B" w:themeFill="accent3" w:themeFillTint="99"/>
            <w:vAlign w:val="center"/>
          </w:tcPr>
          <w:p w14:paraId="02A6D4FA" w14:textId="0D78C2EE" w:rsidR="002D2E53" w:rsidRPr="00502F18" w:rsidRDefault="005620CF"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2:29</w:t>
            </w:r>
          </w:p>
        </w:tc>
      </w:tr>
      <w:tr w:rsidR="002D2E53" w:rsidRPr="00502F18" w14:paraId="40F7E027" w14:textId="77777777" w:rsidTr="00182847">
        <w:trPr>
          <w:trHeight w:val="243"/>
          <w:jc w:val="center"/>
        </w:trPr>
        <w:tc>
          <w:tcPr>
            <w:tcW w:w="3348"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5AF10111" w14:textId="38384682" w:rsidR="002D2E53" w:rsidRPr="00502F18" w:rsidRDefault="005620CF" w:rsidP="00120BB0">
            <w:pPr>
              <w:widowControl w:val="0"/>
              <w:tabs>
                <w:tab w:val="left" w:pos="220"/>
                <w:tab w:val="left" w:pos="720"/>
              </w:tabs>
              <w:autoSpaceDE w:val="0"/>
              <w:autoSpaceDN w:val="0"/>
              <w:adjustRightInd w:val="0"/>
              <w:contextualSpacing/>
              <w:rPr>
                <w:rFonts w:ascii="Verdana" w:eastAsia="Times New Roman" w:hAnsi="Verdana"/>
                <w:sz w:val="20"/>
                <w:szCs w:val="20"/>
              </w:rPr>
            </w:pPr>
            <w:r>
              <w:rPr>
                <w:rFonts w:ascii="Verdana" w:eastAsia="Times New Roman" w:hAnsi="Verdana"/>
                <w:sz w:val="20"/>
                <w:szCs w:val="20"/>
              </w:rPr>
              <w:t>Mobile video games</w:t>
            </w:r>
          </w:p>
        </w:tc>
        <w:tc>
          <w:tcPr>
            <w:tcW w:w="1267" w:type="dxa"/>
            <w:tcBorders>
              <w:top w:val="single" w:sz="4" w:space="0" w:color="000000"/>
              <w:left w:val="single" w:sz="18" w:space="0" w:color="0070C0"/>
              <w:bottom w:val="single" w:sz="12" w:space="0" w:color="000000"/>
              <w:right w:val="single" w:sz="8" w:space="0" w:color="0070C0"/>
            </w:tcBorders>
            <w:shd w:val="clear" w:color="auto" w:fill="D6E3BC" w:themeFill="accent3" w:themeFillTint="66"/>
            <w:vAlign w:val="center"/>
          </w:tcPr>
          <w:p w14:paraId="6AC2C6E9" w14:textId="6FBB64ED" w:rsidR="002D2E53" w:rsidRPr="00502F18" w:rsidRDefault="005620CF"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1:31</w:t>
            </w:r>
          </w:p>
        </w:tc>
        <w:tc>
          <w:tcPr>
            <w:tcW w:w="1267" w:type="dxa"/>
            <w:tcBorders>
              <w:top w:val="single" w:sz="4" w:space="0" w:color="000000"/>
              <w:left w:val="single" w:sz="8" w:space="0" w:color="0070C0"/>
              <w:bottom w:val="single" w:sz="12" w:space="0" w:color="000000"/>
              <w:right w:val="single" w:sz="12" w:space="0" w:color="000000"/>
            </w:tcBorders>
            <w:shd w:val="clear" w:color="auto" w:fill="EAF1DD" w:themeFill="accent3" w:themeFillTint="33"/>
            <w:vAlign w:val="center"/>
          </w:tcPr>
          <w:p w14:paraId="2C227539" w14:textId="575AC56D" w:rsidR="002D2E53" w:rsidRPr="00502F18" w:rsidRDefault="005620CF" w:rsidP="00120BB0">
            <w:pPr>
              <w:widowControl w:val="0"/>
              <w:tabs>
                <w:tab w:val="left" w:pos="220"/>
                <w:tab w:val="left" w:pos="720"/>
              </w:tabs>
              <w:autoSpaceDE w:val="0"/>
              <w:autoSpaceDN w:val="0"/>
              <w:adjustRightInd w:val="0"/>
              <w:contextualSpacing/>
              <w:jc w:val="right"/>
              <w:rPr>
                <w:rFonts w:ascii="Verdana" w:eastAsia="Times New Roman" w:hAnsi="Verdana"/>
                <w:sz w:val="20"/>
                <w:szCs w:val="20"/>
              </w:rPr>
            </w:pPr>
            <w:r>
              <w:rPr>
                <w:rFonts w:ascii="Verdana" w:eastAsia="Times New Roman" w:hAnsi="Verdana"/>
                <w:sz w:val="20"/>
                <w:szCs w:val="20"/>
              </w:rPr>
              <w:t>1:16</w:t>
            </w:r>
          </w:p>
        </w:tc>
      </w:tr>
    </w:tbl>
    <w:p w14:paraId="42D4E535" w14:textId="0DD0254D" w:rsidR="002D2E53" w:rsidRDefault="005620CF" w:rsidP="005620CF">
      <w:pPr>
        <w:tabs>
          <w:tab w:val="left" w:pos="1710"/>
        </w:tabs>
        <w:rPr>
          <w:rFonts w:ascii="Verdana" w:hAnsi="Verdana"/>
          <w:sz w:val="20"/>
          <w:szCs w:val="20"/>
        </w:rPr>
      </w:pPr>
      <w:r>
        <w:rPr>
          <w:rFonts w:ascii="Verdana" w:hAnsi="Verdana"/>
          <w:iCs/>
          <w:sz w:val="16"/>
          <w:szCs w:val="16"/>
        </w:rPr>
        <w:tab/>
        <w:t>Common Sense</w:t>
      </w:r>
      <w:r w:rsidR="002D2E53" w:rsidRPr="00502F18">
        <w:rPr>
          <w:rFonts w:ascii="Verdana" w:hAnsi="Verdana"/>
          <w:sz w:val="16"/>
          <w:szCs w:val="16"/>
        </w:rPr>
        <w:t xml:space="preserve">, </w:t>
      </w:r>
      <w:r>
        <w:rPr>
          <w:rFonts w:ascii="Verdana" w:hAnsi="Verdana"/>
          <w:sz w:val="16"/>
          <w:szCs w:val="16"/>
        </w:rPr>
        <w:t>May</w:t>
      </w:r>
      <w:r w:rsidR="002D2E53">
        <w:rPr>
          <w:rFonts w:ascii="Verdana" w:hAnsi="Verdana"/>
          <w:sz w:val="16"/>
          <w:szCs w:val="16"/>
        </w:rPr>
        <w:t xml:space="preserve"> 2022</w:t>
      </w:r>
    </w:p>
    <w:p w14:paraId="14DEFF6A" w14:textId="77777777" w:rsidR="005620CF" w:rsidRDefault="005620CF" w:rsidP="00F36F72">
      <w:pPr>
        <w:rPr>
          <w:rFonts w:ascii="Verdana" w:hAnsi="Verdana"/>
          <w:sz w:val="20"/>
          <w:szCs w:val="20"/>
        </w:rPr>
      </w:pPr>
    </w:p>
    <w:p w14:paraId="729DEAA1" w14:textId="3CBB466F" w:rsidR="00467EF6" w:rsidRPr="005620CF" w:rsidRDefault="00467EF6" w:rsidP="00467EF6">
      <w:pPr>
        <w:jc w:val="center"/>
        <w:rPr>
          <w:rFonts w:ascii="Verdana" w:hAnsi="Verdana"/>
          <w:b/>
          <w:bCs/>
          <w:color w:val="0070C0"/>
          <w:sz w:val="20"/>
          <w:szCs w:val="20"/>
        </w:rPr>
      </w:pPr>
      <w:r>
        <w:rPr>
          <w:rFonts w:ascii="Verdana" w:hAnsi="Verdana"/>
          <w:b/>
          <w:bCs/>
          <w:color w:val="0070C0"/>
          <w:sz w:val="20"/>
          <w:szCs w:val="20"/>
        </w:rPr>
        <w:t>Toy Makers’ Maneuvers</w:t>
      </w:r>
    </w:p>
    <w:p w14:paraId="286AC9F6" w14:textId="77777777" w:rsidR="00F94CE8" w:rsidRPr="00F36F72" w:rsidRDefault="00F94CE8" w:rsidP="00C11931">
      <w:pPr>
        <w:pStyle w:val="NoSpacing"/>
        <w:contextualSpacing/>
        <w:mirrorIndents/>
        <w:rPr>
          <w:rFonts w:ascii="Verdana" w:hAnsi="Verdana"/>
          <w:sz w:val="20"/>
          <w:szCs w:val="20"/>
        </w:rPr>
      </w:pPr>
    </w:p>
    <w:p w14:paraId="23D2BAA2" w14:textId="21D90DC3" w:rsidR="00F94CE8" w:rsidRDefault="00805886" w:rsidP="00C11931">
      <w:pPr>
        <w:pStyle w:val="NoSpacing"/>
        <w:contextualSpacing/>
        <w:mirrorIndents/>
        <w:rPr>
          <w:rFonts w:ascii="Verdana" w:hAnsi="Verdana"/>
          <w:sz w:val="20"/>
          <w:szCs w:val="20"/>
        </w:rPr>
      </w:pPr>
      <w:r>
        <w:rPr>
          <w:rFonts w:ascii="Verdana" w:hAnsi="Verdana"/>
          <w:sz w:val="20"/>
          <w:szCs w:val="20"/>
        </w:rPr>
        <w:t xml:space="preserve">After acquiring the Toys R Us brand during 2021, Macy’s began adding branded Toys R Us spaces in its stores. Now, Macy’s is adding a Toys R Us space to all of its stores from July through October 2022 </w:t>
      </w:r>
      <w:r w:rsidR="00687FE7">
        <w:rPr>
          <w:rFonts w:ascii="Verdana" w:hAnsi="Verdana"/>
          <w:sz w:val="20"/>
          <w:szCs w:val="20"/>
        </w:rPr>
        <w:t>in preparation for the 2022 holiday shopping season.</w:t>
      </w:r>
    </w:p>
    <w:p w14:paraId="1EF1B56D" w14:textId="39C9EA4B" w:rsidR="00687FE7" w:rsidRDefault="00687FE7" w:rsidP="00C11931">
      <w:pPr>
        <w:pStyle w:val="NoSpacing"/>
        <w:contextualSpacing/>
        <w:mirrorIndents/>
        <w:rPr>
          <w:rFonts w:ascii="Verdana" w:hAnsi="Verdana"/>
          <w:sz w:val="20"/>
          <w:szCs w:val="20"/>
        </w:rPr>
      </w:pPr>
    </w:p>
    <w:p w14:paraId="122E14F8" w14:textId="1262B8B4" w:rsidR="00687FE7" w:rsidRDefault="00687FE7" w:rsidP="00C11931">
      <w:pPr>
        <w:pStyle w:val="NoSpacing"/>
        <w:contextualSpacing/>
        <w:mirrorIndents/>
        <w:rPr>
          <w:rFonts w:ascii="Verdana" w:hAnsi="Verdana"/>
          <w:sz w:val="20"/>
          <w:szCs w:val="20"/>
        </w:rPr>
      </w:pPr>
      <w:r>
        <w:rPr>
          <w:rFonts w:ascii="Verdana" w:hAnsi="Verdana"/>
          <w:sz w:val="20"/>
          <w:szCs w:val="20"/>
        </w:rPr>
        <w:t xml:space="preserve">Mattel has been experiencing many sales and supply-chain issues, but with schools closed and children at home during the early pandemic, Mattel sales increased, which </w:t>
      </w:r>
      <w:r w:rsidR="00467EF6">
        <w:rPr>
          <w:rFonts w:ascii="Verdana" w:hAnsi="Verdana"/>
          <w:sz w:val="20"/>
          <w:szCs w:val="20"/>
        </w:rPr>
        <w:t>boost</w:t>
      </w:r>
      <w:r>
        <w:rPr>
          <w:rFonts w:ascii="Verdana" w:hAnsi="Verdana"/>
          <w:sz w:val="20"/>
          <w:szCs w:val="20"/>
        </w:rPr>
        <w:t>ed its market value and started a possible acquisition process during 2022.</w:t>
      </w:r>
    </w:p>
    <w:p w14:paraId="5057796A" w14:textId="46D9B684" w:rsidR="00687FE7" w:rsidRDefault="00687FE7" w:rsidP="00C11931">
      <w:pPr>
        <w:pStyle w:val="NoSpacing"/>
        <w:contextualSpacing/>
        <w:mirrorIndents/>
        <w:rPr>
          <w:rFonts w:ascii="Verdana" w:hAnsi="Verdana"/>
          <w:sz w:val="20"/>
          <w:szCs w:val="20"/>
        </w:rPr>
      </w:pPr>
    </w:p>
    <w:p w14:paraId="293BCC15" w14:textId="7D868E9E" w:rsidR="00687FE7" w:rsidRPr="00F36F72" w:rsidRDefault="00687FE7" w:rsidP="00C11931">
      <w:pPr>
        <w:pStyle w:val="NoSpacing"/>
        <w:contextualSpacing/>
        <w:mirrorIndents/>
        <w:rPr>
          <w:rFonts w:ascii="Verdana" w:hAnsi="Verdana"/>
          <w:sz w:val="20"/>
          <w:szCs w:val="20"/>
        </w:rPr>
      </w:pPr>
      <w:r>
        <w:rPr>
          <w:rFonts w:ascii="Verdana" w:hAnsi="Verdana"/>
          <w:sz w:val="20"/>
          <w:szCs w:val="20"/>
        </w:rPr>
        <w:t>Despite inflationary pressures, both Mattel and Hasbro were able to report net sales increases for their 2022 second quarters: Mattel at +20% YOY and Hasbro a more modest +1% YOY.</w:t>
      </w:r>
      <w:r w:rsidR="00F37365">
        <w:rPr>
          <w:rFonts w:ascii="Verdana" w:hAnsi="Verdana"/>
          <w:sz w:val="20"/>
          <w:szCs w:val="20"/>
        </w:rPr>
        <w:t xml:space="preserve"> Both anticipate an eventual boost from the Toy R Us spaces in Macy’s stores.</w:t>
      </w:r>
    </w:p>
    <w:p w14:paraId="664EB1A4" w14:textId="77777777" w:rsidR="00F94CE8" w:rsidRPr="00F36F72" w:rsidRDefault="00F94CE8" w:rsidP="00C11931">
      <w:pPr>
        <w:pStyle w:val="NoSpacing"/>
        <w:contextualSpacing/>
        <w:mirrorIndents/>
        <w:rPr>
          <w:rFonts w:ascii="Verdana" w:hAnsi="Verdana"/>
          <w:sz w:val="20"/>
          <w:szCs w:val="20"/>
        </w:rPr>
      </w:pPr>
    </w:p>
    <w:p w14:paraId="7401C3C8" w14:textId="77777777" w:rsidR="00F94CE8" w:rsidRPr="00F36F72" w:rsidRDefault="00F94CE8" w:rsidP="00C11931">
      <w:pPr>
        <w:pStyle w:val="NoSpacing"/>
        <w:contextualSpacing/>
        <w:mirrorIndents/>
        <w:rPr>
          <w:rFonts w:ascii="Verdana" w:hAnsi="Verdana"/>
          <w:sz w:val="20"/>
          <w:szCs w:val="20"/>
        </w:rPr>
      </w:pPr>
    </w:p>
    <w:p w14:paraId="02C0BC62" w14:textId="77777777" w:rsidR="00F94CE8" w:rsidRPr="00F36F72" w:rsidRDefault="00F94CE8" w:rsidP="00C11931">
      <w:pPr>
        <w:pStyle w:val="NoSpacing"/>
        <w:contextualSpacing/>
        <w:mirrorIndents/>
        <w:rPr>
          <w:rFonts w:ascii="Verdana" w:hAnsi="Verdana"/>
          <w:sz w:val="20"/>
          <w:szCs w:val="20"/>
        </w:rPr>
      </w:pPr>
    </w:p>
    <w:p w14:paraId="37079E4B" w14:textId="77777777" w:rsidR="00F94CE8" w:rsidRPr="00F36F72" w:rsidRDefault="00F94CE8" w:rsidP="00C11931">
      <w:pPr>
        <w:pStyle w:val="NoSpacing"/>
        <w:contextualSpacing/>
        <w:mirrorIndents/>
        <w:rPr>
          <w:rFonts w:ascii="Verdana" w:hAnsi="Verdana"/>
          <w:sz w:val="20"/>
          <w:szCs w:val="20"/>
        </w:rPr>
      </w:pPr>
    </w:p>
    <w:p w14:paraId="3A5080E9" w14:textId="77777777" w:rsidR="00F94CE8" w:rsidRPr="00F36F72" w:rsidRDefault="00F94CE8" w:rsidP="00C11931">
      <w:pPr>
        <w:pStyle w:val="NoSpacing"/>
        <w:contextualSpacing/>
        <w:mirrorIndents/>
        <w:rPr>
          <w:rFonts w:ascii="Verdana" w:hAnsi="Verdana"/>
          <w:sz w:val="20"/>
          <w:szCs w:val="20"/>
        </w:rPr>
      </w:pPr>
    </w:p>
    <w:p w14:paraId="3D6E3712" w14:textId="77777777" w:rsidR="00F94CE8" w:rsidRPr="00F36F72" w:rsidRDefault="00F94CE8" w:rsidP="00C11931">
      <w:pPr>
        <w:pStyle w:val="NoSpacing"/>
        <w:contextualSpacing/>
        <w:mirrorIndents/>
        <w:rPr>
          <w:rFonts w:ascii="Verdana" w:hAnsi="Verdana"/>
          <w:sz w:val="20"/>
          <w:szCs w:val="20"/>
        </w:rPr>
      </w:pPr>
    </w:p>
    <w:p w14:paraId="484391DE" w14:textId="77777777" w:rsidR="00F94CE8" w:rsidRPr="00F36F72" w:rsidRDefault="00F94CE8" w:rsidP="00C11931">
      <w:pPr>
        <w:pStyle w:val="NoSpacing"/>
        <w:contextualSpacing/>
        <w:mirrorIndents/>
        <w:rPr>
          <w:rFonts w:ascii="Verdana" w:hAnsi="Verdana"/>
          <w:sz w:val="20"/>
          <w:szCs w:val="20"/>
        </w:rPr>
      </w:pPr>
    </w:p>
    <w:p w14:paraId="633FD3CD" w14:textId="77777777" w:rsidR="00F94CE8" w:rsidRPr="00F36F72" w:rsidRDefault="00F94CE8" w:rsidP="00C11931">
      <w:pPr>
        <w:pStyle w:val="NoSpacing"/>
        <w:contextualSpacing/>
        <w:mirrorIndents/>
        <w:rPr>
          <w:rFonts w:ascii="Verdana" w:hAnsi="Verdana"/>
          <w:sz w:val="20"/>
          <w:szCs w:val="20"/>
        </w:rPr>
      </w:pPr>
    </w:p>
    <w:p w14:paraId="22AD5DBB" w14:textId="77777777" w:rsidR="00F94CE8" w:rsidRPr="00F36F72" w:rsidRDefault="00F94CE8" w:rsidP="00C11931">
      <w:pPr>
        <w:pStyle w:val="NoSpacing"/>
        <w:contextualSpacing/>
        <w:mirrorIndents/>
        <w:rPr>
          <w:rFonts w:ascii="Verdana" w:hAnsi="Verdana"/>
          <w:sz w:val="20"/>
          <w:szCs w:val="20"/>
        </w:rPr>
      </w:pPr>
    </w:p>
    <w:p w14:paraId="6FF184E1" w14:textId="77777777" w:rsidR="00F94CE8" w:rsidRPr="00F36F72" w:rsidRDefault="00F94CE8" w:rsidP="00C11931">
      <w:pPr>
        <w:pStyle w:val="NoSpacing"/>
        <w:contextualSpacing/>
        <w:mirrorIndents/>
        <w:rPr>
          <w:rFonts w:ascii="Verdana" w:hAnsi="Verdana"/>
          <w:sz w:val="20"/>
          <w:szCs w:val="20"/>
        </w:rPr>
      </w:pPr>
    </w:p>
    <w:p w14:paraId="1F83A38D" w14:textId="77777777" w:rsidR="00F94CE8" w:rsidRPr="00F36F72" w:rsidRDefault="00F94CE8" w:rsidP="00C11931">
      <w:pPr>
        <w:pStyle w:val="NoSpacing"/>
        <w:contextualSpacing/>
        <w:mirrorIndents/>
        <w:rPr>
          <w:rFonts w:ascii="Verdana" w:hAnsi="Verdana"/>
          <w:sz w:val="20"/>
          <w:szCs w:val="20"/>
        </w:rPr>
      </w:pPr>
    </w:p>
    <w:p w14:paraId="18261CC9" w14:textId="77777777" w:rsidR="00F94CE8" w:rsidRPr="00F36F72" w:rsidRDefault="00F94CE8" w:rsidP="00C11931">
      <w:pPr>
        <w:pStyle w:val="NoSpacing"/>
        <w:contextualSpacing/>
        <w:mirrorIndents/>
        <w:rPr>
          <w:rFonts w:ascii="Verdana" w:hAnsi="Verdana"/>
          <w:sz w:val="20"/>
          <w:szCs w:val="20"/>
        </w:rPr>
      </w:pPr>
    </w:p>
    <w:p w14:paraId="05B35E5D" w14:textId="3AFAA724" w:rsidR="00F94CE8" w:rsidRPr="00B75062" w:rsidRDefault="00FB418C" w:rsidP="00F94CE8">
      <w:pPr>
        <w:pStyle w:val="NoSpacing"/>
        <w:contextualSpacing/>
        <w:jc w:val="center"/>
        <w:rPr>
          <w:b/>
          <w:color w:val="0070C0"/>
          <w:sz w:val="20"/>
          <w:szCs w:val="20"/>
        </w:rPr>
      </w:pPr>
      <w:r>
        <w:rPr>
          <w:b/>
          <w:color w:val="0070C0"/>
          <w:sz w:val="20"/>
          <w:szCs w:val="20"/>
        </w:rPr>
        <w:lastRenderedPageBreak/>
        <w:t>More Valuable Insights</w:t>
      </w:r>
    </w:p>
    <w:p w14:paraId="4D37D21A" w14:textId="77777777" w:rsidR="00F94CE8" w:rsidRPr="00C66D00" w:rsidRDefault="00F94CE8" w:rsidP="00F94CE8">
      <w:pPr>
        <w:pStyle w:val="NoSpacing"/>
        <w:contextualSpacing/>
        <w:rPr>
          <w:sz w:val="20"/>
          <w:szCs w:val="20"/>
        </w:rPr>
      </w:pPr>
    </w:p>
    <w:p w14:paraId="718411C0" w14:textId="75FF051E" w:rsidR="00F94CE8" w:rsidRDefault="00467EF6" w:rsidP="00F94CE8">
      <w:pPr>
        <w:pStyle w:val="NoSpacing"/>
        <w:contextualSpacing/>
        <w:rPr>
          <w:sz w:val="20"/>
          <w:szCs w:val="20"/>
        </w:rPr>
      </w:pPr>
      <w:r>
        <w:rPr>
          <w:sz w:val="20"/>
          <w:szCs w:val="20"/>
        </w:rPr>
        <w:t>D</w:t>
      </w:r>
      <w:r w:rsidR="00BD3269">
        <w:rPr>
          <w:sz w:val="20"/>
          <w:szCs w:val="20"/>
        </w:rPr>
        <w:t>ata from five representative 2021 consumer/market surveys conducted by The Media Audit pinpoints the media exposure of the prime toy-buying audience, or adults 25</w:t>
      </w:r>
      <w:r w:rsidR="00BD3269">
        <w:rPr>
          <w:rFonts w:ascii="Verdana" w:hAnsi="Verdana"/>
          <w:sz w:val="20"/>
          <w:szCs w:val="20"/>
        </w:rPr>
        <w:t>–</w:t>
      </w:r>
      <w:r w:rsidR="00BD3269">
        <w:rPr>
          <w:sz w:val="20"/>
          <w:szCs w:val="20"/>
        </w:rPr>
        <w:t>54 with children at home of any age.</w:t>
      </w:r>
    </w:p>
    <w:p w14:paraId="57A47852" w14:textId="5BA8C73E" w:rsidR="00BD3269" w:rsidRDefault="00BD3269" w:rsidP="00F94CE8">
      <w:pPr>
        <w:pStyle w:val="NoSpacing"/>
        <w:contextualSpacing/>
        <w:rPr>
          <w:sz w:val="20"/>
          <w:szCs w:val="20"/>
        </w:rPr>
      </w:pPr>
    </w:p>
    <w:p w14:paraId="74F06D1D" w14:textId="681D8D94" w:rsidR="00BD3269" w:rsidRDefault="00BD3269" w:rsidP="00F94CE8">
      <w:pPr>
        <w:pStyle w:val="NoSpacing"/>
        <w:contextualSpacing/>
        <w:rPr>
          <w:sz w:val="20"/>
          <w:szCs w:val="20"/>
        </w:rPr>
      </w:pPr>
      <w:r>
        <w:rPr>
          <w:sz w:val="20"/>
          <w:szCs w:val="20"/>
        </w:rPr>
        <w:t xml:space="preserve">Radio shows itself to be the better of the two primary reach media when compared to TV. Outdoor also over-indexes in four of the five markets, which </w:t>
      </w:r>
      <w:r w:rsidR="00B7068A">
        <w:rPr>
          <w:sz w:val="20"/>
          <w:szCs w:val="20"/>
        </w:rPr>
        <w:t>complements</w:t>
      </w:r>
      <w:r>
        <w:rPr>
          <w:sz w:val="20"/>
          <w:szCs w:val="20"/>
        </w:rPr>
        <w:t xml:space="preserve"> the strength of radio in this comparison. Unsurprisingly, audio streaming, podcast listening and video streaming also over-indexed in almost every market. </w:t>
      </w:r>
    </w:p>
    <w:p w14:paraId="72A9D893" w14:textId="77777777" w:rsidR="00F94CE8" w:rsidRDefault="00F94CE8" w:rsidP="00F94CE8">
      <w:pPr>
        <w:pStyle w:val="NoSpacing"/>
        <w:contextualSpacing/>
        <w:rPr>
          <w:sz w:val="20"/>
          <w:szCs w:val="20"/>
        </w:rPr>
      </w:pPr>
    </w:p>
    <w:p w14:paraId="34EF1409" w14:textId="77777777" w:rsidR="00BD3269" w:rsidRDefault="00BD3269" w:rsidP="00BD3269">
      <w:pPr>
        <w:contextualSpacing/>
        <w:mirrorIndents/>
        <w:jc w:val="center"/>
        <w:rPr>
          <w:b/>
          <w:bCs/>
          <w:sz w:val="20"/>
          <w:szCs w:val="20"/>
        </w:rPr>
      </w:pPr>
      <w:r>
        <w:rPr>
          <w:b/>
          <w:bCs/>
          <w:sz w:val="20"/>
          <w:szCs w:val="20"/>
        </w:rPr>
        <w:t>Indices of Adults 25</w:t>
      </w:r>
      <w:r>
        <w:rPr>
          <w:rFonts w:ascii="Verdana" w:hAnsi="Verdana"/>
          <w:b/>
          <w:bCs/>
          <w:sz w:val="20"/>
          <w:szCs w:val="20"/>
        </w:rPr>
        <w:t>–</w:t>
      </w:r>
      <w:r>
        <w:rPr>
          <w:b/>
          <w:bCs/>
          <w:sz w:val="20"/>
          <w:szCs w:val="20"/>
        </w:rPr>
        <w:t xml:space="preserve">54 with Children at Home of Any Age and </w:t>
      </w:r>
    </w:p>
    <w:p w14:paraId="46497F85" w14:textId="52E07250" w:rsidR="00BD3269" w:rsidRPr="005D1511" w:rsidRDefault="00BD3269" w:rsidP="00BD3269">
      <w:pPr>
        <w:contextualSpacing/>
        <w:mirrorIndents/>
        <w:jc w:val="center"/>
        <w:rPr>
          <w:b/>
          <w:bCs/>
          <w:sz w:val="20"/>
          <w:szCs w:val="20"/>
        </w:rPr>
      </w:pPr>
      <w:r>
        <w:rPr>
          <w:b/>
          <w:bCs/>
          <w:sz w:val="20"/>
          <w:szCs w:val="20"/>
        </w:rPr>
        <w:t>Their Heavy Exposure to Media, in Selected Markets</w:t>
      </w:r>
      <w:r w:rsidRPr="005D1511">
        <w:rPr>
          <w:b/>
          <w:bCs/>
          <w:sz w:val="20"/>
          <w:szCs w:val="20"/>
        </w:rPr>
        <w:t>, 202</w:t>
      </w:r>
      <w:r>
        <w:rPr>
          <w:b/>
          <w:bCs/>
          <w:sz w:val="20"/>
          <w:szCs w:val="20"/>
        </w:rPr>
        <w:t>1</w:t>
      </w:r>
    </w:p>
    <w:tbl>
      <w:tblPr>
        <w:tblW w:w="9307"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033"/>
        <w:gridCol w:w="1454"/>
        <w:gridCol w:w="1454"/>
        <w:gridCol w:w="1454"/>
        <w:gridCol w:w="1454"/>
        <w:gridCol w:w="1458"/>
      </w:tblGrid>
      <w:tr w:rsidR="00BD3269" w:rsidRPr="005D1511" w14:paraId="0CCB8D6E" w14:textId="77777777" w:rsidTr="00BD3269">
        <w:trPr>
          <w:jc w:val="center"/>
        </w:trPr>
        <w:tc>
          <w:tcPr>
            <w:tcW w:w="2033" w:type="dxa"/>
            <w:tcBorders>
              <w:top w:val="single" w:sz="12" w:space="0" w:color="000000"/>
              <w:left w:val="single" w:sz="12" w:space="0" w:color="000000"/>
              <w:bottom w:val="single" w:sz="18" w:space="0" w:color="C0504D" w:themeColor="accent2"/>
              <w:right w:val="single" w:sz="18" w:space="0" w:color="0070C0"/>
            </w:tcBorders>
            <w:vAlign w:val="center"/>
          </w:tcPr>
          <w:p w14:paraId="0CADEADA" w14:textId="024E95F9" w:rsidR="00BD3269" w:rsidRPr="005D1511" w:rsidRDefault="00BD3269" w:rsidP="00120BB0">
            <w:pPr>
              <w:widowControl w:val="0"/>
              <w:tabs>
                <w:tab w:val="left" w:pos="220"/>
                <w:tab w:val="left" w:pos="720"/>
              </w:tabs>
              <w:autoSpaceDE w:val="0"/>
              <w:autoSpaceDN w:val="0"/>
              <w:contextualSpacing/>
              <w:mirrorIndents/>
              <w:jc w:val="center"/>
              <w:rPr>
                <w:rFonts w:eastAsia="Times New Roman"/>
                <w:sz w:val="20"/>
                <w:szCs w:val="20"/>
              </w:rPr>
            </w:pPr>
            <w:r>
              <w:rPr>
                <w:rFonts w:eastAsia="Times New Roman"/>
                <w:sz w:val="20"/>
                <w:szCs w:val="20"/>
              </w:rPr>
              <w:t>Media</w:t>
            </w:r>
            <w:r w:rsidR="00B7068A">
              <w:rPr>
                <w:rFonts w:eastAsia="Times New Roman"/>
                <w:sz w:val="20"/>
                <w:szCs w:val="20"/>
              </w:rPr>
              <w:t>*</w:t>
            </w:r>
          </w:p>
        </w:tc>
        <w:tc>
          <w:tcPr>
            <w:tcW w:w="1454" w:type="dxa"/>
            <w:tcBorders>
              <w:top w:val="single" w:sz="12" w:space="0" w:color="000000"/>
              <w:left w:val="single" w:sz="18" w:space="0" w:color="0070C0"/>
              <w:bottom w:val="single" w:sz="18" w:space="0" w:color="C0504D" w:themeColor="accent2"/>
              <w:right w:val="single" w:sz="8" w:space="0" w:color="0070C0"/>
            </w:tcBorders>
            <w:vAlign w:val="center"/>
          </w:tcPr>
          <w:p w14:paraId="071753B6" w14:textId="13ADF650" w:rsidR="00BD3269" w:rsidRPr="005D1511" w:rsidRDefault="00B7068A" w:rsidP="00120BB0">
            <w:pPr>
              <w:widowControl w:val="0"/>
              <w:tabs>
                <w:tab w:val="left" w:pos="220"/>
                <w:tab w:val="left" w:pos="720"/>
              </w:tabs>
              <w:autoSpaceDE w:val="0"/>
              <w:autoSpaceDN w:val="0"/>
              <w:contextualSpacing/>
              <w:mirrorIndents/>
              <w:jc w:val="center"/>
              <w:rPr>
                <w:rFonts w:eastAsia="Times New Roman"/>
                <w:sz w:val="20"/>
                <w:szCs w:val="20"/>
              </w:rPr>
            </w:pPr>
            <w:r>
              <w:rPr>
                <w:rFonts w:eastAsia="Times New Roman"/>
                <w:sz w:val="20"/>
                <w:szCs w:val="20"/>
              </w:rPr>
              <w:t>Cincinnati</w:t>
            </w:r>
          </w:p>
        </w:tc>
        <w:tc>
          <w:tcPr>
            <w:tcW w:w="1454" w:type="dxa"/>
            <w:tcBorders>
              <w:top w:val="single" w:sz="12" w:space="0" w:color="000000"/>
              <w:left w:val="single" w:sz="8" w:space="0" w:color="0070C0"/>
              <w:bottom w:val="single" w:sz="18" w:space="0" w:color="C0504D" w:themeColor="accent2"/>
              <w:right w:val="single" w:sz="8" w:space="0" w:color="0070C0"/>
            </w:tcBorders>
            <w:vAlign w:val="center"/>
          </w:tcPr>
          <w:p w14:paraId="24F32E88" w14:textId="03F947AF" w:rsidR="00BD3269" w:rsidRPr="005D1511" w:rsidRDefault="00B7068A" w:rsidP="00120BB0">
            <w:pPr>
              <w:widowControl w:val="0"/>
              <w:tabs>
                <w:tab w:val="left" w:pos="220"/>
                <w:tab w:val="left" w:pos="720"/>
              </w:tabs>
              <w:autoSpaceDE w:val="0"/>
              <w:autoSpaceDN w:val="0"/>
              <w:contextualSpacing/>
              <w:mirrorIndents/>
              <w:jc w:val="center"/>
              <w:rPr>
                <w:rFonts w:eastAsia="Times New Roman"/>
                <w:sz w:val="20"/>
                <w:szCs w:val="20"/>
              </w:rPr>
            </w:pPr>
            <w:r>
              <w:rPr>
                <w:rFonts w:eastAsia="Times New Roman"/>
                <w:sz w:val="20"/>
                <w:szCs w:val="20"/>
              </w:rPr>
              <w:t>Milwaukee-Racine, WI</w:t>
            </w:r>
          </w:p>
        </w:tc>
        <w:tc>
          <w:tcPr>
            <w:tcW w:w="1454" w:type="dxa"/>
            <w:tcBorders>
              <w:top w:val="single" w:sz="12" w:space="0" w:color="000000"/>
              <w:left w:val="single" w:sz="8" w:space="0" w:color="0070C0"/>
              <w:bottom w:val="single" w:sz="18" w:space="0" w:color="C0504D" w:themeColor="accent2"/>
              <w:right w:val="single" w:sz="8" w:space="0" w:color="0070C0"/>
            </w:tcBorders>
            <w:vAlign w:val="center"/>
          </w:tcPr>
          <w:p w14:paraId="204CE0D7" w14:textId="71C577EB" w:rsidR="00BD3269" w:rsidRPr="005D1511" w:rsidRDefault="00B7068A" w:rsidP="00120BB0">
            <w:pPr>
              <w:widowControl w:val="0"/>
              <w:tabs>
                <w:tab w:val="left" w:pos="220"/>
                <w:tab w:val="left" w:pos="720"/>
              </w:tabs>
              <w:autoSpaceDE w:val="0"/>
              <w:autoSpaceDN w:val="0"/>
              <w:contextualSpacing/>
              <w:mirrorIndents/>
              <w:jc w:val="center"/>
              <w:rPr>
                <w:rFonts w:eastAsia="Times New Roman"/>
                <w:sz w:val="20"/>
                <w:szCs w:val="20"/>
              </w:rPr>
            </w:pPr>
            <w:r>
              <w:rPr>
                <w:rFonts w:eastAsia="Times New Roman"/>
                <w:sz w:val="20"/>
                <w:szCs w:val="20"/>
              </w:rPr>
              <w:t>Little Rock</w:t>
            </w:r>
          </w:p>
        </w:tc>
        <w:tc>
          <w:tcPr>
            <w:tcW w:w="1454" w:type="dxa"/>
            <w:tcBorders>
              <w:top w:val="single" w:sz="12" w:space="0" w:color="000000"/>
              <w:left w:val="single" w:sz="8" w:space="0" w:color="0070C0"/>
              <w:bottom w:val="single" w:sz="18" w:space="0" w:color="C0504D" w:themeColor="accent2"/>
              <w:right w:val="single" w:sz="8" w:space="0" w:color="0070C0"/>
            </w:tcBorders>
            <w:vAlign w:val="center"/>
          </w:tcPr>
          <w:p w14:paraId="405A4BE2" w14:textId="4981F646" w:rsidR="00BD3269" w:rsidRPr="005D1511" w:rsidRDefault="00B7068A" w:rsidP="00120BB0">
            <w:pPr>
              <w:widowControl w:val="0"/>
              <w:tabs>
                <w:tab w:val="left" w:pos="220"/>
                <w:tab w:val="left" w:pos="720"/>
              </w:tabs>
              <w:autoSpaceDE w:val="0"/>
              <w:autoSpaceDN w:val="0"/>
              <w:contextualSpacing/>
              <w:mirrorIndents/>
              <w:jc w:val="center"/>
              <w:rPr>
                <w:rFonts w:eastAsia="Times New Roman"/>
                <w:sz w:val="20"/>
                <w:szCs w:val="20"/>
              </w:rPr>
            </w:pPr>
            <w:r>
              <w:rPr>
                <w:rFonts w:eastAsia="Times New Roman"/>
                <w:sz w:val="20"/>
                <w:szCs w:val="20"/>
              </w:rPr>
              <w:t>Denver</w:t>
            </w:r>
          </w:p>
        </w:tc>
        <w:tc>
          <w:tcPr>
            <w:tcW w:w="1458" w:type="dxa"/>
            <w:tcBorders>
              <w:top w:val="single" w:sz="12" w:space="0" w:color="000000"/>
              <w:left w:val="single" w:sz="8" w:space="0" w:color="0070C0"/>
              <w:bottom w:val="single" w:sz="18" w:space="0" w:color="C0504D" w:themeColor="accent2"/>
              <w:right w:val="single" w:sz="12" w:space="0" w:color="000000"/>
            </w:tcBorders>
            <w:vAlign w:val="center"/>
          </w:tcPr>
          <w:p w14:paraId="631DE448" w14:textId="3A927994" w:rsidR="00BD3269" w:rsidRPr="005D1511" w:rsidRDefault="00B7068A" w:rsidP="00120BB0">
            <w:pPr>
              <w:widowControl w:val="0"/>
              <w:tabs>
                <w:tab w:val="left" w:pos="220"/>
                <w:tab w:val="left" w:pos="720"/>
              </w:tabs>
              <w:autoSpaceDE w:val="0"/>
              <w:autoSpaceDN w:val="0"/>
              <w:contextualSpacing/>
              <w:mirrorIndents/>
              <w:jc w:val="center"/>
              <w:rPr>
                <w:rFonts w:eastAsia="Times New Roman"/>
                <w:sz w:val="20"/>
                <w:szCs w:val="20"/>
              </w:rPr>
            </w:pPr>
            <w:r>
              <w:rPr>
                <w:rFonts w:eastAsia="Times New Roman"/>
                <w:sz w:val="20"/>
                <w:szCs w:val="20"/>
              </w:rPr>
              <w:t>Spokane</w:t>
            </w:r>
          </w:p>
        </w:tc>
      </w:tr>
      <w:tr w:rsidR="00BD3269" w:rsidRPr="005D1511" w14:paraId="694CBDB3" w14:textId="77777777" w:rsidTr="000558DA">
        <w:tblPrEx>
          <w:tblBorders>
            <w:top w:val="none" w:sz="0" w:space="0" w:color="auto"/>
          </w:tblBorders>
        </w:tblPrEx>
        <w:trPr>
          <w:jc w:val="center"/>
        </w:trPr>
        <w:tc>
          <w:tcPr>
            <w:tcW w:w="2033" w:type="dxa"/>
            <w:tcBorders>
              <w:top w:val="single" w:sz="18" w:space="0" w:color="C0504D" w:themeColor="accent2"/>
              <w:left w:val="single" w:sz="12" w:space="0" w:color="000000"/>
              <w:bottom w:val="single" w:sz="4" w:space="0" w:color="000000"/>
              <w:right w:val="single" w:sz="18" w:space="0" w:color="0070C0"/>
            </w:tcBorders>
            <w:vAlign w:val="center"/>
          </w:tcPr>
          <w:p w14:paraId="77FD5E51" w14:textId="4B327E2E" w:rsidR="00BD3269" w:rsidRPr="005D1511" w:rsidRDefault="00BD3269" w:rsidP="00120BB0">
            <w:pPr>
              <w:widowControl w:val="0"/>
              <w:tabs>
                <w:tab w:val="left" w:pos="220"/>
                <w:tab w:val="left" w:pos="720"/>
              </w:tabs>
              <w:autoSpaceDE w:val="0"/>
              <w:autoSpaceDN w:val="0"/>
              <w:contextualSpacing/>
              <w:mirrorIndents/>
              <w:rPr>
                <w:rFonts w:eastAsia="Times New Roman"/>
                <w:sz w:val="20"/>
                <w:szCs w:val="20"/>
              </w:rPr>
            </w:pPr>
            <w:r>
              <w:rPr>
                <w:rFonts w:eastAsia="Times New Roman"/>
                <w:sz w:val="20"/>
                <w:szCs w:val="20"/>
              </w:rPr>
              <w:t>Radio</w:t>
            </w:r>
          </w:p>
        </w:tc>
        <w:tc>
          <w:tcPr>
            <w:tcW w:w="1454" w:type="dxa"/>
            <w:tcBorders>
              <w:top w:val="single" w:sz="18" w:space="0" w:color="C0504D" w:themeColor="accent2"/>
              <w:left w:val="single" w:sz="18" w:space="0" w:color="0070C0"/>
              <w:bottom w:val="single" w:sz="4" w:space="0" w:color="auto"/>
              <w:right w:val="single" w:sz="8" w:space="0" w:color="0070C0"/>
            </w:tcBorders>
            <w:shd w:val="clear" w:color="auto" w:fill="EAF1DD" w:themeFill="accent3" w:themeFillTint="33"/>
            <w:vAlign w:val="center"/>
          </w:tcPr>
          <w:p w14:paraId="4E1853D1" w14:textId="7151DDD3"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107</w:t>
            </w:r>
          </w:p>
        </w:tc>
        <w:tc>
          <w:tcPr>
            <w:tcW w:w="1454" w:type="dxa"/>
            <w:tcBorders>
              <w:top w:val="single" w:sz="18" w:space="0" w:color="C0504D" w:themeColor="accent2"/>
              <w:left w:val="single" w:sz="8" w:space="0" w:color="0070C0"/>
              <w:bottom w:val="single" w:sz="4" w:space="0" w:color="auto"/>
              <w:right w:val="single" w:sz="8" w:space="0" w:color="0070C0"/>
            </w:tcBorders>
            <w:shd w:val="clear" w:color="auto" w:fill="F2DBDB" w:themeFill="accent2" w:themeFillTint="33"/>
            <w:vAlign w:val="center"/>
          </w:tcPr>
          <w:p w14:paraId="165465A6" w14:textId="64440561"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96</w:t>
            </w:r>
          </w:p>
        </w:tc>
        <w:tc>
          <w:tcPr>
            <w:tcW w:w="1454" w:type="dxa"/>
            <w:tcBorders>
              <w:top w:val="single" w:sz="18" w:space="0" w:color="C0504D" w:themeColor="accent2"/>
              <w:left w:val="single" w:sz="8" w:space="0" w:color="0070C0"/>
              <w:bottom w:val="single" w:sz="4" w:space="0" w:color="auto"/>
              <w:right w:val="single" w:sz="8" w:space="0" w:color="0070C0"/>
            </w:tcBorders>
            <w:shd w:val="clear" w:color="auto" w:fill="D6E3BC" w:themeFill="accent3" w:themeFillTint="66"/>
            <w:vAlign w:val="center"/>
          </w:tcPr>
          <w:p w14:paraId="3ECC5A49" w14:textId="1D718855"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111</w:t>
            </w:r>
          </w:p>
        </w:tc>
        <w:tc>
          <w:tcPr>
            <w:tcW w:w="1454" w:type="dxa"/>
            <w:tcBorders>
              <w:top w:val="single" w:sz="18" w:space="0" w:color="C0504D" w:themeColor="accent2"/>
              <w:left w:val="single" w:sz="8" w:space="0" w:color="0070C0"/>
              <w:bottom w:val="single" w:sz="4" w:space="0" w:color="auto"/>
              <w:right w:val="single" w:sz="8" w:space="0" w:color="0070C0"/>
            </w:tcBorders>
            <w:shd w:val="clear" w:color="auto" w:fill="EAF1DD" w:themeFill="accent3" w:themeFillTint="33"/>
            <w:vAlign w:val="center"/>
          </w:tcPr>
          <w:p w14:paraId="40B07936" w14:textId="5283210A"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102</w:t>
            </w:r>
          </w:p>
        </w:tc>
        <w:tc>
          <w:tcPr>
            <w:tcW w:w="1458" w:type="dxa"/>
            <w:tcBorders>
              <w:top w:val="single" w:sz="18" w:space="0" w:color="C0504D" w:themeColor="accent2"/>
              <w:left w:val="single" w:sz="8" w:space="0" w:color="0070C0"/>
              <w:bottom w:val="single" w:sz="4" w:space="0" w:color="auto"/>
              <w:right w:val="single" w:sz="12" w:space="0" w:color="000000"/>
            </w:tcBorders>
            <w:shd w:val="clear" w:color="auto" w:fill="D6E3BC" w:themeFill="accent3" w:themeFillTint="66"/>
            <w:vAlign w:val="center"/>
          </w:tcPr>
          <w:p w14:paraId="4D26EC86" w14:textId="6BA3EE5B"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115</w:t>
            </w:r>
          </w:p>
        </w:tc>
      </w:tr>
      <w:tr w:rsidR="00BD3269" w:rsidRPr="005D1511" w14:paraId="450621A1" w14:textId="77777777" w:rsidTr="000558DA">
        <w:tblPrEx>
          <w:tblBorders>
            <w:top w:val="none" w:sz="0" w:space="0" w:color="auto"/>
          </w:tblBorders>
        </w:tblPrEx>
        <w:trPr>
          <w:jc w:val="center"/>
        </w:trPr>
        <w:tc>
          <w:tcPr>
            <w:tcW w:w="2033" w:type="dxa"/>
            <w:tcBorders>
              <w:top w:val="single" w:sz="4" w:space="0" w:color="000000"/>
              <w:left w:val="single" w:sz="12" w:space="0" w:color="000000"/>
              <w:bottom w:val="single" w:sz="4" w:space="0" w:color="000000"/>
              <w:right w:val="single" w:sz="18" w:space="0" w:color="0070C0"/>
            </w:tcBorders>
            <w:vAlign w:val="center"/>
          </w:tcPr>
          <w:p w14:paraId="401660E2" w14:textId="358E4B7A" w:rsidR="00BD3269" w:rsidRPr="005D1511" w:rsidRDefault="00BD3269" w:rsidP="00120BB0">
            <w:pPr>
              <w:widowControl w:val="0"/>
              <w:tabs>
                <w:tab w:val="left" w:pos="220"/>
                <w:tab w:val="left" w:pos="720"/>
              </w:tabs>
              <w:autoSpaceDE w:val="0"/>
              <w:autoSpaceDN w:val="0"/>
              <w:contextualSpacing/>
              <w:mirrorIndents/>
              <w:rPr>
                <w:rFonts w:eastAsia="Times New Roman"/>
                <w:sz w:val="20"/>
                <w:szCs w:val="20"/>
              </w:rPr>
            </w:pPr>
            <w:r>
              <w:rPr>
                <w:rFonts w:eastAsia="Times New Roman"/>
                <w:sz w:val="20"/>
                <w:szCs w:val="20"/>
              </w:rPr>
              <w:t>TV</w:t>
            </w:r>
          </w:p>
        </w:tc>
        <w:tc>
          <w:tcPr>
            <w:tcW w:w="1454" w:type="dxa"/>
            <w:tcBorders>
              <w:top w:val="single" w:sz="4" w:space="0" w:color="auto"/>
              <w:left w:val="single" w:sz="18" w:space="0" w:color="0070C0"/>
              <w:bottom w:val="single" w:sz="4" w:space="0" w:color="000000"/>
              <w:right w:val="single" w:sz="8" w:space="0" w:color="0070C0"/>
            </w:tcBorders>
            <w:shd w:val="clear" w:color="auto" w:fill="F2DBDB" w:themeFill="accent2" w:themeFillTint="33"/>
            <w:vAlign w:val="center"/>
          </w:tcPr>
          <w:p w14:paraId="358F844F" w14:textId="0E59516F" w:rsidR="00BD3269" w:rsidRPr="005D1511" w:rsidRDefault="00B7068A" w:rsidP="00120BB0">
            <w:pPr>
              <w:widowControl w:val="0"/>
              <w:tabs>
                <w:tab w:val="left" w:pos="220"/>
                <w:tab w:val="left" w:pos="720"/>
              </w:tabs>
              <w:autoSpaceDE w:val="0"/>
              <w:autoSpaceDN w:val="0"/>
              <w:ind w:left="360"/>
              <w:contextualSpacing/>
              <w:mirrorIndents/>
              <w:jc w:val="right"/>
              <w:rPr>
                <w:rFonts w:eastAsia="Times New Roman"/>
                <w:sz w:val="20"/>
                <w:szCs w:val="20"/>
              </w:rPr>
            </w:pPr>
            <w:r>
              <w:rPr>
                <w:rFonts w:eastAsia="Times New Roman"/>
                <w:sz w:val="20"/>
                <w:szCs w:val="20"/>
              </w:rPr>
              <w:t>88</w:t>
            </w:r>
          </w:p>
        </w:tc>
        <w:tc>
          <w:tcPr>
            <w:tcW w:w="1454"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5DD3AC1B" w14:textId="76B4BDBB"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85</w:t>
            </w:r>
          </w:p>
        </w:tc>
        <w:tc>
          <w:tcPr>
            <w:tcW w:w="1454"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1C7E66BF" w14:textId="36CA3DFA"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96</w:t>
            </w:r>
          </w:p>
        </w:tc>
        <w:tc>
          <w:tcPr>
            <w:tcW w:w="1454"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3838662F" w14:textId="49964BC9"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88</w:t>
            </w:r>
          </w:p>
        </w:tc>
        <w:tc>
          <w:tcPr>
            <w:tcW w:w="1458"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66B4E6C6" w14:textId="0A47B820"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84</w:t>
            </w:r>
          </w:p>
        </w:tc>
      </w:tr>
      <w:tr w:rsidR="00BD3269" w:rsidRPr="005D1511" w14:paraId="73F8701D" w14:textId="77777777" w:rsidTr="000558DA">
        <w:tblPrEx>
          <w:tblBorders>
            <w:top w:val="none" w:sz="0" w:space="0" w:color="auto"/>
          </w:tblBorders>
        </w:tblPrEx>
        <w:trPr>
          <w:jc w:val="center"/>
        </w:trPr>
        <w:tc>
          <w:tcPr>
            <w:tcW w:w="2033" w:type="dxa"/>
            <w:tcBorders>
              <w:top w:val="single" w:sz="4" w:space="0" w:color="000000"/>
              <w:left w:val="single" w:sz="12" w:space="0" w:color="000000"/>
              <w:bottom w:val="single" w:sz="4" w:space="0" w:color="000000"/>
              <w:right w:val="single" w:sz="18" w:space="0" w:color="0070C0"/>
            </w:tcBorders>
            <w:vAlign w:val="center"/>
          </w:tcPr>
          <w:p w14:paraId="1F76DC85" w14:textId="39E9B438" w:rsidR="00BD3269" w:rsidRPr="005D1511" w:rsidRDefault="00BD3269" w:rsidP="00120BB0">
            <w:pPr>
              <w:widowControl w:val="0"/>
              <w:tabs>
                <w:tab w:val="left" w:pos="220"/>
                <w:tab w:val="left" w:pos="720"/>
              </w:tabs>
              <w:autoSpaceDE w:val="0"/>
              <w:autoSpaceDN w:val="0"/>
              <w:contextualSpacing/>
              <w:mirrorIndents/>
              <w:rPr>
                <w:rFonts w:eastAsia="Times New Roman"/>
                <w:sz w:val="20"/>
                <w:szCs w:val="20"/>
              </w:rPr>
            </w:pPr>
            <w:r>
              <w:rPr>
                <w:rFonts w:eastAsia="Times New Roman"/>
                <w:sz w:val="20"/>
                <w:szCs w:val="20"/>
              </w:rPr>
              <w:t>Newspaper</w:t>
            </w:r>
          </w:p>
        </w:tc>
        <w:tc>
          <w:tcPr>
            <w:tcW w:w="1454"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2DF6A279" w14:textId="526264AA" w:rsidR="00BD3269" w:rsidRPr="005D1511" w:rsidRDefault="00B7068A" w:rsidP="00120BB0">
            <w:pPr>
              <w:widowControl w:val="0"/>
              <w:tabs>
                <w:tab w:val="left" w:pos="220"/>
                <w:tab w:val="left" w:pos="720"/>
              </w:tabs>
              <w:autoSpaceDE w:val="0"/>
              <w:autoSpaceDN w:val="0"/>
              <w:ind w:left="360"/>
              <w:contextualSpacing/>
              <w:mirrorIndents/>
              <w:jc w:val="right"/>
              <w:rPr>
                <w:rFonts w:eastAsia="Times New Roman"/>
                <w:sz w:val="20"/>
                <w:szCs w:val="20"/>
              </w:rPr>
            </w:pPr>
            <w:r>
              <w:rPr>
                <w:rFonts w:eastAsia="Times New Roman"/>
                <w:sz w:val="20"/>
                <w:szCs w:val="20"/>
              </w:rPr>
              <w:t>102</w:t>
            </w:r>
          </w:p>
        </w:tc>
        <w:tc>
          <w:tcPr>
            <w:tcW w:w="1454" w:type="dxa"/>
            <w:tcBorders>
              <w:top w:val="single" w:sz="4" w:space="0" w:color="auto"/>
              <w:left w:val="single" w:sz="8" w:space="0" w:color="0070C0"/>
              <w:bottom w:val="single" w:sz="4" w:space="0" w:color="000000"/>
              <w:right w:val="single" w:sz="8" w:space="0" w:color="0070C0"/>
            </w:tcBorders>
            <w:shd w:val="clear" w:color="auto" w:fill="auto"/>
            <w:vAlign w:val="center"/>
          </w:tcPr>
          <w:p w14:paraId="69C3D2B9" w14:textId="681CF744"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100</w:t>
            </w:r>
          </w:p>
        </w:tc>
        <w:tc>
          <w:tcPr>
            <w:tcW w:w="1454"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1877EA16" w14:textId="49E6E238"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97</w:t>
            </w:r>
          </w:p>
        </w:tc>
        <w:tc>
          <w:tcPr>
            <w:tcW w:w="1454"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4B5C1087" w14:textId="5E3ECBF4"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108</w:t>
            </w:r>
          </w:p>
        </w:tc>
        <w:tc>
          <w:tcPr>
            <w:tcW w:w="1458"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25F2F046" w14:textId="011FB45B"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105</w:t>
            </w:r>
          </w:p>
        </w:tc>
      </w:tr>
      <w:tr w:rsidR="00BD3269" w:rsidRPr="005D1511" w14:paraId="4E357252" w14:textId="77777777" w:rsidTr="000558DA">
        <w:tblPrEx>
          <w:tblBorders>
            <w:top w:val="none" w:sz="0" w:space="0" w:color="auto"/>
          </w:tblBorders>
        </w:tblPrEx>
        <w:trPr>
          <w:jc w:val="center"/>
        </w:trPr>
        <w:tc>
          <w:tcPr>
            <w:tcW w:w="2033" w:type="dxa"/>
            <w:tcBorders>
              <w:top w:val="single" w:sz="4" w:space="0" w:color="000000"/>
              <w:left w:val="single" w:sz="12" w:space="0" w:color="000000"/>
              <w:bottom w:val="single" w:sz="4" w:space="0" w:color="000000"/>
              <w:right w:val="single" w:sz="18" w:space="0" w:color="0070C0"/>
            </w:tcBorders>
            <w:vAlign w:val="center"/>
          </w:tcPr>
          <w:p w14:paraId="707E9307" w14:textId="6F5F0519" w:rsidR="00BD3269" w:rsidRPr="005D1511" w:rsidRDefault="00BD3269" w:rsidP="00120BB0">
            <w:pPr>
              <w:widowControl w:val="0"/>
              <w:tabs>
                <w:tab w:val="left" w:pos="220"/>
                <w:tab w:val="left" w:pos="720"/>
              </w:tabs>
              <w:autoSpaceDE w:val="0"/>
              <w:autoSpaceDN w:val="0"/>
              <w:contextualSpacing/>
              <w:mirrorIndents/>
              <w:rPr>
                <w:rFonts w:eastAsia="Times New Roman"/>
                <w:sz w:val="20"/>
                <w:szCs w:val="20"/>
              </w:rPr>
            </w:pPr>
            <w:r>
              <w:rPr>
                <w:rFonts w:eastAsia="Times New Roman"/>
                <w:sz w:val="20"/>
                <w:szCs w:val="20"/>
              </w:rPr>
              <w:t>Outdoor</w:t>
            </w:r>
          </w:p>
        </w:tc>
        <w:tc>
          <w:tcPr>
            <w:tcW w:w="1454"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42DB6BE1" w14:textId="6733A04E" w:rsidR="00BD3269" w:rsidRPr="005D1511" w:rsidRDefault="00B7068A" w:rsidP="00120BB0">
            <w:pPr>
              <w:widowControl w:val="0"/>
              <w:tabs>
                <w:tab w:val="left" w:pos="220"/>
                <w:tab w:val="left" w:pos="720"/>
              </w:tabs>
              <w:autoSpaceDE w:val="0"/>
              <w:autoSpaceDN w:val="0"/>
              <w:ind w:left="360"/>
              <w:contextualSpacing/>
              <w:mirrorIndents/>
              <w:jc w:val="right"/>
              <w:rPr>
                <w:rFonts w:eastAsia="Times New Roman"/>
                <w:sz w:val="20"/>
                <w:szCs w:val="20"/>
              </w:rPr>
            </w:pPr>
            <w:r>
              <w:rPr>
                <w:rFonts w:eastAsia="Times New Roman"/>
                <w:sz w:val="20"/>
                <w:szCs w:val="20"/>
              </w:rPr>
              <w:t>113</w:t>
            </w:r>
          </w:p>
        </w:tc>
        <w:tc>
          <w:tcPr>
            <w:tcW w:w="1454"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76C665C9" w14:textId="6F02B6E7"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108</w:t>
            </w:r>
          </w:p>
        </w:tc>
        <w:tc>
          <w:tcPr>
            <w:tcW w:w="1454"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343BC210" w14:textId="5ACC519A"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113</w:t>
            </w:r>
          </w:p>
        </w:tc>
        <w:tc>
          <w:tcPr>
            <w:tcW w:w="1454"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7390A4F8" w14:textId="09F09B8A"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109</w:t>
            </w:r>
          </w:p>
        </w:tc>
        <w:tc>
          <w:tcPr>
            <w:tcW w:w="1458"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0F15B109" w14:textId="0050BEDB"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96</w:t>
            </w:r>
          </w:p>
        </w:tc>
      </w:tr>
      <w:tr w:rsidR="00BD3269" w:rsidRPr="005D1511" w14:paraId="7A268F82" w14:textId="77777777" w:rsidTr="000558DA">
        <w:tblPrEx>
          <w:tblBorders>
            <w:top w:val="none" w:sz="0" w:space="0" w:color="auto"/>
          </w:tblBorders>
        </w:tblPrEx>
        <w:trPr>
          <w:jc w:val="center"/>
        </w:trPr>
        <w:tc>
          <w:tcPr>
            <w:tcW w:w="2033" w:type="dxa"/>
            <w:tcBorders>
              <w:top w:val="single" w:sz="4" w:space="0" w:color="000000"/>
              <w:left w:val="single" w:sz="12" w:space="0" w:color="000000"/>
              <w:bottom w:val="single" w:sz="4" w:space="0" w:color="000000"/>
              <w:right w:val="single" w:sz="18" w:space="0" w:color="0070C0"/>
            </w:tcBorders>
            <w:vAlign w:val="center"/>
          </w:tcPr>
          <w:p w14:paraId="643BC117" w14:textId="2016805D" w:rsidR="00BD3269" w:rsidRPr="005D1511" w:rsidRDefault="00BD3269" w:rsidP="00120BB0">
            <w:pPr>
              <w:widowControl w:val="0"/>
              <w:tabs>
                <w:tab w:val="left" w:pos="220"/>
                <w:tab w:val="left" w:pos="720"/>
              </w:tabs>
              <w:autoSpaceDE w:val="0"/>
              <w:autoSpaceDN w:val="0"/>
              <w:contextualSpacing/>
              <w:mirrorIndents/>
              <w:rPr>
                <w:rFonts w:eastAsia="Times New Roman"/>
                <w:sz w:val="20"/>
                <w:szCs w:val="20"/>
              </w:rPr>
            </w:pPr>
            <w:r>
              <w:rPr>
                <w:rFonts w:eastAsia="Times New Roman"/>
                <w:sz w:val="20"/>
                <w:szCs w:val="20"/>
              </w:rPr>
              <w:t>Direct mail</w:t>
            </w:r>
          </w:p>
        </w:tc>
        <w:tc>
          <w:tcPr>
            <w:tcW w:w="1454" w:type="dxa"/>
            <w:tcBorders>
              <w:top w:val="single" w:sz="4" w:space="0" w:color="auto"/>
              <w:left w:val="single" w:sz="18" w:space="0" w:color="0070C0"/>
              <w:bottom w:val="single" w:sz="4" w:space="0" w:color="000000"/>
              <w:right w:val="single" w:sz="8" w:space="0" w:color="0070C0"/>
            </w:tcBorders>
            <w:shd w:val="clear" w:color="auto" w:fill="F2DBDB" w:themeFill="accent2" w:themeFillTint="33"/>
            <w:vAlign w:val="center"/>
          </w:tcPr>
          <w:p w14:paraId="636B7807" w14:textId="70D1E256" w:rsidR="00BD3269" w:rsidRPr="005D1511" w:rsidRDefault="00B7068A" w:rsidP="00120BB0">
            <w:pPr>
              <w:widowControl w:val="0"/>
              <w:tabs>
                <w:tab w:val="left" w:pos="220"/>
                <w:tab w:val="left" w:pos="720"/>
              </w:tabs>
              <w:autoSpaceDE w:val="0"/>
              <w:autoSpaceDN w:val="0"/>
              <w:ind w:left="360"/>
              <w:contextualSpacing/>
              <w:mirrorIndents/>
              <w:jc w:val="right"/>
              <w:rPr>
                <w:rFonts w:eastAsia="Times New Roman"/>
                <w:sz w:val="20"/>
                <w:szCs w:val="20"/>
              </w:rPr>
            </w:pPr>
            <w:r>
              <w:rPr>
                <w:rFonts w:eastAsia="Times New Roman"/>
                <w:sz w:val="20"/>
                <w:szCs w:val="20"/>
              </w:rPr>
              <w:t>81</w:t>
            </w:r>
          </w:p>
        </w:tc>
        <w:tc>
          <w:tcPr>
            <w:tcW w:w="1454"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2CE89B3B" w14:textId="6C162EED"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107</w:t>
            </w:r>
          </w:p>
        </w:tc>
        <w:tc>
          <w:tcPr>
            <w:tcW w:w="1454"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7297F57B" w14:textId="3C4F0923"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99</w:t>
            </w:r>
          </w:p>
        </w:tc>
        <w:tc>
          <w:tcPr>
            <w:tcW w:w="1454"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4AB161B9" w14:textId="0AA48603"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90</w:t>
            </w:r>
          </w:p>
        </w:tc>
        <w:tc>
          <w:tcPr>
            <w:tcW w:w="1458"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11FEE1BB" w14:textId="684A6BED"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105</w:t>
            </w:r>
          </w:p>
        </w:tc>
      </w:tr>
      <w:tr w:rsidR="00BD3269" w:rsidRPr="005D1511" w14:paraId="5D47EB28" w14:textId="77777777" w:rsidTr="000558DA">
        <w:tblPrEx>
          <w:tblBorders>
            <w:top w:val="none" w:sz="0" w:space="0" w:color="auto"/>
          </w:tblBorders>
        </w:tblPrEx>
        <w:trPr>
          <w:jc w:val="center"/>
        </w:trPr>
        <w:tc>
          <w:tcPr>
            <w:tcW w:w="2033" w:type="dxa"/>
            <w:tcBorders>
              <w:top w:val="single" w:sz="4" w:space="0" w:color="000000"/>
              <w:left w:val="single" w:sz="12" w:space="0" w:color="000000"/>
              <w:bottom w:val="single" w:sz="4" w:space="0" w:color="000000"/>
              <w:right w:val="single" w:sz="18" w:space="0" w:color="0070C0"/>
            </w:tcBorders>
            <w:vAlign w:val="center"/>
          </w:tcPr>
          <w:p w14:paraId="450BD72A" w14:textId="3B2D3BD4" w:rsidR="00BD3269" w:rsidRPr="005D1511" w:rsidRDefault="00BD3269" w:rsidP="00120BB0">
            <w:pPr>
              <w:widowControl w:val="0"/>
              <w:tabs>
                <w:tab w:val="left" w:pos="220"/>
                <w:tab w:val="left" w:pos="720"/>
              </w:tabs>
              <w:autoSpaceDE w:val="0"/>
              <w:autoSpaceDN w:val="0"/>
              <w:contextualSpacing/>
              <w:mirrorIndents/>
              <w:rPr>
                <w:rFonts w:eastAsia="Times New Roman"/>
                <w:sz w:val="20"/>
                <w:szCs w:val="20"/>
              </w:rPr>
            </w:pPr>
            <w:r>
              <w:rPr>
                <w:rFonts w:eastAsia="Times New Roman"/>
                <w:sz w:val="20"/>
                <w:szCs w:val="20"/>
              </w:rPr>
              <w:t>Internet</w:t>
            </w:r>
          </w:p>
        </w:tc>
        <w:tc>
          <w:tcPr>
            <w:tcW w:w="1454" w:type="dxa"/>
            <w:tcBorders>
              <w:top w:val="single" w:sz="4" w:space="0" w:color="auto"/>
              <w:left w:val="single" w:sz="18" w:space="0" w:color="0070C0"/>
              <w:bottom w:val="single" w:sz="4" w:space="0" w:color="000000"/>
              <w:right w:val="single" w:sz="8" w:space="0" w:color="0070C0"/>
            </w:tcBorders>
            <w:shd w:val="clear" w:color="auto" w:fill="F2DBDB" w:themeFill="accent2" w:themeFillTint="33"/>
            <w:vAlign w:val="center"/>
          </w:tcPr>
          <w:p w14:paraId="724A4AE2" w14:textId="5339C6A2" w:rsidR="00BD3269" w:rsidRPr="005D1511" w:rsidRDefault="00B7068A" w:rsidP="00120BB0">
            <w:pPr>
              <w:widowControl w:val="0"/>
              <w:tabs>
                <w:tab w:val="left" w:pos="220"/>
                <w:tab w:val="left" w:pos="720"/>
              </w:tabs>
              <w:autoSpaceDE w:val="0"/>
              <w:autoSpaceDN w:val="0"/>
              <w:ind w:left="360"/>
              <w:contextualSpacing/>
              <w:mirrorIndents/>
              <w:jc w:val="right"/>
              <w:rPr>
                <w:rFonts w:eastAsia="Times New Roman"/>
                <w:sz w:val="20"/>
                <w:szCs w:val="20"/>
              </w:rPr>
            </w:pPr>
            <w:r>
              <w:rPr>
                <w:rFonts w:eastAsia="Times New Roman"/>
                <w:sz w:val="20"/>
                <w:szCs w:val="20"/>
              </w:rPr>
              <w:t>92</w:t>
            </w:r>
          </w:p>
        </w:tc>
        <w:tc>
          <w:tcPr>
            <w:tcW w:w="1454"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2727BE22" w14:textId="34EB6298"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98</w:t>
            </w:r>
          </w:p>
        </w:tc>
        <w:tc>
          <w:tcPr>
            <w:tcW w:w="1454"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3AB5E5E9" w14:textId="15998CAD"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112</w:t>
            </w:r>
          </w:p>
        </w:tc>
        <w:tc>
          <w:tcPr>
            <w:tcW w:w="1454"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6F41E107" w14:textId="745B7228"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102</w:t>
            </w:r>
          </w:p>
        </w:tc>
        <w:tc>
          <w:tcPr>
            <w:tcW w:w="1458"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4D62AB06" w14:textId="2D35E304"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97</w:t>
            </w:r>
          </w:p>
        </w:tc>
      </w:tr>
      <w:tr w:rsidR="00BD3269" w:rsidRPr="005D1511" w14:paraId="23715190" w14:textId="77777777" w:rsidTr="000558DA">
        <w:tblPrEx>
          <w:tblBorders>
            <w:top w:val="none" w:sz="0" w:space="0" w:color="auto"/>
          </w:tblBorders>
        </w:tblPrEx>
        <w:trPr>
          <w:jc w:val="center"/>
        </w:trPr>
        <w:tc>
          <w:tcPr>
            <w:tcW w:w="2033" w:type="dxa"/>
            <w:tcBorders>
              <w:top w:val="single" w:sz="4" w:space="0" w:color="000000"/>
              <w:left w:val="single" w:sz="12" w:space="0" w:color="000000"/>
              <w:bottom w:val="single" w:sz="4" w:space="0" w:color="000000"/>
              <w:right w:val="single" w:sz="18" w:space="0" w:color="0070C0"/>
            </w:tcBorders>
            <w:vAlign w:val="center"/>
          </w:tcPr>
          <w:p w14:paraId="6C59DB3F" w14:textId="5694CDA5" w:rsidR="00BD3269" w:rsidRPr="005D1511" w:rsidRDefault="00BD3269" w:rsidP="00120BB0">
            <w:pPr>
              <w:widowControl w:val="0"/>
              <w:tabs>
                <w:tab w:val="left" w:pos="220"/>
                <w:tab w:val="left" w:pos="720"/>
              </w:tabs>
              <w:autoSpaceDE w:val="0"/>
              <w:autoSpaceDN w:val="0"/>
              <w:contextualSpacing/>
              <w:mirrorIndents/>
              <w:rPr>
                <w:rFonts w:eastAsia="Times New Roman"/>
                <w:sz w:val="20"/>
                <w:szCs w:val="20"/>
              </w:rPr>
            </w:pPr>
            <w:r>
              <w:rPr>
                <w:rFonts w:eastAsia="Times New Roman"/>
                <w:sz w:val="20"/>
                <w:szCs w:val="20"/>
              </w:rPr>
              <w:t>Social media</w:t>
            </w:r>
          </w:p>
        </w:tc>
        <w:tc>
          <w:tcPr>
            <w:tcW w:w="1454" w:type="dxa"/>
            <w:tcBorders>
              <w:top w:val="single" w:sz="4" w:space="0" w:color="auto"/>
              <w:left w:val="single" w:sz="18" w:space="0" w:color="0070C0"/>
              <w:bottom w:val="single" w:sz="4" w:space="0" w:color="000000"/>
              <w:right w:val="single" w:sz="8" w:space="0" w:color="0070C0"/>
            </w:tcBorders>
            <w:shd w:val="clear" w:color="auto" w:fill="F2F2F2" w:themeFill="background1" w:themeFillShade="F2"/>
            <w:vAlign w:val="center"/>
          </w:tcPr>
          <w:p w14:paraId="4E3CFA05" w14:textId="360ABB9F" w:rsidR="00BD3269" w:rsidRPr="005D1511" w:rsidRDefault="00B7068A" w:rsidP="00120BB0">
            <w:pPr>
              <w:widowControl w:val="0"/>
              <w:tabs>
                <w:tab w:val="left" w:pos="220"/>
                <w:tab w:val="left" w:pos="720"/>
              </w:tabs>
              <w:autoSpaceDE w:val="0"/>
              <w:autoSpaceDN w:val="0"/>
              <w:ind w:left="360"/>
              <w:contextualSpacing/>
              <w:mirrorIndents/>
              <w:jc w:val="right"/>
              <w:rPr>
                <w:rFonts w:eastAsia="Times New Roman"/>
                <w:sz w:val="20"/>
                <w:szCs w:val="20"/>
              </w:rPr>
            </w:pPr>
            <w:r>
              <w:rPr>
                <w:rFonts w:eastAsia="Times New Roman"/>
                <w:sz w:val="20"/>
                <w:szCs w:val="20"/>
              </w:rPr>
              <w:t>100</w:t>
            </w:r>
          </w:p>
        </w:tc>
        <w:tc>
          <w:tcPr>
            <w:tcW w:w="1454"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14506EA8" w14:textId="76917D1C"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102</w:t>
            </w:r>
          </w:p>
        </w:tc>
        <w:tc>
          <w:tcPr>
            <w:tcW w:w="1454"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6CB1D887" w14:textId="39B564B7"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119</w:t>
            </w:r>
          </w:p>
        </w:tc>
        <w:tc>
          <w:tcPr>
            <w:tcW w:w="1454" w:type="dxa"/>
            <w:tcBorders>
              <w:top w:val="single" w:sz="4" w:space="0" w:color="auto"/>
              <w:left w:val="single" w:sz="8" w:space="0" w:color="0070C0"/>
              <w:bottom w:val="single" w:sz="4" w:space="0" w:color="000000"/>
              <w:right w:val="single" w:sz="8" w:space="0" w:color="0070C0"/>
            </w:tcBorders>
            <w:shd w:val="clear" w:color="auto" w:fill="F2F2F2" w:themeFill="background1" w:themeFillShade="F2"/>
            <w:vAlign w:val="center"/>
          </w:tcPr>
          <w:p w14:paraId="7DCCA767" w14:textId="24B5E458"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100</w:t>
            </w:r>
          </w:p>
        </w:tc>
        <w:tc>
          <w:tcPr>
            <w:tcW w:w="1458"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2F3F1E11" w14:textId="03D6FC87"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98</w:t>
            </w:r>
          </w:p>
        </w:tc>
      </w:tr>
      <w:tr w:rsidR="00BD3269" w:rsidRPr="005D1511" w14:paraId="115D8E58" w14:textId="77777777" w:rsidTr="000558DA">
        <w:tblPrEx>
          <w:tblBorders>
            <w:top w:val="none" w:sz="0" w:space="0" w:color="auto"/>
          </w:tblBorders>
        </w:tblPrEx>
        <w:trPr>
          <w:jc w:val="center"/>
        </w:trPr>
        <w:tc>
          <w:tcPr>
            <w:tcW w:w="2033" w:type="dxa"/>
            <w:tcBorders>
              <w:top w:val="single" w:sz="4" w:space="0" w:color="000000"/>
              <w:left w:val="single" w:sz="12" w:space="0" w:color="000000"/>
              <w:bottom w:val="single" w:sz="4" w:space="0" w:color="000000"/>
              <w:right w:val="single" w:sz="18" w:space="0" w:color="0070C0"/>
            </w:tcBorders>
            <w:vAlign w:val="center"/>
          </w:tcPr>
          <w:p w14:paraId="17450651" w14:textId="240CCBB2" w:rsidR="00BD3269" w:rsidRPr="005D1511" w:rsidRDefault="00BD3269" w:rsidP="00120BB0">
            <w:pPr>
              <w:widowControl w:val="0"/>
              <w:tabs>
                <w:tab w:val="left" w:pos="220"/>
                <w:tab w:val="left" w:pos="720"/>
              </w:tabs>
              <w:autoSpaceDE w:val="0"/>
              <w:autoSpaceDN w:val="0"/>
              <w:contextualSpacing/>
              <w:mirrorIndents/>
              <w:rPr>
                <w:rFonts w:eastAsia="Times New Roman"/>
                <w:sz w:val="20"/>
                <w:szCs w:val="20"/>
              </w:rPr>
            </w:pPr>
            <w:r>
              <w:rPr>
                <w:rFonts w:eastAsia="Times New Roman"/>
                <w:sz w:val="20"/>
                <w:szCs w:val="20"/>
              </w:rPr>
              <w:t>Audio streaming</w:t>
            </w:r>
          </w:p>
        </w:tc>
        <w:tc>
          <w:tcPr>
            <w:tcW w:w="1454"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4E100952" w14:textId="15588787"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102</w:t>
            </w:r>
          </w:p>
        </w:tc>
        <w:tc>
          <w:tcPr>
            <w:tcW w:w="1454"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58427BF5" w14:textId="6F5D83DF"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102</w:t>
            </w:r>
          </w:p>
        </w:tc>
        <w:tc>
          <w:tcPr>
            <w:tcW w:w="1454"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099A58CC" w14:textId="37D10B21"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123</w:t>
            </w:r>
          </w:p>
        </w:tc>
        <w:tc>
          <w:tcPr>
            <w:tcW w:w="1454"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014D4814" w14:textId="704E2C79"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83</w:t>
            </w:r>
          </w:p>
        </w:tc>
        <w:tc>
          <w:tcPr>
            <w:tcW w:w="1458"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0CD2E310" w14:textId="7E840AEE"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102</w:t>
            </w:r>
          </w:p>
        </w:tc>
      </w:tr>
      <w:tr w:rsidR="00BD3269" w:rsidRPr="005D1511" w14:paraId="441456C3" w14:textId="77777777" w:rsidTr="000558DA">
        <w:tblPrEx>
          <w:tblBorders>
            <w:top w:val="none" w:sz="0" w:space="0" w:color="auto"/>
          </w:tblBorders>
        </w:tblPrEx>
        <w:trPr>
          <w:jc w:val="center"/>
        </w:trPr>
        <w:tc>
          <w:tcPr>
            <w:tcW w:w="2033" w:type="dxa"/>
            <w:tcBorders>
              <w:top w:val="single" w:sz="4" w:space="0" w:color="000000"/>
              <w:left w:val="single" w:sz="12" w:space="0" w:color="000000"/>
              <w:bottom w:val="single" w:sz="4" w:space="0" w:color="000000"/>
              <w:right w:val="single" w:sz="18" w:space="0" w:color="0070C0"/>
            </w:tcBorders>
            <w:vAlign w:val="center"/>
          </w:tcPr>
          <w:p w14:paraId="4D2A876B" w14:textId="5D7BC72E" w:rsidR="00BD3269" w:rsidRPr="005D1511" w:rsidRDefault="00BD3269" w:rsidP="00120BB0">
            <w:pPr>
              <w:widowControl w:val="0"/>
              <w:tabs>
                <w:tab w:val="left" w:pos="220"/>
                <w:tab w:val="left" w:pos="720"/>
              </w:tabs>
              <w:autoSpaceDE w:val="0"/>
              <w:autoSpaceDN w:val="0"/>
              <w:contextualSpacing/>
              <w:mirrorIndents/>
              <w:rPr>
                <w:rFonts w:eastAsia="Times New Roman"/>
                <w:sz w:val="20"/>
                <w:szCs w:val="20"/>
              </w:rPr>
            </w:pPr>
            <w:r>
              <w:rPr>
                <w:rFonts w:eastAsia="Times New Roman"/>
                <w:sz w:val="20"/>
                <w:szCs w:val="20"/>
              </w:rPr>
              <w:t>Podcast listening</w:t>
            </w:r>
          </w:p>
        </w:tc>
        <w:tc>
          <w:tcPr>
            <w:tcW w:w="1454"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7399F3F7" w14:textId="4B8B35DE"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130</w:t>
            </w:r>
          </w:p>
        </w:tc>
        <w:tc>
          <w:tcPr>
            <w:tcW w:w="1454"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74313606" w14:textId="3A3D5155"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107</w:t>
            </w:r>
          </w:p>
        </w:tc>
        <w:tc>
          <w:tcPr>
            <w:tcW w:w="1454"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1EF28895" w14:textId="031C28C2"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129</w:t>
            </w:r>
          </w:p>
        </w:tc>
        <w:tc>
          <w:tcPr>
            <w:tcW w:w="1454"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596E6E1B" w14:textId="78F0516E"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107</w:t>
            </w:r>
          </w:p>
        </w:tc>
        <w:tc>
          <w:tcPr>
            <w:tcW w:w="145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7C82E190" w14:textId="5C4F6FB4"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122</w:t>
            </w:r>
          </w:p>
        </w:tc>
      </w:tr>
      <w:tr w:rsidR="00BD3269" w:rsidRPr="005D1511" w14:paraId="1C20A202" w14:textId="77777777" w:rsidTr="000558DA">
        <w:tblPrEx>
          <w:tblBorders>
            <w:top w:val="none" w:sz="0" w:space="0" w:color="auto"/>
          </w:tblBorders>
        </w:tblPrEx>
        <w:trPr>
          <w:jc w:val="center"/>
        </w:trPr>
        <w:tc>
          <w:tcPr>
            <w:tcW w:w="2033" w:type="dxa"/>
            <w:tcBorders>
              <w:top w:val="single" w:sz="4" w:space="0" w:color="000000"/>
              <w:left w:val="single" w:sz="12" w:space="0" w:color="000000"/>
              <w:bottom w:val="single" w:sz="12" w:space="0" w:color="auto"/>
              <w:right w:val="single" w:sz="18" w:space="0" w:color="0070C0"/>
            </w:tcBorders>
            <w:vAlign w:val="center"/>
          </w:tcPr>
          <w:p w14:paraId="5B513DA5" w14:textId="1FCBD2FE" w:rsidR="00BD3269" w:rsidRPr="005D1511" w:rsidRDefault="00BD3269" w:rsidP="00120BB0">
            <w:pPr>
              <w:widowControl w:val="0"/>
              <w:tabs>
                <w:tab w:val="left" w:pos="220"/>
                <w:tab w:val="left" w:pos="720"/>
              </w:tabs>
              <w:autoSpaceDE w:val="0"/>
              <w:autoSpaceDN w:val="0"/>
              <w:contextualSpacing/>
              <w:mirrorIndents/>
              <w:rPr>
                <w:rFonts w:eastAsia="Times New Roman"/>
                <w:sz w:val="20"/>
                <w:szCs w:val="20"/>
              </w:rPr>
            </w:pPr>
            <w:r>
              <w:rPr>
                <w:rFonts w:eastAsia="Times New Roman"/>
                <w:sz w:val="20"/>
                <w:szCs w:val="20"/>
              </w:rPr>
              <w:t>Video streaming</w:t>
            </w:r>
          </w:p>
        </w:tc>
        <w:tc>
          <w:tcPr>
            <w:tcW w:w="1454" w:type="dxa"/>
            <w:tcBorders>
              <w:top w:val="single" w:sz="4" w:space="0" w:color="000000"/>
              <w:left w:val="single" w:sz="18" w:space="0" w:color="0070C0"/>
              <w:bottom w:val="single" w:sz="12" w:space="0" w:color="auto"/>
              <w:right w:val="single" w:sz="8" w:space="0" w:color="0070C0"/>
            </w:tcBorders>
            <w:shd w:val="clear" w:color="auto" w:fill="auto"/>
            <w:vAlign w:val="center"/>
          </w:tcPr>
          <w:p w14:paraId="56B6D5BB" w14:textId="3216CEBB"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100</w:t>
            </w:r>
          </w:p>
        </w:tc>
        <w:tc>
          <w:tcPr>
            <w:tcW w:w="1454" w:type="dxa"/>
            <w:tcBorders>
              <w:top w:val="single" w:sz="4" w:space="0" w:color="000000"/>
              <w:left w:val="single" w:sz="8" w:space="0" w:color="0070C0"/>
              <w:bottom w:val="single" w:sz="12" w:space="0" w:color="auto"/>
              <w:right w:val="single" w:sz="8" w:space="0" w:color="0070C0"/>
            </w:tcBorders>
            <w:shd w:val="clear" w:color="auto" w:fill="EAF1DD" w:themeFill="accent3" w:themeFillTint="33"/>
            <w:vAlign w:val="center"/>
          </w:tcPr>
          <w:p w14:paraId="3F324B43" w14:textId="2A5EBEF3"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104</w:t>
            </w:r>
          </w:p>
        </w:tc>
        <w:tc>
          <w:tcPr>
            <w:tcW w:w="1454" w:type="dxa"/>
            <w:tcBorders>
              <w:top w:val="single" w:sz="4" w:space="0" w:color="000000"/>
              <w:left w:val="single" w:sz="8" w:space="0" w:color="0070C0"/>
              <w:bottom w:val="single" w:sz="12" w:space="0" w:color="auto"/>
              <w:right w:val="single" w:sz="8" w:space="0" w:color="0070C0"/>
            </w:tcBorders>
            <w:shd w:val="clear" w:color="auto" w:fill="D6E3BC" w:themeFill="accent3" w:themeFillTint="66"/>
            <w:vAlign w:val="center"/>
          </w:tcPr>
          <w:p w14:paraId="077E2B80" w14:textId="34A9796C"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116</w:t>
            </w:r>
          </w:p>
        </w:tc>
        <w:tc>
          <w:tcPr>
            <w:tcW w:w="1454" w:type="dxa"/>
            <w:tcBorders>
              <w:top w:val="single" w:sz="4" w:space="0" w:color="000000"/>
              <w:left w:val="single" w:sz="8" w:space="0" w:color="0070C0"/>
              <w:bottom w:val="single" w:sz="12" w:space="0" w:color="auto"/>
              <w:right w:val="single" w:sz="8" w:space="0" w:color="0070C0"/>
            </w:tcBorders>
            <w:shd w:val="clear" w:color="auto" w:fill="EAF1DD" w:themeFill="accent3" w:themeFillTint="33"/>
            <w:vAlign w:val="center"/>
          </w:tcPr>
          <w:p w14:paraId="0E577F08" w14:textId="29506CBE"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107</w:t>
            </w:r>
          </w:p>
        </w:tc>
        <w:tc>
          <w:tcPr>
            <w:tcW w:w="1458" w:type="dxa"/>
            <w:tcBorders>
              <w:top w:val="single" w:sz="4" w:space="0" w:color="000000"/>
              <w:left w:val="single" w:sz="8" w:space="0" w:color="0070C0"/>
              <w:bottom w:val="single" w:sz="12" w:space="0" w:color="auto"/>
              <w:right w:val="single" w:sz="12" w:space="0" w:color="000000"/>
            </w:tcBorders>
            <w:shd w:val="clear" w:color="auto" w:fill="D6E3BC" w:themeFill="accent3" w:themeFillTint="66"/>
            <w:vAlign w:val="center"/>
          </w:tcPr>
          <w:p w14:paraId="4DB10BDB" w14:textId="410D9442" w:rsidR="00BD3269" w:rsidRPr="005D1511" w:rsidRDefault="00B7068A" w:rsidP="00120BB0">
            <w:pPr>
              <w:widowControl w:val="0"/>
              <w:numPr>
                <w:ilvl w:val="0"/>
                <w:numId w:val="1"/>
              </w:numPr>
              <w:tabs>
                <w:tab w:val="left" w:pos="220"/>
                <w:tab w:val="left" w:pos="720"/>
              </w:tabs>
              <w:autoSpaceDE w:val="0"/>
              <w:autoSpaceDN w:val="0"/>
              <w:ind w:left="0" w:firstLine="0"/>
              <w:contextualSpacing/>
              <w:mirrorIndents/>
              <w:jc w:val="right"/>
              <w:rPr>
                <w:rFonts w:eastAsia="Times New Roman"/>
                <w:sz w:val="20"/>
                <w:szCs w:val="20"/>
              </w:rPr>
            </w:pPr>
            <w:r>
              <w:rPr>
                <w:rFonts w:eastAsia="Times New Roman"/>
                <w:sz w:val="20"/>
                <w:szCs w:val="20"/>
              </w:rPr>
              <w:t>113</w:t>
            </w:r>
          </w:p>
        </w:tc>
      </w:tr>
    </w:tbl>
    <w:p w14:paraId="78E679E8" w14:textId="1CF442AF" w:rsidR="00F94CE8" w:rsidRDefault="00BD3269" w:rsidP="00F94CE8">
      <w:pPr>
        <w:pStyle w:val="NoSpacing"/>
        <w:contextualSpacing/>
        <w:rPr>
          <w:sz w:val="20"/>
          <w:szCs w:val="20"/>
        </w:rPr>
      </w:pPr>
      <w:r w:rsidRPr="005D1511">
        <w:rPr>
          <w:sz w:val="16"/>
          <w:szCs w:val="16"/>
        </w:rPr>
        <w:t xml:space="preserve">Based on The Media Audit’s </w:t>
      </w:r>
      <w:r w:rsidR="00B7068A">
        <w:rPr>
          <w:sz w:val="16"/>
          <w:szCs w:val="16"/>
        </w:rPr>
        <w:t>2021 consumer/market surveys</w:t>
      </w:r>
      <w:r w:rsidR="00B7068A">
        <w:rPr>
          <w:sz w:val="16"/>
          <w:szCs w:val="16"/>
        </w:rPr>
        <w:tab/>
        <w:t>*See table below.</w:t>
      </w:r>
    </w:p>
    <w:p w14:paraId="6DC49CD3" w14:textId="77777777" w:rsidR="00F94CE8" w:rsidRDefault="00F94CE8" w:rsidP="00F94CE8">
      <w:pPr>
        <w:pStyle w:val="NoSpacing"/>
        <w:contextualSpacing/>
        <w:rPr>
          <w:sz w:val="20"/>
          <w:szCs w:val="20"/>
        </w:rPr>
      </w:pPr>
    </w:p>
    <w:p w14:paraId="2AC14BFB" w14:textId="77777777" w:rsidR="00F94CE8" w:rsidRDefault="00F94CE8" w:rsidP="00F94CE8">
      <w:pPr>
        <w:pStyle w:val="NoSpacing"/>
        <w:contextualSpacing/>
        <w:rPr>
          <w:sz w:val="20"/>
          <w:szCs w:val="20"/>
        </w:rPr>
      </w:pPr>
    </w:p>
    <w:p w14:paraId="11564861" w14:textId="77777777" w:rsidR="004834B9" w:rsidRPr="007F1120" w:rsidRDefault="004834B9" w:rsidP="004834B9">
      <w:pPr>
        <w:pStyle w:val="Header"/>
        <w:contextualSpacing/>
        <w:jc w:val="center"/>
        <w:rPr>
          <w:b/>
          <w:sz w:val="20"/>
          <w:szCs w:val="20"/>
        </w:rPr>
      </w:pPr>
      <w:r>
        <w:rPr>
          <w:b/>
          <w:sz w:val="20"/>
          <w:szCs w:val="20"/>
        </w:rPr>
        <w:t>The Media Audit: Heavy Exposure to Media</w:t>
      </w:r>
      <w:r w:rsidRPr="007F1120">
        <w:rPr>
          <w:rFonts w:ascii="Verdana" w:hAnsi="Verdana"/>
          <w:b/>
          <w:sz w:val="20"/>
          <w:szCs w:val="20"/>
        </w:rPr>
        <w:t>,</w:t>
      </w:r>
      <w:r w:rsidRPr="007F1120">
        <w:rPr>
          <w:b/>
          <w:sz w:val="20"/>
          <w:szCs w:val="20"/>
        </w:rPr>
        <w:t xml:space="preserve"> </w:t>
      </w:r>
      <w:r>
        <w:rPr>
          <w:b/>
          <w:sz w:val="20"/>
          <w:szCs w:val="20"/>
        </w:rPr>
        <w:t>2021</w:t>
      </w:r>
    </w:p>
    <w:tbl>
      <w:tblPr>
        <w:tblW w:w="4935" w:type="dxa"/>
        <w:jc w:val="center"/>
        <w:tblBorders>
          <w:left w:val="single" w:sz="8" w:space="0" w:color="000000"/>
          <w:right w:val="single" w:sz="8" w:space="0" w:color="000000"/>
        </w:tblBorders>
        <w:tblLayout w:type="fixed"/>
        <w:tblLook w:val="0000" w:firstRow="0" w:lastRow="0" w:firstColumn="0" w:lastColumn="0" w:noHBand="0" w:noVBand="0"/>
      </w:tblPr>
      <w:tblGrid>
        <w:gridCol w:w="1635"/>
        <w:gridCol w:w="3300"/>
      </w:tblGrid>
      <w:tr w:rsidR="004834B9" w:rsidRPr="007F1120" w14:paraId="30C0F5C6" w14:textId="77777777" w:rsidTr="00120BB0">
        <w:trPr>
          <w:jc w:val="center"/>
        </w:trPr>
        <w:tc>
          <w:tcPr>
            <w:tcW w:w="1635"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36235AF9" w14:textId="77777777" w:rsidR="004834B9" w:rsidRPr="00294183" w:rsidRDefault="004834B9" w:rsidP="00120BB0">
            <w:pPr>
              <w:widowControl w:val="0"/>
              <w:tabs>
                <w:tab w:val="left" w:pos="220"/>
                <w:tab w:val="left" w:pos="720"/>
              </w:tabs>
              <w:autoSpaceDE w:val="0"/>
              <w:autoSpaceDN w:val="0"/>
              <w:adjustRightInd w:val="0"/>
              <w:contextualSpacing/>
              <w:jc w:val="center"/>
              <w:rPr>
                <w:rFonts w:ascii="Verdana" w:eastAsia="Times New Roman" w:hAnsi="Verdana"/>
                <w:sz w:val="16"/>
                <w:szCs w:val="16"/>
              </w:rPr>
            </w:pPr>
            <w:r w:rsidRPr="00294183">
              <w:rPr>
                <w:rFonts w:ascii="Verdana" w:eastAsia="Times New Roman" w:hAnsi="Verdana"/>
                <w:sz w:val="16"/>
                <w:szCs w:val="16"/>
              </w:rPr>
              <w:t>Media</w:t>
            </w:r>
          </w:p>
        </w:tc>
        <w:tc>
          <w:tcPr>
            <w:tcW w:w="3300" w:type="dxa"/>
            <w:tcBorders>
              <w:top w:val="single" w:sz="12" w:space="0" w:color="000000"/>
              <w:left w:val="single" w:sz="8" w:space="0" w:color="0070C0"/>
              <w:bottom w:val="single" w:sz="18" w:space="0" w:color="C0504D" w:themeColor="accent2"/>
              <w:right w:val="single" w:sz="12" w:space="0" w:color="auto"/>
            </w:tcBorders>
            <w:shd w:val="clear" w:color="auto" w:fill="auto"/>
            <w:vAlign w:val="center"/>
          </w:tcPr>
          <w:p w14:paraId="0565E2F8" w14:textId="77777777" w:rsidR="004834B9" w:rsidRPr="00294183" w:rsidRDefault="004834B9" w:rsidP="00120BB0">
            <w:pPr>
              <w:widowControl w:val="0"/>
              <w:tabs>
                <w:tab w:val="left" w:pos="220"/>
                <w:tab w:val="left" w:pos="720"/>
              </w:tabs>
              <w:autoSpaceDE w:val="0"/>
              <w:autoSpaceDN w:val="0"/>
              <w:adjustRightInd w:val="0"/>
              <w:contextualSpacing/>
              <w:jc w:val="center"/>
              <w:rPr>
                <w:rFonts w:ascii="Verdana" w:eastAsia="Times New Roman" w:hAnsi="Verdana"/>
                <w:sz w:val="16"/>
                <w:szCs w:val="16"/>
              </w:rPr>
            </w:pPr>
            <w:r w:rsidRPr="00294183">
              <w:rPr>
                <w:rFonts w:ascii="Verdana" w:eastAsia="Times New Roman" w:hAnsi="Verdana"/>
                <w:sz w:val="16"/>
                <w:szCs w:val="16"/>
              </w:rPr>
              <w:t>Time</w:t>
            </w:r>
          </w:p>
        </w:tc>
      </w:tr>
      <w:tr w:rsidR="004834B9" w:rsidRPr="007F1120" w14:paraId="218A9CAA" w14:textId="77777777" w:rsidTr="00120BB0">
        <w:trPr>
          <w:trHeight w:val="243"/>
          <w:jc w:val="center"/>
        </w:trPr>
        <w:tc>
          <w:tcPr>
            <w:tcW w:w="1635"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75A170D0" w14:textId="77777777" w:rsidR="004834B9" w:rsidRPr="00294183" w:rsidRDefault="004834B9" w:rsidP="00120BB0">
            <w:pPr>
              <w:widowControl w:val="0"/>
              <w:tabs>
                <w:tab w:val="left" w:pos="220"/>
                <w:tab w:val="left" w:pos="720"/>
              </w:tabs>
              <w:autoSpaceDE w:val="0"/>
              <w:autoSpaceDN w:val="0"/>
              <w:adjustRightInd w:val="0"/>
              <w:contextualSpacing/>
              <w:rPr>
                <w:rFonts w:ascii="Verdana" w:eastAsia="Times New Roman" w:hAnsi="Verdana"/>
                <w:sz w:val="16"/>
                <w:szCs w:val="16"/>
              </w:rPr>
            </w:pPr>
            <w:r w:rsidRPr="00294183">
              <w:rPr>
                <w:rFonts w:ascii="Verdana" w:eastAsia="Times New Roman" w:hAnsi="Verdana"/>
                <w:sz w:val="16"/>
                <w:szCs w:val="16"/>
              </w:rPr>
              <w:t>Radio</w:t>
            </w:r>
          </w:p>
        </w:tc>
        <w:tc>
          <w:tcPr>
            <w:tcW w:w="3300" w:type="dxa"/>
            <w:tcBorders>
              <w:top w:val="single" w:sz="18" w:space="0" w:color="C0504D" w:themeColor="accent2"/>
              <w:left w:val="single" w:sz="8" w:space="0" w:color="0070C0"/>
              <w:bottom w:val="single" w:sz="4" w:space="0" w:color="auto"/>
              <w:right w:val="single" w:sz="12" w:space="0" w:color="auto"/>
            </w:tcBorders>
            <w:shd w:val="clear" w:color="auto" w:fill="auto"/>
            <w:vAlign w:val="center"/>
          </w:tcPr>
          <w:p w14:paraId="4D71CB21" w14:textId="77777777" w:rsidR="004834B9" w:rsidRPr="00294183" w:rsidRDefault="004834B9" w:rsidP="00120BB0">
            <w:pPr>
              <w:widowControl w:val="0"/>
              <w:tabs>
                <w:tab w:val="left" w:pos="220"/>
                <w:tab w:val="left" w:pos="720"/>
              </w:tabs>
              <w:autoSpaceDE w:val="0"/>
              <w:autoSpaceDN w:val="0"/>
              <w:adjustRightInd w:val="0"/>
              <w:contextualSpacing/>
              <w:rPr>
                <w:rFonts w:ascii="Verdana" w:eastAsia="Times New Roman" w:hAnsi="Verdana"/>
                <w:sz w:val="16"/>
                <w:szCs w:val="16"/>
              </w:rPr>
            </w:pPr>
            <w:r w:rsidRPr="00294183">
              <w:rPr>
                <w:rFonts w:ascii="Verdana" w:eastAsia="Times New Roman" w:hAnsi="Verdana"/>
                <w:sz w:val="16"/>
                <w:szCs w:val="16"/>
              </w:rPr>
              <w:t>180+ minutes during an average day</w:t>
            </w:r>
          </w:p>
        </w:tc>
      </w:tr>
      <w:tr w:rsidR="004834B9" w:rsidRPr="007F1120" w14:paraId="28062200" w14:textId="77777777" w:rsidTr="00120BB0">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5DA8D9E8" w14:textId="77777777" w:rsidR="004834B9" w:rsidRPr="00294183" w:rsidRDefault="004834B9" w:rsidP="00120BB0">
            <w:pPr>
              <w:widowControl w:val="0"/>
              <w:tabs>
                <w:tab w:val="left" w:pos="220"/>
                <w:tab w:val="left" w:pos="720"/>
              </w:tabs>
              <w:autoSpaceDE w:val="0"/>
              <w:autoSpaceDN w:val="0"/>
              <w:adjustRightInd w:val="0"/>
              <w:contextualSpacing/>
              <w:rPr>
                <w:rFonts w:ascii="Verdana" w:eastAsia="Times New Roman" w:hAnsi="Verdana"/>
                <w:sz w:val="16"/>
                <w:szCs w:val="16"/>
              </w:rPr>
            </w:pPr>
            <w:r w:rsidRPr="00294183">
              <w:rPr>
                <w:rFonts w:ascii="Verdana" w:eastAsia="Times New Roman" w:hAnsi="Verdana"/>
                <w:sz w:val="16"/>
                <w:szCs w:val="16"/>
              </w:rPr>
              <w:t>TV</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31BC834E" w14:textId="77777777" w:rsidR="004834B9" w:rsidRPr="00294183" w:rsidRDefault="004834B9" w:rsidP="00120BB0">
            <w:pPr>
              <w:widowControl w:val="0"/>
              <w:tabs>
                <w:tab w:val="left" w:pos="220"/>
                <w:tab w:val="left" w:pos="720"/>
              </w:tabs>
              <w:autoSpaceDE w:val="0"/>
              <w:autoSpaceDN w:val="0"/>
              <w:adjustRightInd w:val="0"/>
              <w:contextualSpacing/>
              <w:rPr>
                <w:rFonts w:ascii="Verdana" w:eastAsia="Times New Roman" w:hAnsi="Verdana"/>
                <w:sz w:val="16"/>
                <w:szCs w:val="16"/>
              </w:rPr>
            </w:pPr>
            <w:r w:rsidRPr="00294183">
              <w:rPr>
                <w:rFonts w:ascii="Verdana" w:eastAsia="Times New Roman" w:hAnsi="Verdana"/>
                <w:sz w:val="16"/>
                <w:szCs w:val="16"/>
              </w:rPr>
              <w:t>300+ minutes during an average day</w:t>
            </w:r>
          </w:p>
        </w:tc>
      </w:tr>
      <w:tr w:rsidR="004834B9" w:rsidRPr="007F1120" w14:paraId="00957BB7" w14:textId="77777777" w:rsidTr="00120BB0">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0E532B9A" w14:textId="77777777" w:rsidR="004834B9" w:rsidRPr="00294183" w:rsidRDefault="004834B9" w:rsidP="00120BB0">
            <w:pPr>
              <w:widowControl w:val="0"/>
              <w:tabs>
                <w:tab w:val="left" w:pos="220"/>
                <w:tab w:val="left" w:pos="720"/>
              </w:tabs>
              <w:autoSpaceDE w:val="0"/>
              <w:autoSpaceDN w:val="0"/>
              <w:adjustRightInd w:val="0"/>
              <w:contextualSpacing/>
              <w:rPr>
                <w:rFonts w:ascii="Verdana" w:eastAsia="Times New Roman" w:hAnsi="Verdana"/>
                <w:sz w:val="16"/>
                <w:szCs w:val="16"/>
              </w:rPr>
            </w:pPr>
            <w:r w:rsidRPr="00294183">
              <w:rPr>
                <w:rFonts w:ascii="Verdana" w:eastAsia="Times New Roman" w:hAnsi="Verdana"/>
                <w:sz w:val="16"/>
                <w:szCs w:val="16"/>
              </w:rPr>
              <w:t>Newspaper</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27BC5F01" w14:textId="77777777" w:rsidR="004834B9" w:rsidRPr="00294183" w:rsidRDefault="004834B9" w:rsidP="00120BB0">
            <w:pPr>
              <w:widowControl w:val="0"/>
              <w:tabs>
                <w:tab w:val="left" w:pos="220"/>
                <w:tab w:val="left" w:pos="720"/>
              </w:tabs>
              <w:autoSpaceDE w:val="0"/>
              <w:autoSpaceDN w:val="0"/>
              <w:adjustRightInd w:val="0"/>
              <w:contextualSpacing/>
              <w:rPr>
                <w:rFonts w:ascii="Verdana" w:eastAsia="Times New Roman" w:hAnsi="Verdana"/>
                <w:sz w:val="16"/>
                <w:szCs w:val="16"/>
              </w:rPr>
            </w:pPr>
            <w:r w:rsidRPr="00294183">
              <w:rPr>
                <w:rFonts w:ascii="Verdana" w:eastAsia="Times New Roman" w:hAnsi="Verdana"/>
                <w:sz w:val="16"/>
                <w:szCs w:val="16"/>
              </w:rPr>
              <w:t>60+ minutes during an average day</w:t>
            </w:r>
          </w:p>
        </w:tc>
      </w:tr>
      <w:tr w:rsidR="004834B9" w:rsidRPr="007F1120" w14:paraId="71A622D6" w14:textId="77777777" w:rsidTr="00120BB0">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01B7C080" w14:textId="77777777" w:rsidR="004834B9" w:rsidRPr="00294183" w:rsidRDefault="004834B9" w:rsidP="00120BB0">
            <w:pPr>
              <w:widowControl w:val="0"/>
              <w:tabs>
                <w:tab w:val="left" w:pos="220"/>
                <w:tab w:val="left" w:pos="720"/>
              </w:tabs>
              <w:autoSpaceDE w:val="0"/>
              <w:autoSpaceDN w:val="0"/>
              <w:adjustRightInd w:val="0"/>
              <w:contextualSpacing/>
              <w:rPr>
                <w:rFonts w:ascii="Verdana" w:eastAsia="Times New Roman" w:hAnsi="Verdana"/>
                <w:sz w:val="16"/>
                <w:szCs w:val="16"/>
              </w:rPr>
            </w:pPr>
            <w:r w:rsidRPr="00294183">
              <w:rPr>
                <w:rFonts w:ascii="Verdana" w:eastAsia="Times New Roman" w:hAnsi="Verdana"/>
                <w:sz w:val="16"/>
                <w:szCs w:val="16"/>
              </w:rPr>
              <w:t>Outdoor</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016097A4" w14:textId="77777777" w:rsidR="004834B9" w:rsidRPr="00294183" w:rsidRDefault="004834B9" w:rsidP="00120BB0">
            <w:pPr>
              <w:widowControl w:val="0"/>
              <w:tabs>
                <w:tab w:val="left" w:pos="220"/>
                <w:tab w:val="left" w:pos="720"/>
              </w:tabs>
              <w:autoSpaceDE w:val="0"/>
              <w:autoSpaceDN w:val="0"/>
              <w:adjustRightInd w:val="0"/>
              <w:contextualSpacing/>
              <w:rPr>
                <w:rFonts w:ascii="Verdana" w:eastAsia="Times New Roman" w:hAnsi="Verdana"/>
                <w:sz w:val="16"/>
                <w:szCs w:val="16"/>
              </w:rPr>
            </w:pPr>
            <w:r w:rsidRPr="00294183">
              <w:rPr>
                <w:rFonts w:ascii="Verdana" w:eastAsia="Times New Roman" w:hAnsi="Verdana"/>
                <w:sz w:val="16"/>
                <w:szCs w:val="16"/>
              </w:rPr>
              <w:t>200+ miles during an average week</w:t>
            </w:r>
          </w:p>
        </w:tc>
      </w:tr>
      <w:tr w:rsidR="004834B9" w:rsidRPr="007F1120" w14:paraId="42D1C89C" w14:textId="77777777" w:rsidTr="00120BB0">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0D935C69" w14:textId="77777777" w:rsidR="004834B9" w:rsidRPr="00294183" w:rsidRDefault="004834B9" w:rsidP="00120BB0">
            <w:pPr>
              <w:widowControl w:val="0"/>
              <w:tabs>
                <w:tab w:val="left" w:pos="220"/>
                <w:tab w:val="left" w:pos="720"/>
              </w:tabs>
              <w:autoSpaceDE w:val="0"/>
              <w:autoSpaceDN w:val="0"/>
              <w:adjustRightInd w:val="0"/>
              <w:contextualSpacing/>
              <w:rPr>
                <w:rFonts w:ascii="Verdana" w:eastAsia="Times New Roman" w:hAnsi="Verdana"/>
                <w:sz w:val="16"/>
                <w:szCs w:val="16"/>
              </w:rPr>
            </w:pPr>
            <w:r w:rsidRPr="00294183">
              <w:rPr>
                <w:rFonts w:ascii="Verdana" w:eastAsia="Times New Roman" w:hAnsi="Verdana"/>
                <w:sz w:val="16"/>
                <w:szCs w:val="16"/>
              </w:rPr>
              <w:t>Direct mail</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694CCFEE" w14:textId="77777777" w:rsidR="004834B9" w:rsidRPr="00294183" w:rsidRDefault="004834B9" w:rsidP="00120BB0">
            <w:pPr>
              <w:widowControl w:val="0"/>
              <w:tabs>
                <w:tab w:val="left" w:pos="220"/>
                <w:tab w:val="left" w:pos="720"/>
              </w:tabs>
              <w:autoSpaceDE w:val="0"/>
              <w:autoSpaceDN w:val="0"/>
              <w:adjustRightInd w:val="0"/>
              <w:contextualSpacing/>
              <w:rPr>
                <w:rFonts w:ascii="Verdana" w:eastAsia="Times New Roman" w:hAnsi="Verdana"/>
                <w:sz w:val="16"/>
                <w:szCs w:val="16"/>
              </w:rPr>
            </w:pPr>
            <w:r w:rsidRPr="00294183">
              <w:rPr>
                <w:rFonts w:ascii="Verdana" w:eastAsia="Times New Roman" w:hAnsi="Verdana"/>
                <w:sz w:val="16"/>
                <w:szCs w:val="16"/>
              </w:rPr>
              <w:t>75+ read weekly</w:t>
            </w:r>
          </w:p>
        </w:tc>
      </w:tr>
      <w:tr w:rsidR="004834B9" w:rsidRPr="007F1120" w14:paraId="25CD56F2" w14:textId="77777777" w:rsidTr="00120BB0">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0509D8C6" w14:textId="77777777" w:rsidR="004834B9" w:rsidRPr="00294183" w:rsidRDefault="004834B9" w:rsidP="00120BB0">
            <w:pPr>
              <w:widowControl w:val="0"/>
              <w:tabs>
                <w:tab w:val="left" w:pos="220"/>
                <w:tab w:val="left" w:pos="720"/>
              </w:tabs>
              <w:autoSpaceDE w:val="0"/>
              <w:autoSpaceDN w:val="0"/>
              <w:adjustRightInd w:val="0"/>
              <w:contextualSpacing/>
              <w:rPr>
                <w:rFonts w:ascii="Verdana" w:eastAsia="Times New Roman" w:hAnsi="Verdana"/>
                <w:sz w:val="16"/>
                <w:szCs w:val="16"/>
              </w:rPr>
            </w:pPr>
            <w:r w:rsidRPr="00294183">
              <w:rPr>
                <w:rFonts w:ascii="Verdana" w:eastAsia="Times New Roman" w:hAnsi="Verdana"/>
                <w:sz w:val="16"/>
                <w:szCs w:val="16"/>
              </w:rPr>
              <w:t>Internet</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65CDDE12" w14:textId="77777777" w:rsidR="004834B9" w:rsidRPr="00294183" w:rsidRDefault="004834B9" w:rsidP="00120BB0">
            <w:pPr>
              <w:widowControl w:val="0"/>
              <w:tabs>
                <w:tab w:val="left" w:pos="220"/>
                <w:tab w:val="left" w:pos="720"/>
              </w:tabs>
              <w:autoSpaceDE w:val="0"/>
              <w:autoSpaceDN w:val="0"/>
              <w:adjustRightInd w:val="0"/>
              <w:contextualSpacing/>
              <w:rPr>
                <w:rFonts w:ascii="Verdana" w:eastAsia="Times New Roman" w:hAnsi="Verdana"/>
                <w:sz w:val="16"/>
                <w:szCs w:val="16"/>
              </w:rPr>
            </w:pPr>
            <w:r w:rsidRPr="00294183">
              <w:rPr>
                <w:rFonts w:ascii="Verdana" w:eastAsia="Times New Roman" w:hAnsi="Verdana"/>
                <w:sz w:val="16"/>
                <w:szCs w:val="16"/>
              </w:rPr>
              <w:t>180+ minutes during a typical day</w:t>
            </w:r>
          </w:p>
        </w:tc>
      </w:tr>
      <w:tr w:rsidR="004834B9" w:rsidRPr="007F1120" w14:paraId="3DF6E272" w14:textId="77777777" w:rsidTr="00120BB0">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518D45CC" w14:textId="77777777" w:rsidR="004834B9" w:rsidRPr="00294183" w:rsidRDefault="004834B9" w:rsidP="00120BB0">
            <w:pPr>
              <w:widowControl w:val="0"/>
              <w:tabs>
                <w:tab w:val="left" w:pos="220"/>
                <w:tab w:val="left" w:pos="720"/>
              </w:tabs>
              <w:autoSpaceDE w:val="0"/>
              <w:autoSpaceDN w:val="0"/>
              <w:adjustRightInd w:val="0"/>
              <w:contextualSpacing/>
              <w:rPr>
                <w:rFonts w:ascii="Verdana" w:eastAsia="Times New Roman" w:hAnsi="Verdana"/>
                <w:sz w:val="16"/>
                <w:szCs w:val="16"/>
              </w:rPr>
            </w:pPr>
            <w:r w:rsidRPr="00294183">
              <w:rPr>
                <w:rFonts w:ascii="Verdana" w:eastAsia="Times New Roman" w:hAnsi="Verdana"/>
                <w:sz w:val="16"/>
                <w:szCs w:val="16"/>
              </w:rPr>
              <w:t>Social media</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33BB92AE" w14:textId="77777777" w:rsidR="004834B9" w:rsidRPr="00294183" w:rsidRDefault="004834B9" w:rsidP="00120BB0">
            <w:pPr>
              <w:widowControl w:val="0"/>
              <w:tabs>
                <w:tab w:val="left" w:pos="220"/>
                <w:tab w:val="left" w:pos="720"/>
              </w:tabs>
              <w:autoSpaceDE w:val="0"/>
              <w:autoSpaceDN w:val="0"/>
              <w:adjustRightInd w:val="0"/>
              <w:contextualSpacing/>
              <w:rPr>
                <w:rFonts w:ascii="Verdana" w:eastAsia="Times New Roman" w:hAnsi="Verdana"/>
                <w:sz w:val="16"/>
                <w:szCs w:val="16"/>
              </w:rPr>
            </w:pPr>
            <w:r w:rsidRPr="00294183">
              <w:rPr>
                <w:rFonts w:ascii="Verdana" w:eastAsia="Times New Roman" w:hAnsi="Verdana"/>
                <w:sz w:val="16"/>
                <w:szCs w:val="16"/>
              </w:rPr>
              <w:t>180+ minutes during a typical day</w:t>
            </w:r>
          </w:p>
        </w:tc>
      </w:tr>
      <w:tr w:rsidR="004834B9" w:rsidRPr="007F1120" w14:paraId="2DBF0F18" w14:textId="77777777" w:rsidTr="00120BB0">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435A02F6" w14:textId="77777777" w:rsidR="004834B9" w:rsidRPr="00294183" w:rsidRDefault="004834B9" w:rsidP="00120BB0">
            <w:pPr>
              <w:widowControl w:val="0"/>
              <w:tabs>
                <w:tab w:val="left" w:pos="220"/>
                <w:tab w:val="left" w:pos="720"/>
              </w:tabs>
              <w:autoSpaceDE w:val="0"/>
              <w:autoSpaceDN w:val="0"/>
              <w:adjustRightInd w:val="0"/>
              <w:contextualSpacing/>
              <w:rPr>
                <w:rFonts w:ascii="Verdana" w:eastAsia="Times New Roman" w:hAnsi="Verdana"/>
                <w:sz w:val="16"/>
                <w:szCs w:val="16"/>
              </w:rPr>
            </w:pPr>
            <w:r w:rsidRPr="00294183">
              <w:rPr>
                <w:rFonts w:ascii="Verdana" w:eastAsia="Times New Roman" w:hAnsi="Verdana"/>
                <w:sz w:val="16"/>
                <w:szCs w:val="16"/>
              </w:rPr>
              <w:t>Audio streaming</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6F305F25" w14:textId="77777777" w:rsidR="004834B9" w:rsidRPr="00294183" w:rsidRDefault="004834B9" w:rsidP="00120BB0">
            <w:pPr>
              <w:widowControl w:val="0"/>
              <w:tabs>
                <w:tab w:val="left" w:pos="220"/>
                <w:tab w:val="left" w:pos="720"/>
              </w:tabs>
              <w:autoSpaceDE w:val="0"/>
              <w:autoSpaceDN w:val="0"/>
              <w:adjustRightInd w:val="0"/>
              <w:contextualSpacing/>
              <w:rPr>
                <w:rFonts w:ascii="Verdana" w:eastAsia="Times New Roman" w:hAnsi="Verdana"/>
                <w:sz w:val="16"/>
                <w:szCs w:val="16"/>
              </w:rPr>
            </w:pPr>
            <w:r w:rsidRPr="00294183">
              <w:rPr>
                <w:rFonts w:ascii="Verdana" w:eastAsia="Times New Roman" w:hAnsi="Verdana"/>
                <w:sz w:val="16"/>
                <w:szCs w:val="16"/>
              </w:rPr>
              <w:t>180+ minutes during an average day</w:t>
            </w:r>
          </w:p>
        </w:tc>
      </w:tr>
      <w:tr w:rsidR="004834B9" w:rsidRPr="007F1120" w14:paraId="4E68B7EE" w14:textId="77777777" w:rsidTr="00120BB0">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15B2E0EA" w14:textId="77777777" w:rsidR="004834B9" w:rsidRPr="00294183" w:rsidRDefault="004834B9" w:rsidP="00120BB0">
            <w:pPr>
              <w:widowControl w:val="0"/>
              <w:tabs>
                <w:tab w:val="left" w:pos="220"/>
                <w:tab w:val="left" w:pos="720"/>
              </w:tabs>
              <w:autoSpaceDE w:val="0"/>
              <w:autoSpaceDN w:val="0"/>
              <w:adjustRightInd w:val="0"/>
              <w:contextualSpacing/>
              <w:rPr>
                <w:rFonts w:ascii="Verdana" w:eastAsia="Times New Roman" w:hAnsi="Verdana"/>
                <w:sz w:val="16"/>
                <w:szCs w:val="16"/>
              </w:rPr>
            </w:pPr>
            <w:r w:rsidRPr="00294183">
              <w:rPr>
                <w:rFonts w:ascii="Verdana" w:eastAsia="Times New Roman" w:hAnsi="Verdana"/>
                <w:sz w:val="16"/>
                <w:szCs w:val="16"/>
              </w:rPr>
              <w:t>Podcast listening</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0A6B38A5" w14:textId="77777777" w:rsidR="004834B9" w:rsidRPr="00294183" w:rsidRDefault="004834B9" w:rsidP="00120BB0">
            <w:pPr>
              <w:widowControl w:val="0"/>
              <w:tabs>
                <w:tab w:val="left" w:pos="220"/>
                <w:tab w:val="left" w:pos="720"/>
              </w:tabs>
              <w:autoSpaceDE w:val="0"/>
              <w:autoSpaceDN w:val="0"/>
              <w:adjustRightInd w:val="0"/>
              <w:contextualSpacing/>
              <w:rPr>
                <w:rFonts w:ascii="Verdana" w:eastAsia="Times New Roman" w:hAnsi="Verdana"/>
                <w:sz w:val="16"/>
                <w:szCs w:val="16"/>
              </w:rPr>
            </w:pPr>
            <w:r w:rsidRPr="00294183">
              <w:rPr>
                <w:rFonts w:ascii="Verdana" w:eastAsia="Times New Roman" w:hAnsi="Verdana"/>
                <w:sz w:val="16"/>
                <w:szCs w:val="16"/>
              </w:rPr>
              <w:t>180+ minutes during a typical day</w:t>
            </w:r>
          </w:p>
        </w:tc>
      </w:tr>
      <w:tr w:rsidR="004834B9" w:rsidRPr="007F1120" w14:paraId="21FD4A32" w14:textId="77777777" w:rsidTr="00120BB0">
        <w:trPr>
          <w:trHeight w:val="243"/>
          <w:jc w:val="center"/>
        </w:trPr>
        <w:tc>
          <w:tcPr>
            <w:tcW w:w="1635"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226502D3" w14:textId="77777777" w:rsidR="004834B9" w:rsidRPr="00294183" w:rsidRDefault="004834B9" w:rsidP="00120BB0">
            <w:pPr>
              <w:widowControl w:val="0"/>
              <w:tabs>
                <w:tab w:val="left" w:pos="220"/>
                <w:tab w:val="left" w:pos="720"/>
              </w:tabs>
              <w:autoSpaceDE w:val="0"/>
              <w:autoSpaceDN w:val="0"/>
              <w:adjustRightInd w:val="0"/>
              <w:contextualSpacing/>
              <w:rPr>
                <w:rFonts w:ascii="Verdana" w:eastAsia="Times New Roman" w:hAnsi="Verdana"/>
                <w:sz w:val="16"/>
                <w:szCs w:val="16"/>
              </w:rPr>
            </w:pPr>
            <w:r w:rsidRPr="00294183">
              <w:rPr>
                <w:rFonts w:ascii="Verdana" w:eastAsia="Times New Roman" w:hAnsi="Verdana"/>
                <w:sz w:val="16"/>
                <w:szCs w:val="16"/>
              </w:rPr>
              <w:t>Video streaming</w:t>
            </w:r>
          </w:p>
        </w:tc>
        <w:tc>
          <w:tcPr>
            <w:tcW w:w="3300" w:type="dxa"/>
            <w:tcBorders>
              <w:top w:val="single" w:sz="4" w:space="0" w:color="000000"/>
              <w:left w:val="single" w:sz="8" w:space="0" w:color="0070C0"/>
              <w:bottom w:val="single" w:sz="12" w:space="0" w:color="000000"/>
              <w:right w:val="single" w:sz="12" w:space="0" w:color="auto"/>
            </w:tcBorders>
            <w:shd w:val="clear" w:color="auto" w:fill="auto"/>
            <w:vAlign w:val="center"/>
          </w:tcPr>
          <w:p w14:paraId="182A1892" w14:textId="77777777" w:rsidR="004834B9" w:rsidRPr="00294183" w:rsidRDefault="004834B9" w:rsidP="00120BB0">
            <w:pPr>
              <w:widowControl w:val="0"/>
              <w:tabs>
                <w:tab w:val="left" w:pos="220"/>
                <w:tab w:val="left" w:pos="720"/>
              </w:tabs>
              <w:autoSpaceDE w:val="0"/>
              <w:autoSpaceDN w:val="0"/>
              <w:adjustRightInd w:val="0"/>
              <w:contextualSpacing/>
              <w:rPr>
                <w:rFonts w:ascii="Verdana" w:eastAsia="Times New Roman" w:hAnsi="Verdana"/>
                <w:sz w:val="16"/>
                <w:szCs w:val="16"/>
              </w:rPr>
            </w:pPr>
            <w:r w:rsidRPr="00294183">
              <w:rPr>
                <w:rFonts w:ascii="Verdana" w:eastAsia="Times New Roman" w:hAnsi="Verdana"/>
                <w:sz w:val="16"/>
                <w:szCs w:val="16"/>
              </w:rPr>
              <w:t>180+ minutes during an average day</w:t>
            </w:r>
          </w:p>
        </w:tc>
      </w:tr>
    </w:tbl>
    <w:p w14:paraId="777770F7" w14:textId="77777777" w:rsidR="00F94CE8" w:rsidRDefault="00F94CE8" w:rsidP="00F94CE8">
      <w:pPr>
        <w:pStyle w:val="NoSpacing"/>
        <w:contextualSpacing/>
        <w:rPr>
          <w:sz w:val="20"/>
          <w:szCs w:val="20"/>
        </w:rPr>
      </w:pPr>
    </w:p>
    <w:p w14:paraId="3C35B056" w14:textId="77777777" w:rsidR="00F94CE8" w:rsidRDefault="00F94CE8" w:rsidP="00F94CE8">
      <w:pPr>
        <w:pStyle w:val="NoSpacing"/>
        <w:contextualSpacing/>
        <w:rPr>
          <w:sz w:val="20"/>
          <w:szCs w:val="20"/>
        </w:rPr>
      </w:pPr>
    </w:p>
    <w:p w14:paraId="72BAAFC7" w14:textId="710727ED" w:rsidR="00F94CE8" w:rsidRPr="000558DA" w:rsidRDefault="00F94CE8" w:rsidP="00F94CE8">
      <w:pPr>
        <w:rPr>
          <w:rFonts w:ascii="Verdana" w:hAnsi="Verdana"/>
          <w:sz w:val="16"/>
          <w:szCs w:val="16"/>
        </w:rPr>
      </w:pPr>
      <w:r w:rsidRPr="000558DA">
        <w:rPr>
          <w:rFonts w:ascii="Verdana" w:hAnsi="Verdana"/>
          <w:i/>
          <w:sz w:val="16"/>
          <w:szCs w:val="16"/>
        </w:rPr>
        <w:t>Sources:</w:t>
      </w:r>
      <w:r w:rsidRPr="000558DA">
        <w:rPr>
          <w:rFonts w:ascii="Verdana" w:hAnsi="Verdana"/>
          <w:sz w:val="16"/>
          <w:szCs w:val="16"/>
        </w:rPr>
        <w:t xml:space="preserve"> </w:t>
      </w:r>
      <w:r w:rsidR="000558DA" w:rsidRPr="000558DA">
        <w:rPr>
          <w:sz w:val="16"/>
          <w:szCs w:val="16"/>
        </w:rPr>
        <w:t xml:space="preserve">The Toy Association </w:t>
      </w:r>
      <w:r w:rsidRPr="000558DA">
        <w:rPr>
          <w:rFonts w:ascii="Verdana" w:hAnsi="Verdana"/>
          <w:sz w:val="16"/>
          <w:szCs w:val="16"/>
        </w:rPr>
        <w:t xml:space="preserve">Website, </w:t>
      </w:r>
      <w:r w:rsidR="000D0ED6" w:rsidRPr="000558DA">
        <w:rPr>
          <w:rFonts w:ascii="Verdana" w:hAnsi="Verdana"/>
          <w:sz w:val="16"/>
          <w:szCs w:val="16"/>
        </w:rPr>
        <w:t>7</w:t>
      </w:r>
      <w:r w:rsidR="00306D88" w:rsidRPr="000558DA">
        <w:rPr>
          <w:rFonts w:ascii="Verdana" w:hAnsi="Verdana"/>
          <w:sz w:val="16"/>
          <w:szCs w:val="16"/>
        </w:rPr>
        <w:t>/</w:t>
      </w:r>
      <w:r w:rsidR="00AE6B2A" w:rsidRPr="000558DA">
        <w:rPr>
          <w:rFonts w:ascii="Verdana" w:hAnsi="Verdana"/>
          <w:sz w:val="16"/>
          <w:szCs w:val="16"/>
        </w:rPr>
        <w:t>2</w:t>
      </w:r>
      <w:r w:rsidR="00C8473A" w:rsidRPr="000558DA">
        <w:rPr>
          <w:rFonts w:ascii="Verdana" w:hAnsi="Verdana"/>
          <w:sz w:val="16"/>
          <w:szCs w:val="16"/>
        </w:rPr>
        <w:t>2</w:t>
      </w:r>
      <w:r w:rsidRPr="000558DA">
        <w:rPr>
          <w:rFonts w:ascii="Verdana" w:hAnsi="Verdana"/>
          <w:sz w:val="16"/>
          <w:szCs w:val="16"/>
        </w:rPr>
        <w:t xml:space="preserve">; </w:t>
      </w:r>
      <w:r w:rsidR="000558DA" w:rsidRPr="000558DA">
        <w:rPr>
          <w:sz w:val="16"/>
          <w:szCs w:val="16"/>
        </w:rPr>
        <w:t xml:space="preserve">The NPD Group </w:t>
      </w:r>
      <w:r w:rsidRPr="000558DA">
        <w:rPr>
          <w:rFonts w:ascii="Verdana" w:hAnsi="Verdana"/>
          <w:sz w:val="16"/>
          <w:szCs w:val="16"/>
        </w:rPr>
        <w:t xml:space="preserve">Website, </w:t>
      </w:r>
      <w:r w:rsidR="000D0ED6" w:rsidRPr="000558DA">
        <w:rPr>
          <w:rFonts w:ascii="Verdana" w:hAnsi="Verdana"/>
          <w:sz w:val="16"/>
          <w:szCs w:val="16"/>
        </w:rPr>
        <w:t>7</w:t>
      </w:r>
      <w:r w:rsidR="004E421A" w:rsidRPr="000558DA">
        <w:rPr>
          <w:rFonts w:ascii="Verdana" w:hAnsi="Verdana"/>
          <w:sz w:val="16"/>
          <w:szCs w:val="16"/>
        </w:rPr>
        <w:t>/</w:t>
      </w:r>
      <w:r w:rsidR="00AE6B2A" w:rsidRPr="000558DA">
        <w:rPr>
          <w:rFonts w:ascii="Verdana" w:hAnsi="Verdana"/>
          <w:sz w:val="16"/>
          <w:szCs w:val="16"/>
        </w:rPr>
        <w:t>2</w:t>
      </w:r>
      <w:r w:rsidR="00C8473A" w:rsidRPr="000558DA">
        <w:rPr>
          <w:rFonts w:ascii="Verdana" w:hAnsi="Verdana"/>
          <w:sz w:val="16"/>
          <w:szCs w:val="16"/>
        </w:rPr>
        <w:t>2</w:t>
      </w:r>
      <w:r w:rsidRPr="000558DA">
        <w:rPr>
          <w:rFonts w:ascii="Verdana" w:hAnsi="Verdana"/>
          <w:sz w:val="16"/>
          <w:szCs w:val="16"/>
        </w:rPr>
        <w:t xml:space="preserve">; </w:t>
      </w:r>
      <w:r w:rsidR="000558DA" w:rsidRPr="000558DA">
        <w:rPr>
          <w:sz w:val="16"/>
          <w:szCs w:val="16"/>
        </w:rPr>
        <w:t xml:space="preserve">Chain Store Age </w:t>
      </w:r>
      <w:r w:rsidRPr="000558DA">
        <w:rPr>
          <w:rFonts w:ascii="Verdana" w:hAnsi="Verdana"/>
          <w:sz w:val="16"/>
          <w:szCs w:val="16"/>
        </w:rPr>
        <w:t>Website</w:t>
      </w:r>
      <w:r w:rsidR="00A00453" w:rsidRPr="000558DA">
        <w:rPr>
          <w:rFonts w:ascii="Verdana" w:hAnsi="Verdana"/>
          <w:sz w:val="16"/>
          <w:szCs w:val="16"/>
        </w:rPr>
        <w:t xml:space="preserve">, </w:t>
      </w:r>
      <w:r w:rsidR="000D0ED6" w:rsidRPr="000558DA">
        <w:rPr>
          <w:rFonts w:ascii="Verdana" w:hAnsi="Verdana"/>
          <w:sz w:val="16"/>
          <w:szCs w:val="16"/>
        </w:rPr>
        <w:t>7</w:t>
      </w:r>
      <w:r w:rsidR="00306D88" w:rsidRPr="000558DA">
        <w:rPr>
          <w:rFonts w:ascii="Verdana" w:hAnsi="Verdana"/>
          <w:sz w:val="16"/>
          <w:szCs w:val="16"/>
        </w:rPr>
        <w:t>/</w:t>
      </w:r>
      <w:r w:rsidR="00AE6B2A" w:rsidRPr="000558DA">
        <w:rPr>
          <w:rFonts w:ascii="Verdana" w:hAnsi="Verdana"/>
          <w:sz w:val="16"/>
          <w:szCs w:val="16"/>
        </w:rPr>
        <w:t>2</w:t>
      </w:r>
      <w:r w:rsidR="00C8473A" w:rsidRPr="000558DA">
        <w:rPr>
          <w:rFonts w:ascii="Verdana" w:hAnsi="Verdana"/>
          <w:sz w:val="16"/>
          <w:szCs w:val="16"/>
        </w:rPr>
        <w:t>2</w:t>
      </w:r>
      <w:r w:rsidR="000558DA">
        <w:rPr>
          <w:rFonts w:ascii="Verdana" w:hAnsi="Verdana"/>
          <w:sz w:val="16"/>
          <w:szCs w:val="16"/>
        </w:rPr>
        <w:t>;</w:t>
      </w:r>
      <w:r w:rsidR="000558DA" w:rsidRPr="000558DA">
        <w:rPr>
          <w:rFonts w:ascii="Verdana" w:hAnsi="Verdana"/>
          <w:sz w:val="16"/>
          <w:szCs w:val="16"/>
        </w:rPr>
        <w:t xml:space="preserve"> </w:t>
      </w:r>
      <w:r w:rsidR="000558DA" w:rsidRPr="000558DA">
        <w:rPr>
          <w:sz w:val="16"/>
          <w:szCs w:val="16"/>
        </w:rPr>
        <w:t>eMarketer Website</w:t>
      </w:r>
      <w:r w:rsidR="000558DA" w:rsidRPr="000558DA">
        <w:rPr>
          <w:rFonts w:ascii="Verdana" w:hAnsi="Verdana"/>
          <w:sz w:val="16"/>
          <w:szCs w:val="16"/>
        </w:rPr>
        <w:t xml:space="preserve">, 7/22; </w:t>
      </w:r>
      <w:r w:rsidR="000558DA" w:rsidRPr="000558DA">
        <w:rPr>
          <w:sz w:val="16"/>
          <w:szCs w:val="16"/>
        </w:rPr>
        <w:t xml:space="preserve"> Adobe Website</w:t>
      </w:r>
      <w:r w:rsidR="000558DA" w:rsidRPr="000558DA">
        <w:rPr>
          <w:rFonts w:ascii="Verdana" w:hAnsi="Verdana"/>
          <w:sz w:val="16"/>
          <w:szCs w:val="16"/>
        </w:rPr>
        <w:t xml:space="preserve">, 7/22; </w:t>
      </w:r>
      <w:r w:rsidR="000558DA" w:rsidRPr="000558DA">
        <w:rPr>
          <w:sz w:val="16"/>
          <w:szCs w:val="16"/>
        </w:rPr>
        <w:t xml:space="preserve"> Provoke Insights Website</w:t>
      </w:r>
      <w:r w:rsidR="000558DA" w:rsidRPr="000558DA">
        <w:rPr>
          <w:rFonts w:ascii="Verdana" w:hAnsi="Verdana"/>
          <w:sz w:val="16"/>
          <w:szCs w:val="16"/>
        </w:rPr>
        <w:t xml:space="preserve">, 7/22; </w:t>
      </w:r>
      <w:r w:rsidR="000558DA" w:rsidRPr="000558DA">
        <w:rPr>
          <w:sz w:val="16"/>
          <w:szCs w:val="16"/>
        </w:rPr>
        <w:t xml:space="preserve"> The Media Audit Website</w:t>
      </w:r>
      <w:r w:rsidR="000558DA" w:rsidRPr="000558DA">
        <w:rPr>
          <w:rFonts w:ascii="Verdana" w:hAnsi="Verdana"/>
          <w:sz w:val="16"/>
          <w:szCs w:val="16"/>
        </w:rPr>
        <w:t xml:space="preserve">, 7/22; </w:t>
      </w:r>
      <w:r w:rsidR="000558DA" w:rsidRPr="000558DA">
        <w:rPr>
          <w:sz w:val="16"/>
          <w:szCs w:val="16"/>
        </w:rPr>
        <w:t xml:space="preserve"> Common Sense Media Website</w:t>
      </w:r>
      <w:r w:rsidR="000558DA" w:rsidRPr="000558DA">
        <w:rPr>
          <w:rFonts w:ascii="Verdana" w:hAnsi="Verdana"/>
          <w:sz w:val="16"/>
          <w:szCs w:val="16"/>
        </w:rPr>
        <w:t xml:space="preserve">, 7/22; </w:t>
      </w:r>
      <w:r w:rsidR="000558DA" w:rsidRPr="000558DA">
        <w:rPr>
          <w:sz w:val="16"/>
          <w:szCs w:val="16"/>
        </w:rPr>
        <w:t xml:space="preserve"> Retail Dive Website</w:t>
      </w:r>
      <w:r w:rsidR="000558DA" w:rsidRPr="000558DA">
        <w:rPr>
          <w:rFonts w:ascii="Verdana" w:hAnsi="Verdana"/>
          <w:sz w:val="16"/>
          <w:szCs w:val="16"/>
        </w:rPr>
        <w:t>, 7/22</w:t>
      </w:r>
      <w:r w:rsidR="000558DA">
        <w:rPr>
          <w:rFonts w:ascii="Verdana" w:hAnsi="Verdana"/>
          <w:sz w:val="16"/>
          <w:szCs w:val="16"/>
        </w:rPr>
        <w:t>.</w:t>
      </w:r>
    </w:p>
    <w:p w14:paraId="7EF64BA4" w14:textId="77777777" w:rsidR="00F94CE8" w:rsidRPr="00690E6A" w:rsidRDefault="00F94CE8" w:rsidP="00F94CE8">
      <w:pPr>
        <w:rPr>
          <w:rFonts w:ascii="Verdana" w:hAnsi="Verdana"/>
          <w:sz w:val="16"/>
        </w:rPr>
      </w:pPr>
    </w:p>
    <w:p w14:paraId="49C0D793" w14:textId="6B91D2E9" w:rsidR="00F94CE8" w:rsidRPr="00690E6A" w:rsidRDefault="00F94CE8" w:rsidP="00F94CE8">
      <w:pPr>
        <w:rPr>
          <w:rFonts w:ascii="Verdana" w:hAnsi="Verdana"/>
          <w:strike/>
          <w:sz w:val="16"/>
        </w:rPr>
      </w:pPr>
      <w:r w:rsidRPr="00690E6A">
        <w:rPr>
          <w:rFonts w:ascii="Verdana" w:hAnsi="Verdana"/>
          <w:i/>
          <w:sz w:val="16"/>
        </w:rPr>
        <w:t>Updated</w:t>
      </w:r>
      <w:r w:rsidR="003F0FE1">
        <w:rPr>
          <w:rFonts w:ascii="Verdana" w:hAnsi="Verdana"/>
          <w:sz w:val="16"/>
        </w:rPr>
        <w:t xml:space="preserve">: </w:t>
      </w:r>
      <w:r w:rsidR="009D070C">
        <w:rPr>
          <w:rFonts w:ascii="Verdana" w:hAnsi="Verdana"/>
          <w:sz w:val="16"/>
        </w:rPr>
        <w:t>Ju</w:t>
      </w:r>
      <w:r w:rsidR="000D0ED6">
        <w:rPr>
          <w:rFonts w:ascii="Verdana" w:hAnsi="Verdana"/>
          <w:sz w:val="16"/>
        </w:rPr>
        <w:t>ly</w:t>
      </w:r>
      <w:r w:rsidR="00C8473A">
        <w:rPr>
          <w:rFonts w:ascii="Verdana" w:hAnsi="Verdana"/>
          <w:sz w:val="16"/>
        </w:rPr>
        <w:t xml:space="preserve"> 2022</w:t>
      </w:r>
    </w:p>
    <w:p w14:paraId="061B0C21" w14:textId="77777777" w:rsidR="00F94CE8" w:rsidRDefault="00F94CE8" w:rsidP="00F94CE8">
      <w:pPr>
        <w:pStyle w:val="NoSpacing"/>
        <w:contextualSpacing/>
        <w:rPr>
          <w:sz w:val="20"/>
          <w:szCs w:val="20"/>
        </w:rPr>
      </w:pPr>
    </w:p>
    <w:p w14:paraId="56AD0CC7" w14:textId="00868E95" w:rsidR="00F94CE8" w:rsidRPr="00FF1EBA" w:rsidRDefault="00F94CE8" w:rsidP="00F94CE8">
      <w:pPr>
        <w:pStyle w:val="NoSpacing"/>
        <w:contextualSpacing/>
        <w:rPr>
          <w:sz w:val="16"/>
          <w:szCs w:val="16"/>
        </w:rPr>
      </w:pPr>
      <w:r w:rsidRPr="00FF1EBA">
        <w:rPr>
          <w:rFonts w:ascii="Verdana" w:hAnsi="Verdana"/>
          <w:sz w:val="16"/>
          <w:szCs w:val="16"/>
        </w:rPr>
        <w:t>©</w:t>
      </w:r>
      <w:r w:rsidR="00306D88">
        <w:rPr>
          <w:sz w:val="16"/>
          <w:szCs w:val="16"/>
        </w:rPr>
        <w:t xml:space="preserve"> 20</w:t>
      </w:r>
      <w:r w:rsidR="00AE6B2A">
        <w:rPr>
          <w:sz w:val="16"/>
          <w:szCs w:val="16"/>
        </w:rPr>
        <w:t>2</w:t>
      </w:r>
      <w:r w:rsidR="00C8473A">
        <w:rPr>
          <w:sz w:val="16"/>
          <w:szCs w:val="16"/>
        </w:rPr>
        <w:t>2</w:t>
      </w:r>
      <w:r>
        <w:rPr>
          <w:sz w:val="16"/>
          <w:szCs w:val="16"/>
        </w:rPr>
        <w:t xml:space="preserve"> Media Group Online, Inc</w:t>
      </w:r>
      <w:r w:rsidRPr="00FF1EBA">
        <w:rPr>
          <w:sz w:val="16"/>
          <w:szCs w:val="16"/>
        </w:rPr>
        <w:t>. All rights reserved.</w:t>
      </w:r>
    </w:p>
    <w:p w14:paraId="47D01060" w14:textId="64A6C5D5" w:rsidR="00F94CE8" w:rsidRDefault="00F94CE8" w:rsidP="00260DE9">
      <w:pPr>
        <w:pStyle w:val="NoSpacing"/>
        <w:rPr>
          <w:sz w:val="20"/>
          <w:szCs w:val="20"/>
        </w:rPr>
      </w:pPr>
    </w:p>
    <w:p w14:paraId="17AD3F99" w14:textId="0881F98B" w:rsidR="00AE1F72" w:rsidRPr="000558DA" w:rsidRDefault="00AE1F72" w:rsidP="000558DA">
      <w:pPr>
        <w:jc w:val="center"/>
        <w:rPr>
          <w:sz w:val="20"/>
          <w:szCs w:val="20"/>
        </w:rPr>
      </w:pPr>
      <w:r w:rsidRPr="00720E0B">
        <w:rPr>
          <w:b/>
          <w:color w:val="0070C0"/>
          <w:sz w:val="20"/>
          <w:szCs w:val="20"/>
        </w:rPr>
        <w:lastRenderedPageBreak/>
        <w:t xml:space="preserve">Local </w:t>
      </w:r>
      <w:r w:rsidR="0050254D">
        <w:rPr>
          <w:b/>
          <w:color w:val="0070C0"/>
          <w:sz w:val="20"/>
          <w:szCs w:val="20"/>
        </w:rPr>
        <w:t xml:space="preserve">Market </w:t>
      </w:r>
      <w:r w:rsidRPr="00720E0B">
        <w:rPr>
          <w:b/>
          <w:color w:val="0070C0"/>
          <w:sz w:val="20"/>
          <w:szCs w:val="20"/>
        </w:rPr>
        <w:t>and Station Information</w:t>
      </w:r>
    </w:p>
    <w:sectPr w:rsidR="00AE1F72" w:rsidRPr="000558DA" w:rsidSect="00260DE9">
      <w:headerReference w:type="default" r:id="rId8"/>
      <w:footerReference w:type="default" r:id="rId9"/>
      <w:pgSz w:w="12240" w:h="15840" w:code="1"/>
      <w:pgMar w:top="216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F8A46" w14:textId="77777777" w:rsidR="00460B40" w:rsidRDefault="00460B40" w:rsidP="00260DE9">
      <w:r>
        <w:separator/>
      </w:r>
    </w:p>
  </w:endnote>
  <w:endnote w:type="continuationSeparator" w:id="0">
    <w:p w14:paraId="325A60FD" w14:textId="77777777" w:rsidR="00460B40" w:rsidRDefault="00460B40" w:rsidP="0026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63B7" w14:textId="77777777" w:rsidR="003E2E9B" w:rsidRDefault="003E2E9B" w:rsidP="003E2E9B">
    <w:pPr>
      <w:pStyle w:val="Footer"/>
      <w:jc w:val="center"/>
      <w:rPr>
        <w:rFonts w:ascii="Arial" w:hAnsi="Arial" w:cs="Arial"/>
        <w:sz w:val="16"/>
        <w:szCs w:val="16"/>
      </w:rPr>
    </w:pPr>
    <w:r>
      <w:rPr>
        <w:rFonts w:ascii="Arial" w:hAnsi="Arial" w:cs="Arial"/>
        <w:noProof/>
        <w:sz w:val="16"/>
        <w:szCs w:val="16"/>
      </w:rPr>
      <w:drawing>
        <wp:inline distT="0" distB="0" distL="0" distR="0" wp14:anchorId="4724D9F8" wp14:editId="6BCACCF1">
          <wp:extent cx="300990" cy="300990"/>
          <wp:effectExtent l="19050" t="0" r="3810" b="0"/>
          <wp:docPr id="4" name="Picture 3" descr="MGOlogoBlac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OlogoBlackC.png"/>
                  <pic:cNvPicPr/>
                </pic:nvPicPr>
                <pic:blipFill>
                  <a:blip r:embed="rId1"/>
                  <a:stretch>
                    <a:fillRect/>
                  </a:stretch>
                </pic:blipFill>
                <pic:spPr>
                  <a:xfrm>
                    <a:off x="0" y="0"/>
                    <a:ext cx="300942" cy="300942"/>
                  </a:xfrm>
                  <a:prstGeom prst="rect">
                    <a:avLst/>
                  </a:prstGeom>
                </pic:spPr>
              </pic:pic>
            </a:graphicData>
          </a:graphic>
        </wp:inline>
      </w:drawing>
    </w:r>
  </w:p>
  <w:p w14:paraId="688D5080" w14:textId="77777777" w:rsidR="00260DE9" w:rsidRPr="0097480E" w:rsidRDefault="00EF6AB9" w:rsidP="00EF6AB9">
    <w:pPr>
      <w:pStyle w:val="Footer"/>
      <w:jc w:val="center"/>
      <w:rPr>
        <w:rFonts w:ascii="Arial" w:hAnsi="Arial" w:cs="Arial"/>
        <w:sz w:val="16"/>
        <w:szCs w:val="16"/>
      </w:rPr>
    </w:pPr>
    <w:r w:rsidRPr="0097480E">
      <w:rPr>
        <w:rFonts w:ascii="Arial" w:hAnsi="Arial" w:cs="Arial"/>
        <w:sz w:val="16"/>
        <w:szCs w:val="16"/>
        <w:shd w:val="clear" w:color="auto" w:fill="FFFFFF"/>
      </w:rPr>
      <w:t>Media Group Online, Inc.</w:t>
    </w:r>
    <w:r w:rsidRPr="0097480E">
      <w:rPr>
        <w:rFonts w:ascii="Arial" w:hAnsi="Arial" w:cs="Arial"/>
        <w:sz w:val="16"/>
        <w:szCs w:val="16"/>
      </w:rPr>
      <w:t xml:space="preserve">• </w:t>
    </w:r>
    <w:r w:rsidRPr="0097480E">
      <w:rPr>
        <w:rFonts w:ascii="Arial" w:hAnsi="Arial" w:cs="Arial"/>
        <w:sz w:val="16"/>
        <w:szCs w:val="16"/>
        <w:shd w:val="clear" w:color="auto" w:fill="FFFFFF"/>
      </w:rPr>
      <w:t>103 Sterling Mine Rd.</w:t>
    </w:r>
    <w:r w:rsidRPr="0097480E">
      <w:rPr>
        <w:rFonts w:ascii="Arial" w:hAnsi="Arial" w:cs="Arial"/>
        <w:sz w:val="16"/>
        <w:szCs w:val="16"/>
      </w:rPr>
      <w:t xml:space="preserve">• </w:t>
    </w:r>
    <w:r w:rsidRPr="0097480E">
      <w:rPr>
        <w:rFonts w:ascii="Arial" w:hAnsi="Arial" w:cs="Arial"/>
        <w:sz w:val="16"/>
        <w:szCs w:val="16"/>
        <w:shd w:val="clear" w:color="auto" w:fill="FFFFFF"/>
      </w:rPr>
      <w:t xml:space="preserve">Sloatsburg, NY </w:t>
    </w:r>
    <w:r w:rsidR="0097480E" w:rsidRPr="0097480E">
      <w:rPr>
        <w:rFonts w:ascii="Arial" w:hAnsi="Arial" w:cs="Arial"/>
        <w:sz w:val="16"/>
        <w:szCs w:val="16"/>
        <w:shd w:val="clear" w:color="auto" w:fill="FFFFFF"/>
      </w:rPr>
      <w:t>10974</w:t>
    </w:r>
    <w:r w:rsidRPr="0097480E">
      <w:rPr>
        <w:rFonts w:ascii="Arial" w:hAnsi="Arial" w:cs="Arial"/>
        <w:sz w:val="16"/>
        <w:szCs w:val="16"/>
        <w:shd w:val="clear" w:color="auto" w:fill="FFFFFF"/>
      </w:rPr>
      <w:t xml:space="preserve"> </w:t>
    </w:r>
    <w:r w:rsidRPr="0097480E">
      <w:rPr>
        <w:rFonts w:ascii="Arial" w:hAnsi="Arial" w:cs="Arial"/>
        <w:sz w:val="16"/>
        <w:szCs w:val="16"/>
      </w:rPr>
      <w:t>• Tel 866-921-1026 • Fax 845-712-5168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9BF8" w14:textId="77777777" w:rsidR="00460B40" w:rsidRDefault="00460B40" w:rsidP="00260DE9">
      <w:r>
        <w:separator/>
      </w:r>
    </w:p>
  </w:footnote>
  <w:footnote w:type="continuationSeparator" w:id="0">
    <w:p w14:paraId="7DF99D3B" w14:textId="77777777" w:rsidR="00460B40" w:rsidRDefault="00460B40" w:rsidP="00260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DC73" w14:textId="77777777" w:rsidR="00260DE9" w:rsidRDefault="00635FF3">
    <w:pPr>
      <w:pStyle w:val="Header"/>
    </w:pPr>
    <w:r>
      <w:rPr>
        <w:noProof/>
      </w:rPr>
      <w:drawing>
        <wp:anchor distT="0" distB="0" distL="114300" distR="114300" simplePos="0" relativeHeight="251658240" behindDoc="1" locked="0" layoutInCell="1" allowOverlap="1" wp14:anchorId="67BDB21C" wp14:editId="7366BB1A">
          <wp:simplePos x="0" y="0"/>
          <wp:positionH relativeFrom="column">
            <wp:posOffset>-638175</wp:posOffset>
          </wp:positionH>
          <wp:positionV relativeFrom="paragraph">
            <wp:posOffset>-771525</wp:posOffset>
          </wp:positionV>
          <wp:extent cx="5943600" cy="1192530"/>
          <wp:effectExtent l="0" t="0" r="0" b="0"/>
          <wp:wrapTight wrapText="bothSides">
            <wp:wrapPolygon edited="0">
              <wp:start x="1454" y="0"/>
              <wp:lineTo x="1038" y="690"/>
              <wp:lineTo x="69" y="4486"/>
              <wp:lineTo x="0" y="7936"/>
              <wp:lineTo x="0" y="13802"/>
              <wp:lineTo x="138" y="17252"/>
              <wp:lineTo x="1177" y="21393"/>
              <wp:lineTo x="1385" y="21393"/>
              <wp:lineTo x="2838" y="21393"/>
              <wp:lineTo x="8931" y="16907"/>
              <wp:lineTo x="21531" y="15872"/>
              <wp:lineTo x="21531" y="6901"/>
              <wp:lineTo x="19938" y="4831"/>
              <wp:lineTo x="2838" y="0"/>
              <wp:lineTo x="14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OProfilerHeaderSmal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56082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E9"/>
    <w:rsid w:val="00004575"/>
    <w:rsid w:val="000052A8"/>
    <w:rsid w:val="00006EB7"/>
    <w:rsid w:val="00030B4A"/>
    <w:rsid w:val="000340ED"/>
    <w:rsid w:val="0003466E"/>
    <w:rsid w:val="00052024"/>
    <w:rsid w:val="000558DA"/>
    <w:rsid w:val="0005633E"/>
    <w:rsid w:val="000577D6"/>
    <w:rsid w:val="0007198D"/>
    <w:rsid w:val="000830D7"/>
    <w:rsid w:val="00095406"/>
    <w:rsid w:val="000B3C35"/>
    <w:rsid w:val="000C4B96"/>
    <w:rsid w:val="000C7821"/>
    <w:rsid w:val="000D0ED6"/>
    <w:rsid w:val="000D2F3A"/>
    <w:rsid w:val="000D7C07"/>
    <w:rsid w:val="000E761D"/>
    <w:rsid w:val="00112A85"/>
    <w:rsid w:val="0012010F"/>
    <w:rsid w:val="00142DEE"/>
    <w:rsid w:val="001531C2"/>
    <w:rsid w:val="00154344"/>
    <w:rsid w:val="00160474"/>
    <w:rsid w:val="00161442"/>
    <w:rsid w:val="0016492E"/>
    <w:rsid w:val="00177D0F"/>
    <w:rsid w:val="00182847"/>
    <w:rsid w:val="001A05E7"/>
    <w:rsid w:val="001B64B0"/>
    <w:rsid w:val="001C2831"/>
    <w:rsid w:val="001D53A3"/>
    <w:rsid w:val="001F5DFA"/>
    <w:rsid w:val="00260DE9"/>
    <w:rsid w:val="0028606D"/>
    <w:rsid w:val="00294474"/>
    <w:rsid w:val="002A4A73"/>
    <w:rsid w:val="002A6286"/>
    <w:rsid w:val="002B0BCF"/>
    <w:rsid w:val="002B3E1A"/>
    <w:rsid w:val="002B428E"/>
    <w:rsid w:val="002D2E53"/>
    <w:rsid w:val="002E1F38"/>
    <w:rsid w:val="00306D88"/>
    <w:rsid w:val="00327C87"/>
    <w:rsid w:val="003630CD"/>
    <w:rsid w:val="00365DBF"/>
    <w:rsid w:val="00377B75"/>
    <w:rsid w:val="0038459A"/>
    <w:rsid w:val="003B417B"/>
    <w:rsid w:val="003C15ED"/>
    <w:rsid w:val="003C64AC"/>
    <w:rsid w:val="003D6958"/>
    <w:rsid w:val="003E2E9B"/>
    <w:rsid w:val="003F0FE1"/>
    <w:rsid w:val="00400606"/>
    <w:rsid w:val="00412473"/>
    <w:rsid w:val="00422A36"/>
    <w:rsid w:val="00424E79"/>
    <w:rsid w:val="00432903"/>
    <w:rsid w:val="0045212B"/>
    <w:rsid w:val="004567BF"/>
    <w:rsid w:val="0045797F"/>
    <w:rsid w:val="00460B40"/>
    <w:rsid w:val="0046193A"/>
    <w:rsid w:val="00467EF6"/>
    <w:rsid w:val="004834B9"/>
    <w:rsid w:val="0048482F"/>
    <w:rsid w:val="00493426"/>
    <w:rsid w:val="00494CA5"/>
    <w:rsid w:val="004D4671"/>
    <w:rsid w:val="004D4829"/>
    <w:rsid w:val="004E421A"/>
    <w:rsid w:val="004E4A10"/>
    <w:rsid w:val="004F7F58"/>
    <w:rsid w:val="0050254D"/>
    <w:rsid w:val="00520014"/>
    <w:rsid w:val="005535DE"/>
    <w:rsid w:val="005610BD"/>
    <w:rsid w:val="005620CF"/>
    <w:rsid w:val="0056258A"/>
    <w:rsid w:val="0057012D"/>
    <w:rsid w:val="00571D6A"/>
    <w:rsid w:val="00575421"/>
    <w:rsid w:val="00592462"/>
    <w:rsid w:val="00596832"/>
    <w:rsid w:val="005C3BA5"/>
    <w:rsid w:val="005F19E9"/>
    <w:rsid w:val="00600CFD"/>
    <w:rsid w:val="00601F2D"/>
    <w:rsid w:val="00635FF3"/>
    <w:rsid w:val="00637CB9"/>
    <w:rsid w:val="006557DC"/>
    <w:rsid w:val="00657B52"/>
    <w:rsid w:val="0067102D"/>
    <w:rsid w:val="0068770F"/>
    <w:rsid w:val="00687FE7"/>
    <w:rsid w:val="0069436D"/>
    <w:rsid w:val="006B14AD"/>
    <w:rsid w:val="006B3A10"/>
    <w:rsid w:val="006D1053"/>
    <w:rsid w:val="006D70ED"/>
    <w:rsid w:val="006E6275"/>
    <w:rsid w:val="00707104"/>
    <w:rsid w:val="007139CE"/>
    <w:rsid w:val="00722E38"/>
    <w:rsid w:val="007235AE"/>
    <w:rsid w:val="007257B5"/>
    <w:rsid w:val="007651A4"/>
    <w:rsid w:val="007862CF"/>
    <w:rsid w:val="00793BD0"/>
    <w:rsid w:val="007B6E29"/>
    <w:rsid w:val="007D3185"/>
    <w:rsid w:val="00805886"/>
    <w:rsid w:val="008058FD"/>
    <w:rsid w:val="0082749D"/>
    <w:rsid w:val="00861B75"/>
    <w:rsid w:val="00875007"/>
    <w:rsid w:val="0088350D"/>
    <w:rsid w:val="0088505B"/>
    <w:rsid w:val="0089324F"/>
    <w:rsid w:val="008D013F"/>
    <w:rsid w:val="009229BB"/>
    <w:rsid w:val="00923C8D"/>
    <w:rsid w:val="00931A86"/>
    <w:rsid w:val="009419F0"/>
    <w:rsid w:val="0097289D"/>
    <w:rsid w:val="0097480E"/>
    <w:rsid w:val="00984DF0"/>
    <w:rsid w:val="0099377F"/>
    <w:rsid w:val="009A3728"/>
    <w:rsid w:val="009A3EBE"/>
    <w:rsid w:val="009A4526"/>
    <w:rsid w:val="009A6479"/>
    <w:rsid w:val="009C6A17"/>
    <w:rsid w:val="009D070C"/>
    <w:rsid w:val="009F3C8C"/>
    <w:rsid w:val="00A00453"/>
    <w:rsid w:val="00A031C1"/>
    <w:rsid w:val="00A12BB9"/>
    <w:rsid w:val="00A30B01"/>
    <w:rsid w:val="00A55AAE"/>
    <w:rsid w:val="00A55AB4"/>
    <w:rsid w:val="00A61F9B"/>
    <w:rsid w:val="00A66594"/>
    <w:rsid w:val="00A71026"/>
    <w:rsid w:val="00A820F9"/>
    <w:rsid w:val="00AB01D8"/>
    <w:rsid w:val="00AE087E"/>
    <w:rsid w:val="00AE1F72"/>
    <w:rsid w:val="00AE6B2A"/>
    <w:rsid w:val="00AE71B7"/>
    <w:rsid w:val="00B12A59"/>
    <w:rsid w:val="00B14875"/>
    <w:rsid w:val="00B33B46"/>
    <w:rsid w:val="00B36421"/>
    <w:rsid w:val="00B40F03"/>
    <w:rsid w:val="00B4203D"/>
    <w:rsid w:val="00B6421F"/>
    <w:rsid w:val="00B7068A"/>
    <w:rsid w:val="00B7331E"/>
    <w:rsid w:val="00BB0B49"/>
    <w:rsid w:val="00BC0DB8"/>
    <w:rsid w:val="00BC2144"/>
    <w:rsid w:val="00BD3269"/>
    <w:rsid w:val="00BE4BEC"/>
    <w:rsid w:val="00BE6652"/>
    <w:rsid w:val="00C11931"/>
    <w:rsid w:val="00C147E3"/>
    <w:rsid w:val="00C20878"/>
    <w:rsid w:val="00C21D13"/>
    <w:rsid w:val="00C412D4"/>
    <w:rsid w:val="00C54007"/>
    <w:rsid w:val="00C65128"/>
    <w:rsid w:val="00C77B54"/>
    <w:rsid w:val="00C8473A"/>
    <w:rsid w:val="00CE3B31"/>
    <w:rsid w:val="00CE7889"/>
    <w:rsid w:val="00CF1301"/>
    <w:rsid w:val="00D16971"/>
    <w:rsid w:val="00D17DB0"/>
    <w:rsid w:val="00D20E6E"/>
    <w:rsid w:val="00D22E81"/>
    <w:rsid w:val="00D26223"/>
    <w:rsid w:val="00D363F1"/>
    <w:rsid w:val="00D37649"/>
    <w:rsid w:val="00D60443"/>
    <w:rsid w:val="00D6540B"/>
    <w:rsid w:val="00D8342E"/>
    <w:rsid w:val="00D93E11"/>
    <w:rsid w:val="00DA1474"/>
    <w:rsid w:val="00DB2060"/>
    <w:rsid w:val="00DC4F7C"/>
    <w:rsid w:val="00DD1DD8"/>
    <w:rsid w:val="00DD5A41"/>
    <w:rsid w:val="00DE0FDD"/>
    <w:rsid w:val="00E13B28"/>
    <w:rsid w:val="00E20F93"/>
    <w:rsid w:val="00E21202"/>
    <w:rsid w:val="00E309FE"/>
    <w:rsid w:val="00E31C88"/>
    <w:rsid w:val="00E45F8D"/>
    <w:rsid w:val="00E74BE5"/>
    <w:rsid w:val="00E80C14"/>
    <w:rsid w:val="00E85613"/>
    <w:rsid w:val="00E926A9"/>
    <w:rsid w:val="00ED42A4"/>
    <w:rsid w:val="00EF6801"/>
    <w:rsid w:val="00EF6AB9"/>
    <w:rsid w:val="00F056FA"/>
    <w:rsid w:val="00F1401B"/>
    <w:rsid w:val="00F2704A"/>
    <w:rsid w:val="00F36F72"/>
    <w:rsid w:val="00F37365"/>
    <w:rsid w:val="00F66EA8"/>
    <w:rsid w:val="00F70E29"/>
    <w:rsid w:val="00F84CDC"/>
    <w:rsid w:val="00F94CE8"/>
    <w:rsid w:val="00FA495C"/>
    <w:rsid w:val="00FB2F03"/>
    <w:rsid w:val="00FB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0252B"/>
  <w15:docId w15:val="{00033884-83A0-4105-8CD5-C8A1383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DE9"/>
    <w:pPr>
      <w:tabs>
        <w:tab w:val="center" w:pos="4680"/>
        <w:tab w:val="right" w:pos="9360"/>
      </w:tabs>
    </w:pPr>
  </w:style>
  <w:style w:type="character" w:customStyle="1" w:styleId="HeaderChar">
    <w:name w:val="Header Char"/>
    <w:basedOn w:val="DefaultParagraphFont"/>
    <w:link w:val="Header"/>
    <w:uiPriority w:val="99"/>
    <w:rsid w:val="00260DE9"/>
  </w:style>
  <w:style w:type="paragraph" w:styleId="Footer">
    <w:name w:val="footer"/>
    <w:basedOn w:val="Normal"/>
    <w:link w:val="FooterChar"/>
    <w:uiPriority w:val="99"/>
    <w:unhideWhenUsed/>
    <w:rsid w:val="00260DE9"/>
    <w:pPr>
      <w:tabs>
        <w:tab w:val="center" w:pos="4680"/>
        <w:tab w:val="right" w:pos="9360"/>
      </w:tabs>
    </w:pPr>
  </w:style>
  <w:style w:type="character" w:customStyle="1" w:styleId="FooterChar">
    <w:name w:val="Footer Char"/>
    <w:basedOn w:val="DefaultParagraphFont"/>
    <w:link w:val="Footer"/>
    <w:uiPriority w:val="99"/>
    <w:rsid w:val="00260DE9"/>
  </w:style>
  <w:style w:type="paragraph" w:styleId="NoSpacing">
    <w:name w:val="No Spacing"/>
    <w:uiPriority w:val="1"/>
    <w:qFormat/>
    <w:rsid w:val="00260DE9"/>
  </w:style>
  <w:style w:type="paragraph" w:styleId="BalloonText">
    <w:name w:val="Balloon Text"/>
    <w:basedOn w:val="Normal"/>
    <w:link w:val="BalloonTextChar"/>
    <w:uiPriority w:val="99"/>
    <w:semiHidden/>
    <w:unhideWhenUsed/>
    <w:rsid w:val="003E2E9B"/>
    <w:rPr>
      <w:rFonts w:ascii="Tahoma" w:hAnsi="Tahoma" w:cs="Tahoma"/>
      <w:sz w:val="16"/>
      <w:szCs w:val="16"/>
    </w:rPr>
  </w:style>
  <w:style w:type="character" w:customStyle="1" w:styleId="BalloonTextChar">
    <w:name w:val="Balloon Text Char"/>
    <w:basedOn w:val="DefaultParagraphFont"/>
    <w:link w:val="BalloonText"/>
    <w:uiPriority w:val="99"/>
    <w:semiHidden/>
    <w:rsid w:val="003E2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BECD-D5BF-8A47-B41B-5E66C68C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Whelan</dc:creator>
  <cp:lastModifiedBy>Bob Sillick</cp:lastModifiedBy>
  <cp:revision>2</cp:revision>
  <dcterms:created xsi:type="dcterms:W3CDTF">2022-07-30T16:28:00Z</dcterms:created>
  <dcterms:modified xsi:type="dcterms:W3CDTF">2022-07-30T16:28:00Z</dcterms:modified>
</cp:coreProperties>
</file>